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A6" w:rsidRPr="001612A1" w:rsidRDefault="001612A1" w:rsidP="000C50A6">
      <w:pPr>
        <w:rPr>
          <w:b/>
          <w:smallCaps/>
          <w:sz w:val="22"/>
          <w:szCs w:val="22"/>
        </w:rPr>
      </w:pPr>
      <w:proofErr w:type="spellStart"/>
      <w:r>
        <w:rPr>
          <w:b/>
          <w:smallCaps/>
          <w:sz w:val="22"/>
          <w:szCs w:val="22"/>
        </w:rPr>
        <w:t>philippe</w:t>
      </w:r>
      <w:proofErr w:type="spellEnd"/>
      <w:r>
        <w:rPr>
          <w:b/>
          <w:smallCaps/>
          <w:sz w:val="22"/>
          <w:szCs w:val="22"/>
        </w:rPr>
        <w:t xml:space="preserve"> </w:t>
      </w:r>
      <w:proofErr w:type="spellStart"/>
      <w:r>
        <w:rPr>
          <w:b/>
          <w:smallCaps/>
          <w:sz w:val="22"/>
          <w:szCs w:val="22"/>
        </w:rPr>
        <w:t>muyters</w:t>
      </w:r>
      <w:proofErr w:type="spellEnd"/>
    </w:p>
    <w:p w:rsidR="000C50A6" w:rsidRPr="001612A1" w:rsidRDefault="001612A1" w:rsidP="007C4ECF">
      <w:pPr>
        <w:pBdr>
          <w:bottom w:val="single" w:sz="4" w:space="1" w:color="auto"/>
        </w:pBdr>
        <w:rPr>
          <w:smallCaps/>
          <w:sz w:val="22"/>
          <w:szCs w:val="22"/>
        </w:rPr>
      </w:pPr>
      <w:proofErr w:type="spellStart"/>
      <w:r>
        <w:rPr>
          <w:smallCaps/>
          <w:sz w:val="22"/>
          <w:szCs w:val="22"/>
        </w:rPr>
        <w:t>vlaams</w:t>
      </w:r>
      <w:proofErr w:type="spellEnd"/>
      <w:r>
        <w:rPr>
          <w:smallCaps/>
          <w:sz w:val="22"/>
          <w:szCs w:val="22"/>
        </w:rPr>
        <w:t xml:space="preserve"> minister van financiën, begroting, werk, ruimtelijke ordening en sport</w:t>
      </w:r>
    </w:p>
    <w:p w:rsidR="007C4ECF" w:rsidRDefault="007C4ECF" w:rsidP="007C4ECF">
      <w:pPr>
        <w:pBdr>
          <w:bottom w:val="single" w:sz="4" w:space="1" w:color="auto"/>
        </w:pBdr>
        <w:rPr>
          <w:sz w:val="20"/>
          <w:szCs w:val="20"/>
        </w:rPr>
      </w:pPr>
    </w:p>
    <w:p w:rsidR="000C50A6" w:rsidRDefault="000C50A6" w:rsidP="000C50A6">
      <w:pPr>
        <w:rPr>
          <w:sz w:val="20"/>
          <w:szCs w:val="20"/>
        </w:rPr>
      </w:pPr>
    </w:p>
    <w:p w:rsidR="007C4ECF" w:rsidRPr="001612A1" w:rsidRDefault="001612A1" w:rsidP="000C50A6">
      <w:pPr>
        <w:rPr>
          <w:b/>
          <w:smallCaps/>
          <w:sz w:val="22"/>
          <w:szCs w:val="22"/>
        </w:rPr>
      </w:pPr>
      <w:r>
        <w:rPr>
          <w:b/>
          <w:smallCaps/>
          <w:sz w:val="22"/>
          <w:szCs w:val="22"/>
        </w:rPr>
        <w:t>a</w:t>
      </w:r>
      <w:r w:rsidR="007C4ECF" w:rsidRPr="001612A1">
        <w:rPr>
          <w:b/>
          <w:smallCaps/>
          <w:sz w:val="22"/>
          <w:szCs w:val="22"/>
        </w:rPr>
        <w:t>ntwoord</w:t>
      </w:r>
    </w:p>
    <w:p w:rsidR="000C50A6" w:rsidRPr="006B0E03" w:rsidRDefault="007C4ECF" w:rsidP="000C50A6">
      <w:pPr>
        <w:rPr>
          <w:sz w:val="22"/>
          <w:szCs w:val="22"/>
        </w:rPr>
      </w:pPr>
      <w:r>
        <w:rPr>
          <w:sz w:val="22"/>
          <w:szCs w:val="22"/>
        </w:rPr>
        <w:t>op v</w:t>
      </w:r>
      <w:r w:rsidR="000C50A6" w:rsidRPr="006B0E03">
        <w:rPr>
          <w:sz w:val="22"/>
          <w:szCs w:val="22"/>
        </w:rPr>
        <w:t xml:space="preserve">raag nr. </w:t>
      </w:r>
      <w:r w:rsidR="00202695">
        <w:rPr>
          <w:sz w:val="22"/>
          <w:szCs w:val="22"/>
        </w:rPr>
        <w:t>555</w:t>
      </w:r>
      <w:r>
        <w:rPr>
          <w:sz w:val="22"/>
          <w:szCs w:val="22"/>
        </w:rPr>
        <w:t xml:space="preserve"> v</w:t>
      </w:r>
      <w:r w:rsidR="000C50A6">
        <w:rPr>
          <w:sz w:val="22"/>
          <w:szCs w:val="22"/>
        </w:rPr>
        <w:t xml:space="preserve">an </w:t>
      </w:r>
      <w:r w:rsidR="001612A1">
        <w:rPr>
          <w:sz w:val="22"/>
          <w:szCs w:val="22"/>
        </w:rPr>
        <w:t>1 april 2014</w:t>
      </w:r>
    </w:p>
    <w:p w:rsidR="000C50A6" w:rsidRDefault="000C50A6" w:rsidP="007C4ECF">
      <w:pPr>
        <w:pBdr>
          <w:bottom w:val="single" w:sz="4" w:space="1" w:color="auto"/>
        </w:pBdr>
        <w:rPr>
          <w:b/>
          <w:sz w:val="22"/>
          <w:szCs w:val="22"/>
        </w:rPr>
      </w:pPr>
      <w:r w:rsidRPr="006B0E03">
        <w:rPr>
          <w:sz w:val="22"/>
          <w:szCs w:val="22"/>
        </w:rPr>
        <w:t xml:space="preserve">van </w:t>
      </w:r>
      <w:proofErr w:type="spellStart"/>
      <w:r w:rsidR="001612A1">
        <w:rPr>
          <w:b/>
          <w:smallCaps/>
          <w:sz w:val="22"/>
          <w:szCs w:val="22"/>
        </w:rPr>
        <w:t>ulla</w:t>
      </w:r>
      <w:proofErr w:type="spellEnd"/>
      <w:r w:rsidR="001612A1">
        <w:rPr>
          <w:b/>
          <w:smallCaps/>
          <w:sz w:val="22"/>
          <w:szCs w:val="22"/>
        </w:rPr>
        <w:t xml:space="preserve"> </w:t>
      </w:r>
      <w:proofErr w:type="spellStart"/>
      <w:r w:rsidR="001612A1">
        <w:rPr>
          <w:b/>
          <w:smallCaps/>
          <w:sz w:val="22"/>
          <w:szCs w:val="22"/>
        </w:rPr>
        <w:t>werbrouck</w:t>
      </w:r>
      <w:proofErr w:type="spellEnd"/>
    </w:p>
    <w:p w:rsidR="007C4ECF" w:rsidRPr="000C50A6" w:rsidRDefault="007C4ECF" w:rsidP="007C4ECF">
      <w:pPr>
        <w:pBdr>
          <w:bottom w:val="single" w:sz="4" w:space="1" w:color="auto"/>
        </w:pBdr>
        <w:rPr>
          <w:b/>
          <w:sz w:val="22"/>
          <w:szCs w:val="22"/>
        </w:rPr>
      </w:pPr>
    </w:p>
    <w:p w:rsidR="000C50A6" w:rsidRPr="001612A1" w:rsidRDefault="000C50A6" w:rsidP="001612A1">
      <w:pPr>
        <w:jc w:val="both"/>
        <w:rPr>
          <w:i/>
          <w:sz w:val="22"/>
          <w:szCs w:val="22"/>
        </w:rPr>
      </w:pPr>
    </w:p>
    <w:p w:rsidR="00202695" w:rsidRPr="001612A1" w:rsidRDefault="00202695" w:rsidP="001612A1">
      <w:pPr>
        <w:jc w:val="both"/>
        <w:rPr>
          <w:sz w:val="22"/>
          <w:szCs w:val="22"/>
        </w:rPr>
      </w:pPr>
    </w:p>
    <w:p w:rsidR="00202695" w:rsidRPr="001612A1" w:rsidRDefault="00202695" w:rsidP="001612A1">
      <w:pPr>
        <w:jc w:val="both"/>
        <w:rPr>
          <w:sz w:val="22"/>
          <w:szCs w:val="22"/>
        </w:rPr>
      </w:pPr>
      <w:r w:rsidRPr="001612A1">
        <w:rPr>
          <w:sz w:val="22"/>
          <w:szCs w:val="22"/>
        </w:rPr>
        <w:t>Het antwoord op de specifieke deelvragen luidt als volgt:</w:t>
      </w:r>
    </w:p>
    <w:p w:rsidR="00202695" w:rsidRPr="001612A1" w:rsidRDefault="00202695" w:rsidP="001612A1">
      <w:pPr>
        <w:jc w:val="both"/>
        <w:rPr>
          <w:sz w:val="22"/>
          <w:szCs w:val="22"/>
        </w:rPr>
      </w:pPr>
    </w:p>
    <w:p w:rsidR="00B26CBE" w:rsidRPr="001612A1" w:rsidRDefault="002474DF" w:rsidP="001612A1">
      <w:pPr>
        <w:pStyle w:val="Lijstalinea"/>
        <w:numPr>
          <w:ilvl w:val="0"/>
          <w:numId w:val="26"/>
        </w:numPr>
        <w:spacing w:after="0" w:line="240" w:lineRule="auto"/>
        <w:ind w:left="357"/>
        <w:jc w:val="both"/>
        <w:rPr>
          <w:rFonts w:ascii="Times New Roman" w:hAnsi="Times New Roman"/>
        </w:rPr>
      </w:pPr>
      <w:r w:rsidRPr="001612A1">
        <w:rPr>
          <w:rFonts w:ascii="Times New Roman" w:hAnsi="Times New Roman"/>
        </w:rPr>
        <w:t xml:space="preserve">Het Vlaams topsportbeleid heeft als operationele doelstellingen </w:t>
      </w:r>
      <w:r w:rsidR="00F40F7D" w:rsidRPr="001612A1">
        <w:rPr>
          <w:rFonts w:ascii="Times New Roman" w:hAnsi="Times New Roman"/>
        </w:rPr>
        <w:t xml:space="preserve">voor de Olympiade 2013-2016 </w:t>
      </w:r>
      <w:r w:rsidRPr="001612A1">
        <w:rPr>
          <w:rFonts w:ascii="Times New Roman" w:hAnsi="Times New Roman"/>
        </w:rPr>
        <w:t>“h</w:t>
      </w:r>
      <w:r w:rsidR="00F40F7D" w:rsidRPr="001612A1">
        <w:rPr>
          <w:rFonts w:ascii="Times New Roman" w:hAnsi="Times New Roman"/>
        </w:rPr>
        <w:t>et behalen van medailles en finale</w:t>
      </w:r>
      <w:r w:rsidRPr="001612A1">
        <w:rPr>
          <w:rFonts w:ascii="Times New Roman" w:hAnsi="Times New Roman"/>
        </w:rPr>
        <w:t>plaatsen</w:t>
      </w:r>
      <w:r w:rsidR="00F40F7D" w:rsidRPr="001612A1">
        <w:rPr>
          <w:rFonts w:ascii="Times New Roman" w:hAnsi="Times New Roman"/>
        </w:rPr>
        <w:t xml:space="preserve"> (top-8) op Olympische Spelen, wereldkampioenschappen en Europese kampioenschappen in Olympische disciplines en </w:t>
      </w:r>
      <w:r w:rsidRPr="001612A1">
        <w:rPr>
          <w:rFonts w:ascii="Times New Roman" w:hAnsi="Times New Roman"/>
        </w:rPr>
        <w:t xml:space="preserve">het behalen van </w:t>
      </w:r>
      <w:r w:rsidR="00F40F7D" w:rsidRPr="001612A1">
        <w:rPr>
          <w:rFonts w:ascii="Times New Roman" w:hAnsi="Times New Roman"/>
        </w:rPr>
        <w:t xml:space="preserve">medailles op </w:t>
      </w:r>
      <w:r w:rsidRPr="001612A1">
        <w:rPr>
          <w:rFonts w:ascii="Times New Roman" w:hAnsi="Times New Roman"/>
        </w:rPr>
        <w:t>wereldkampioenschappen</w:t>
      </w:r>
      <w:r w:rsidR="00F40F7D" w:rsidRPr="001612A1">
        <w:rPr>
          <w:rFonts w:ascii="Times New Roman" w:hAnsi="Times New Roman"/>
        </w:rPr>
        <w:t xml:space="preserve"> en Paralympische Spelen in Paralympische disciplines</w:t>
      </w:r>
      <w:r w:rsidRPr="001612A1">
        <w:rPr>
          <w:rFonts w:ascii="Times New Roman" w:hAnsi="Times New Roman"/>
        </w:rPr>
        <w:t>”</w:t>
      </w:r>
      <w:r w:rsidR="00F40F7D" w:rsidRPr="001612A1">
        <w:rPr>
          <w:rFonts w:ascii="Times New Roman" w:hAnsi="Times New Roman"/>
        </w:rPr>
        <w:t>.</w:t>
      </w:r>
      <w:r w:rsidRPr="001612A1">
        <w:rPr>
          <w:rFonts w:ascii="Times New Roman" w:hAnsi="Times New Roman"/>
        </w:rPr>
        <w:t xml:space="preserve"> </w:t>
      </w:r>
      <w:r w:rsidR="00B26CBE" w:rsidRPr="001612A1">
        <w:rPr>
          <w:rFonts w:ascii="Times New Roman" w:hAnsi="Times New Roman"/>
        </w:rPr>
        <w:t>In volgorde van prioriteit dienen deze doelstellingen behaald te worden door:</w:t>
      </w:r>
    </w:p>
    <w:p w:rsidR="00B26CBE" w:rsidRPr="001612A1" w:rsidRDefault="00B26CBE" w:rsidP="001612A1">
      <w:pPr>
        <w:pStyle w:val="Lijstalinea"/>
        <w:numPr>
          <w:ilvl w:val="1"/>
          <w:numId w:val="26"/>
        </w:numPr>
        <w:spacing w:after="0" w:line="240" w:lineRule="auto"/>
        <w:ind w:left="1843" w:hanging="425"/>
        <w:jc w:val="both"/>
        <w:rPr>
          <w:rFonts w:ascii="Times New Roman" w:hAnsi="Times New Roman"/>
        </w:rPr>
      </w:pPr>
      <w:r w:rsidRPr="001612A1">
        <w:rPr>
          <w:rFonts w:ascii="Times New Roman" w:hAnsi="Times New Roman"/>
        </w:rPr>
        <w:t>F</w:t>
      </w:r>
      <w:r w:rsidR="002474DF" w:rsidRPr="001612A1">
        <w:rPr>
          <w:rFonts w:ascii="Times New Roman" w:hAnsi="Times New Roman"/>
        </w:rPr>
        <w:t>ocussporten en G-sport</w:t>
      </w:r>
      <w:r w:rsidRPr="001612A1">
        <w:rPr>
          <w:rFonts w:ascii="Times New Roman" w:hAnsi="Times New Roman"/>
        </w:rPr>
        <w:t>: topsportwerking is gericht op korte en (middel)lange termijn;</w:t>
      </w:r>
    </w:p>
    <w:p w:rsidR="00B26CBE" w:rsidRPr="001612A1" w:rsidRDefault="00B26CBE" w:rsidP="001612A1">
      <w:pPr>
        <w:pStyle w:val="Lijstalinea"/>
        <w:numPr>
          <w:ilvl w:val="1"/>
          <w:numId w:val="26"/>
        </w:numPr>
        <w:spacing w:after="0" w:line="240" w:lineRule="auto"/>
        <w:ind w:left="1843" w:hanging="425"/>
        <w:jc w:val="both"/>
        <w:rPr>
          <w:rFonts w:ascii="Times New Roman" w:hAnsi="Times New Roman"/>
        </w:rPr>
      </w:pPr>
      <w:r w:rsidRPr="001612A1">
        <w:rPr>
          <w:rFonts w:ascii="Times New Roman" w:hAnsi="Times New Roman"/>
        </w:rPr>
        <w:t>W</w:t>
      </w:r>
      <w:r w:rsidR="002474DF" w:rsidRPr="001612A1">
        <w:rPr>
          <w:rFonts w:ascii="Times New Roman" w:hAnsi="Times New Roman"/>
        </w:rPr>
        <w:t>indows of opportunity</w:t>
      </w:r>
      <w:r w:rsidRPr="001612A1">
        <w:rPr>
          <w:rFonts w:ascii="Times New Roman" w:hAnsi="Times New Roman"/>
        </w:rPr>
        <w:t>: topsportwerking is gericht op korte termijn;</w:t>
      </w:r>
    </w:p>
    <w:p w:rsidR="002474DF" w:rsidRPr="001612A1" w:rsidRDefault="00B26CBE" w:rsidP="001612A1">
      <w:pPr>
        <w:pStyle w:val="Lijstalinea"/>
        <w:numPr>
          <w:ilvl w:val="1"/>
          <w:numId w:val="26"/>
        </w:numPr>
        <w:spacing w:after="0" w:line="240" w:lineRule="auto"/>
        <w:ind w:left="1843" w:hanging="425"/>
        <w:jc w:val="both"/>
        <w:rPr>
          <w:rFonts w:ascii="Times New Roman" w:hAnsi="Times New Roman"/>
        </w:rPr>
      </w:pPr>
      <w:r w:rsidRPr="001612A1">
        <w:rPr>
          <w:rFonts w:ascii="Times New Roman" w:hAnsi="Times New Roman"/>
        </w:rPr>
        <w:t>S</w:t>
      </w:r>
      <w:r w:rsidR="002474DF" w:rsidRPr="001612A1">
        <w:rPr>
          <w:rFonts w:ascii="Times New Roman" w:hAnsi="Times New Roman"/>
        </w:rPr>
        <w:t>porttakken van categorieën 2</w:t>
      </w:r>
      <w:r w:rsidR="00FA50B6" w:rsidRPr="001612A1">
        <w:rPr>
          <w:rFonts w:ascii="Times New Roman" w:hAnsi="Times New Roman"/>
        </w:rPr>
        <w:t>-3-4</w:t>
      </w:r>
      <w:r w:rsidRPr="001612A1">
        <w:rPr>
          <w:rFonts w:ascii="Times New Roman" w:hAnsi="Times New Roman"/>
        </w:rPr>
        <w:t>: topsportwerking is eerder gericht op (middel)lange termijn;</w:t>
      </w:r>
    </w:p>
    <w:p w:rsidR="00F40F7D" w:rsidRPr="001612A1" w:rsidRDefault="00F40F7D" w:rsidP="001612A1">
      <w:pPr>
        <w:pStyle w:val="Lijstalinea"/>
        <w:spacing w:after="0" w:line="240" w:lineRule="auto"/>
        <w:ind w:left="357"/>
        <w:jc w:val="both"/>
        <w:rPr>
          <w:rFonts w:ascii="Times New Roman" w:hAnsi="Times New Roman"/>
        </w:rPr>
      </w:pPr>
      <w:r w:rsidRPr="001612A1">
        <w:rPr>
          <w:rFonts w:ascii="Times New Roman" w:hAnsi="Times New Roman"/>
        </w:rPr>
        <w:t xml:space="preserve">De indeling in drie </w:t>
      </w:r>
      <w:proofErr w:type="spellStart"/>
      <w:r w:rsidRPr="001612A1">
        <w:rPr>
          <w:rFonts w:ascii="Times New Roman" w:hAnsi="Times New Roman"/>
        </w:rPr>
        <w:t>prioriteitenniveau</w:t>
      </w:r>
      <w:r w:rsidR="00B26CBE" w:rsidRPr="001612A1">
        <w:rPr>
          <w:rFonts w:ascii="Times New Roman" w:hAnsi="Times New Roman"/>
        </w:rPr>
        <w:t>’</w:t>
      </w:r>
      <w:r w:rsidRPr="001612A1">
        <w:rPr>
          <w:rFonts w:ascii="Times New Roman" w:hAnsi="Times New Roman"/>
        </w:rPr>
        <w:t>s</w:t>
      </w:r>
      <w:proofErr w:type="spellEnd"/>
      <w:r w:rsidRPr="001612A1">
        <w:rPr>
          <w:rFonts w:ascii="Times New Roman" w:hAnsi="Times New Roman"/>
        </w:rPr>
        <w:t xml:space="preserve"> kunnen een middel zijn</w:t>
      </w:r>
      <w:r w:rsidR="00F61B51" w:rsidRPr="001612A1">
        <w:rPr>
          <w:rFonts w:ascii="Times New Roman" w:hAnsi="Times New Roman"/>
        </w:rPr>
        <w:t xml:space="preserve"> voor de toekenning van investeringen topsport</w:t>
      </w:r>
      <w:r w:rsidRPr="001612A1">
        <w:rPr>
          <w:rFonts w:ascii="Times New Roman" w:hAnsi="Times New Roman"/>
        </w:rPr>
        <w:t xml:space="preserve">, maar </w:t>
      </w:r>
      <w:r w:rsidR="00B26CBE" w:rsidRPr="001612A1">
        <w:rPr>
          <w:rFonts w:ascii="Times New Roman" w:hAnsi="Times New Roman"/>
        </w:rPr>
        <w:t xml:space="preserve">vormen </w:t>
      </w:r>
      <w:r w:rsidR="00F61B51" w:rsidRPr="001612A1">
        <w:rPr>
          <w:rFonts w:ascii="Times New Roman" w:hAnsi="Times New Roman"/>
        </w:rPr>
        <w:t xml:space="preserve">daartoe </w:t>
      </w:r>
      <w:r w:rsidRPr="001612A1">
        <w:rPr>
          <w:rFonts w:ascii="Times New Roman" w:hAnsi="Times New Roman"/>
        </w:rPr>
        <w:t>nooit een doel op zich.</w:t>
      </w:r>
    </w:p>
    <w:p w:rsidR="00F40F7D" w:rsidRPr="001612A1" w:rsidRDefault="00F40F7D" w:rsidP="001612A1">
      <w:pPr>
        <w:pStyle w:val="Lijstalinea"/>
        <w:spacing w:after="0" w:line="240" w:lineRule="auto"/>
        <w:ind w:left="357"/>
        <w:jc w:val="both"/>
        <w:rPr>
          <w:rFonts w:ascii="Times New Roman" w:hAnsi="Times New Roman"/>
          <w:lang w:val="nl-NL"/>
        </w:rPr>
      </w:pPr>
    </w:p>
    <w:p w:rsidR="0051448F" w:rsidRPr="001612A1" w:rsidRDefault="0042737D" w:rsidP="001612A1">
      <w:pPr>
        <w:pStyle w:val="Lijstalinea"/>
        <w:spacing w:after="0" w:line="240" w:lineRule="auto"/>
        <w:ind w:left="357"/>
        <w:jc w:val="both"/>
        <w:rPr>
          <w:rFonts w:ascii="Times New Roman" w:hAnsi="Times New Roman"/>
          <w:lang w:val="nl-NL"/>
        </w:rPr>
      </w:pPr>
      <w:r w:rsidRPr="001612A1">
        <w:rPr>
          <w:rFonts w:ascii="Times New Roman" w:hAnsi="Times New Roman"/>
          <w:lang w:val="nl-NL"/>
        </w:rPr>
        <w:t xml:space="preserve">In 2013 bedroeg </w:t>
      </w:r>
      <w:r w:rsidR="00DA6857" w:rsidRPr="001612A1">
        <w:rPr>
          <w:rFonts w:ascii="Times New Roman" w:hAnsi="Times New Roman"/>
          <w:lang w:val="nl-NL"/>
        </w:rPr>
        <w:t>totaal aan werkingsmiddelen</w:t>
      </w:r>
      <w:r w:rsidR="00354E80" w:rsidRPr="001612A1">
        <w:rPr>
          <w:rFonts w:ascii="Times New Roman" w:hAnsi="Times New Roman"/>
          <w:lang w:val="nl-NL"/>
        </w:rPr>
        <w:t xml:space="preserve"> Topsport (Bloso, </w:t>
      </w:r>
      <w:r w:rsidRPr="001612A1">
        <w:rPr>
          <w:rFonts w:ascii="Times New Roman" w:hAnsi="Times New Roman"/>
          <w:lang w:val="nl-NL"/>
        </w:rPr>
        <w:t>Departement CJSM</w:t>
      </w:r>
      <w:r w:rsidR="00354E80" w:rsidRPr="001612A1">
        <w:rPr>
          <w:rFonts w:ascii="Times New Roman" w:hAnsi="Times New Roman"/>
          <w:lang w:val="nl-NL"/>
        </w:rPr>
        <w:t xml:space="preserve"> en </w:t>
      </w:r>
      <w:r w:rsidR="0051448F" w:rsidRPr="001612A1">
        <w:rPr>
          <w:rFonts w:ascii="Times New Roman" w:hAnsi="Times New Roman"/>
          <w:lang w:val="nl-NL"/>
        </w:rPr>
        <w:t xml:space="preserve">het </w:t>
      </w:r>
      <w:r w:rsidR="00354E80" w:rsidRPr="001612A1">
        <w:rPr>
          <w:rFonts w:ascii="Times New Roman" w:hAnsi="Times New Roman"/>
          <w:lang w:val="nl-NL"/>
        </w:rPr>
        <w:t>project Be Gold</w:t>
      </w:r>
      <w:r w:rsidRPr="001612A1">
        <w:rPr>
          <w:rFonts w:ascii="Times New Roman" w:hAnsi="Times New Roman"/>
          <w:lang w:val="nl-NL"/>
        </w:rPr>
        <w:t xml:space="preserve">) </w:t>
      </w:r>
      <w:r w:rsidR="0051448F" w:rsidRPr="001612A1">
        <w:rPr>
          <w:rFonts w:ascii="Times New Roman" w:hAnsi="Times New Roman"/>
          <w:lang w:val="nl-NL"/>
        </w:rPr>
        <w:t>12.370</w:t>
      </w:r>
      <w:r w:rsidRPr="001612A1">
        <w:rPr>
          <w:rFonts w:ascii="Times New Roman" w:hAnsi="Times New Roman"/>
          <w:lang w:val="nl-NL"/>
        </w:rPr>
        <w:t>.000 euro. Een deel van deze werkingsmiddelen (</w:t>
      </w:r>
      <w:r w:rsidR="0051448F" w:rsidRPr="001612A1">
        <w:rPr>
          <w:rFonts w:ascii="Times New Roman" w:hAnsi="Times New Roman"/>
          <w:lang w:val="nl-NL"/>
        </w:rPr>
        <w:t>1.485</w:t>
      </w:r>
      <w:r w:rsidRPr="001612A1">
        <w:rPr>
          <w:rFonts w:ascii="Times New Roman" w:hAnsi="Times New Roman"/>
          <w:lang w:val="nl-NL"/>
        </w:rPr>
        <w:t xml:space="preserve">.000 euro) </w:t>
      </w:r>
      <w:r w:rsidR="00EA5C9E" w:rsidRPr="001612A1">
        <w:rPr>
          <w:rFonts w:ascii="Times New Roman" w:hAnsi="Times New Roman"/>
          <w:lang w:val="nl-NL"/>
        </w:rPr>
        <w:t>k</w:t>
      </w:r>
      <w:r w:rsidRPr="001612A1">
        <w:rPr>
          <w:rFonts w:ascii="Times New Roman" w:hAnsi="Times New Roman"/>
          <w:lang w:val="nl-NL"/>
        </w:rPr>
        <w:t xml:space="preserve">an niet rechtstreeks </w:t>
      </w:r>
      <w:r w:rsidR="00EA5C9E" w:rsidRPr="001612A1">
        <w:rPr>
          <w:rFonts w:ascii="Times New Roman" w:hAnsi="Times New Roman"/>
          <w:lang w:val="nl-NL"/>
        </w:rPr>
        <w:t xml:space="preserve">worden </w:t>
      </w:r>
      <w:r w:rsidRPr="001612A1">
        <w:rPr>
          <w:rFonts w:ascii="Times New Roman" w:hAnsi="Times New Roman"/>
          <w:lang w:val="nl-NL"/>
        </w:rPr>
        <w:t xml:space="preserve">toegewezen aan een bepaalde sporttak, waaronder </w:t>
      </w:r>
      <w:r w:rsidR="00C94FC3" w:rsidRPr="001612A1">
        <w:rPr>
          <w:rFonts w:ascii="Times New Roman" w:hAnsi="Times New Roman"/>
          <w:lang w:val="nl-NL"/>
        </w:rPr>
        <w:t>de financiering van de aannemingsovereenkomsten met zelfstandige experts, het loon van de vormingscoördinator Topsport</w:t>
      </w:r>
      <w:r w:rsidR="00384A31" w:rsidRPr="001612A1">
        <w:rPr>
          <w:rFonts w:ascii="Times New Roman" w:hAnsi="Times New Roman"/>
          <w:lang w:val="nl-NL"/>
        </w:rPr>
        <w:t>, ..</w:t>
      </w:r>
      <w:r w:rsidR="00C94FC3" w:rsidRPr="001612A1">
        <w:rPr>
          <w:rFonts w:ascii="Times New Roman" w:hAnsi="Times New Roman"/>
          <w:lang w:val="nl-NL"/>
        </w:rPr>
        <w:t xml:space="preserve">. </w:t>
      </w:r>
      <w:r w:rsidR="0051448F" w:rsidRPr="001612A1">
        <w:rPr>
          <w:rFonts w:ascii="Times New Roman" w:hAnsi="Times New Roman"/>
          <w:lang w:val="nl-NL"/>
        </w:rPr>
        <w:t xml:space="preserve">Deze sporttakoverschrijdende middelen werden </w:t>
      </w:r>
      <w:r w:rsidR="00DA6857" w:rsidRPr="001612A1">
        <w:rPr>
          <w:rFonts w:ascii="Times New Roman" w:hAnsi="Times New Roman"/>
          <w:lang w:val="nl-NL"/>
        </w:rPr>
        <w:t xml:space="preserve">evenwel </w:t>
      </w:r>
      <w:r w:rsidR="0051448F" w:rsidRPr="001612A1">
        <w:rPr>
          <w:rFonts w:ascii="Times New Roman" w:hAnsi="Times New Roman"/>
          <w:lang w:val="nl-NL"/>
        </w:rPr>
        <w:t>haast integraal ingezet ten behoeve van de focussporten, maar werden in onderstaand overzicht niet opgenomen.</w:t>
      </w:r>
    </w:p>
    <w:p w:rsidR="00FA667D" w:rsidRPr="001612A1" w:rsidRDefault="00FA667D" w:rsidP="001612A1">
      <w:pPr>
        <w:pStyle w:val="Lijstalinea"/>
        <w:spacing w:after="0" w:line="240" w:lineRule="auto"/>
        <w:ind w:left="357"/>
        <w:jc w:val="both"/>
        <w:rPr>
          <w:rFonts w:ascii="Times New Roman" w:hAnsi="Times New Roman"/>
          <w:lang w:val="nl-NL"/>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3"/>
        <w:gridCol w:w="1370"/>
        <w:gridCol w:w="1370"/>
        <w:gridCol w:w="1370"/>
        <w:gridCol w:w="1418"/>
      </w:tblGrid>
      <w:tr w:rsidR="00710826" w:rsidRPr="001612A1" w:rsidTr="00710826">
        <w:trPr>
          <w:trHeight w:val="300"/>
        </w:trPr>
        <w:tc>
          <w:tcPr>
            <w:tcW w:w="3843" w:type="dxa"/>
            <w:vMerge w:val="restart"/>
            <w:shd w:val="clear" w:color="auto" w:fill="BFBFBF" w:themeFill="background1" w:themeFillShade="BF"/>
            <w:noWrap/>
            <w:vAlign w:val="center"/>
            <w:hideMark/>
          </w:tcPr>
          <w:p w:rsidR="00FA667D" w:rsidRPr="001612A1" w:rsidRDefault="00F61B51" w:rsidP="001612A1">
            <w:pPr>
              <w:jc w:val="both"/>
              <w:rPr>
                <w:color w:val="000000"/>
                <w:sz w:val="22"/>
                <w:szCs w:val="22"/>
                <w:lang w:val="nl-BE" w:eastAsia="nl-BE"/>
              </w:rPr>
            </w:pPr>
            <w:r w:rsidRPr="001612A1">
              <w:rPr>
                <w:sz w:val="22"/>
                <w:szCs w:val="22"/>
              </w:rPr>
              <w:t xml:space="preserve"> </w:t>
            </w:r>
            <w:r w:rsidR="00710826" w:rsidRPr="001612A1">
              <w:rPr>
                <w:color w:val="000000"/>
                <w:sz w:val="22"/>
                <w:szCs w:val="22"/>
                <w:lang w:val="nl-BE" w:eastAsia="nl-BE"/>
              </w:rPr>
              <w:t>Topsport</w:t>
            </w:r>
            <w:r w:rsidR="00FA667D" w:rsidRPr="001612A1">
              <w:rPr>
                <w:color w:val="000000"/>
                <w:sz w:val="22"/>
                <w:szCs w:val="22"/>
                <w:lang w:val="nl-BE" w:eastAsia="nl-BE"/>
              </w:rPr>
              <w:t>middelen</w:t>
            </w:r>
            <w:r w:rsidR="00710826" w:rsidRPr="001612A1">
              <w:rPr>
                <w:color w:val="000000"/>
                <w:sz w:val="22"/>
                <w:szCs w:val="22"/>
                <w:lang w:val="nl-BE" w:eastAsia="nl-BE"/>
              </w:rPr>
              <w:t xml:space="preserve"> </w:t>
            </w:r>
            <w:r w:rsidR="00710826" w:rsidRPr="001612A1">
              <w:rPr>
                <w:b/>
                <w:color w:val="000000"/>
                <w:sz w:val="22"/>
                <w:szCs w:val="22"/>
                <w:lang w:val="nl-BE" w:eastAsia="nl-BE"/>
              </w:rPr>
              <w:t>2013</w:t>
            </w:r>
            <w:r w:rsidR="00FA667D" w:rsidRPr="001612A1">
              <w:rPr>
                <w:b/>
                <w:color w:val="000000"/>
                <w:sz w:val="22"/>
                <w:szCs w:val="22"/>
                <w:lang w:val="nl-BE" w:eastAsia="nl-BE"/>
              </w:rPr>
              <w:t xml:space="preserve"> </w:t>
            </w:r>
            <w:r w:rsidR="00710826" w:rsidRPr="001612A1">
              <w:rPr>
                <w:color w:val="000000"/>
                <w:sz w:val="22"/>
                <w:szCs w:val="22"/>
                <w:lang w:val="nl-BE" w:eastAsia="nl-BE"/>
              </w:rPr>
              <w:t>rechtstreeks toegekend aan een sporttak</w:t>
            </w:r>
          </w:p>
          <w:p w:rsidR="00710826" w:rsidRPr="001612A1" w:rsidRDefault="00FA667D" w:rsidP="001612A1">
            <w:pPr>
              <w:jc w:val="both"/>
              <w:rPr>
                <w:color w:val="000000"/>
                <w:sz w:val="22"/>
                <w:szCs w:val="22"/>
                <w:lang w:val="nl-BE" w:eastAsia="nl-BE"/>
              </w:rPr>
            </w:pPr>
            <w:r w:rsidRPr="001612A1">
              <w:rPr>
                <w:b/>
                <w:color w:val="000000"/>
                <w:sz w:val="22"/>
                <w:szCs w:val="22"/>
                <w:lang w:val="nl-BE" w:eastAsia="nl-BE"/>
              </w:rPr>
              <w:t>(Bloso &amp; Departement CJSM)</w:t>
            </w:r>
            <w:r w:rsidRPr="001612A1">
              <w:rPr>
                <w:color w:val="000000"/>
                <w:sz w:val="22"/>
                <w:szCs w:val="22"/>
                <w:lang w:val="nl-BE" w:eastAsia="nl-BE"/>
              </w:rPr>
              <w:t>,</w:t>
            </w:r>
          </w:p>
        </w:tc>
        <w:tc>
          <w:tcPr>
            <w:tcW w:w="1370" w:type="dxa"/>
            <w:shd w:val="clear" w:color="auto" w:fill="D9D9D9" w:themeFill="background1" w:themeFillShade="D9"/>
            <w:noWrap/>
            <w:vAlign w:val="center"/>
            <w:hideMark/>
          </w:tcPr>
          <w:p w:rsidR="00710826" w:rsidRPr="001612A1" w:rsidRDefault="00710826" w:rsidP="001612A1">
            <w:pPr>
              <w:jc w:val="both"/>
              <w:rPr>
                <w:color w:val="000000"/>
                <w:sz w:val="22"/>
                <w:szCs w:val="22"/>
                <w:lang w:val="nl-BE" w:eastAsia="nl-BE"/>
              </w:rPr>
            </w:pPr>
            <w:r w:rsidRPr="001612A1">
              <w:rPr>
                <w:color w:val="000000"/>
                <w:sz w:val="22"/>
                <w:szCs w:val="22"/>
                <w:lang w:val="nl-BE" w:eastAsia="nl-BE"/>
              </w:rPr>
              <w:t>Prioriteit 1</w:t>
            </w:r>
          </w:p>
        </w:tc>
        <w:tc>
          <w:tcPr>
            <w:tcW w:w="1370" w:type="dxa"/>
            <w:shd w:val="clear" w:color="auto" w:fill="D9D9D9" w:themeFill="background1" w:themeFillShade="D9"/>
            <w:noWrap/>
            <w:vAlign w:val="center"/>
            <w:hideMark/>
          </w:tcPr>
          <w:p w:rsidR="00710826" w:rsidRPr="001612A1" w:rsidRDefault="00710826" w:rsidP="001612A1">
            <w:pPr>
              <w:jc w:val="both"/>
              <w:rPr>
                <w:color w:val="000000"/>
                <w:sz w:val="22"/>
                <w:szCs w:val="22"/>
                <w:lang w:val="nl-BE" w:eastAsia="nl-BE"/>
              </w:rPr>
            </w:pPr>
            <w:r w:rsidRPr="001612A1">
              <w:rPr>
                <w:color w:val="000000"/>
                <w:sz w:val="22"/>
                <w:szCs w:val="22"/>
                <w:lang w:val="nl-BE" w:eastAsia="nl-BE"/>
              </w:rPr>
              <w:t>Prioriteit 2</w:t>
            </w:r>
          </w:p>
        </w:tc>
        <w:tc>
          <w:tcPr>
            <w:tcW w:w="1370" w:type="dxa"/>
            <w:shd w:val="clear" w:color="auto" w:fill="D9D9D9" w:themeFill="background1" w:themeFillShade="D9"/>
            <w:noWrap/>
            <w:vAlign w:val="center"/>
            <w:hideMark/>
          </w:tcPr>
          <w:p w:rsidR="00710826" w:rsidRPr="001612A1" w:rsidRDefault="00710826" w:rsidP="001612A1">
            <w:pPr>
              <w:jc w:val="both"/>
              <w:rPr>
                <w:color w:val="000000"/>
                <w:sz w:val="22"/>
                <w:szCs w:val="22"/>
                <w:lang w:val="nl-BE" w:eastAsia="nl-BE"/>
              </w:rPr>
            </w:pPr>
            <w:r w:rsidRPr="001612A1">
              <w:rPr>
                <w:color w:val="000000"/>
                <w:sz w:val="22"/>
                <w:szCs w:val="22"/>
                <w:lang w:val="nl-BE" w:eastAsia="nl-BE"/>
              </w:rPr>
              <w:t>Prioriteit 3</w:t>
            </w:r>
          </w:p>
        </w:tc>
        <w:tc>
          <w:tcPr>
            <w:tcW w:w="1418" w:type="dxa"/>
            <w:vMerge w:val="restart"/>
            <w:shd w:val="clear" w:color="auto" w:fill="BFBFBF" w:themeFill="background1" w:themeFillShade="BF"/>
            <w:noWrap/>
            <w:vAlign w:val="center"/>
            <w:hideMark/>
          </w:tcPr>
          <w:p w:rsidR="00710826" w:rsidRPr="001612A1" w:rsidRDefault="00710826" w:rsidP="001612A1">
            <w:pPr>
              <w:jc w:val="both"/>
              <w:rPr>
                <w:b/>
                <w:color w:val="000000"/>
                <w:sz w:val="22"/>
                <w:szCs w:val="22"/>
                <w:lang w:val="nl-BE" w:eastAsia="nl-BE"/>
              </w:rPr>
            </w:pPr>
            <w:r w:rsidRPr="001612A1">
              <w:rPr>
                <w:b/>
                <w:color w:val="000000"/>
                <w:sz w:val="22"/>
                <w:szCs w:val="22"/>
                <w:lang w:val="nl-BE" w:eastAsia="nl-BE"/>
              </w:rPr>
              <w:t>Totaal</w:t>
            </w:r>
          </w:p>
          <w:p w:rsidR="00710826" w:rsidRPr="001612A1" w:rsidRDefault="00710826" w:rsidP="001612A1">
            <w:pPr>
              <w:jc w:val="both"/>
              <w:rPr>
                <w:b/>
                <w:color w:val="000000"/>
                <w:sz w:val="22"/>
                <w:szCs w:val="22"/>
                <w:lang w:val="nl-BE" w:eastAsia="nl-BE"/>
              </w:rPr>
            </w:pPr>
          </w:p>
        </w:tc>
      </w:tr>
      <w:tr w:rsidR="00710826" w:rsidRPr="001612A1" w:rsidTr="00710826">
        <w:trPr>
          <w:trHeight w:val="300"/>
        </w:trPr>
        <w:tc>
          <w:tcPr>
            <w:tcW w:w="3843" w:type="dxa"/>
            <w:vMerge/>
            <w:shd w:val="clear" w:color="auto" w:fill="BFBFBF" w:themeFill="background1" w:themeFillShade="BF"/>
            <w:noWrap/>
            <w:vAlign w:val="center"/>
            <w:hideMark/>
          </w:tcPr>
          <w:p w:rsidR="00710826" w:rsidRPr="001612A1" w:rsidRDefault="00710826" w:rsidP="001612A1">
            <w:pPr>
              <w:jc w:val="both"/>
              <w:rPr>
                <w:color w:val="000000"/>
                <w:sz w:val="22"/>
                <w:szCs w:val="22"/>
                <w:lang w:val="nl-BE" w:eastAsia="nl-BE"/>
              </w:rPr>
            </w:pPr>
          </w:p>
        </w:tc>
        <w:tc>
          <w:tcPr>
            <w:tcW w:w="1370" w:type="dxa"/>
            <w:shd w:val="clear" w:color="auto" w:fill="D9D9D9" w:themeFill="background1" w:themeFillShade="D9"/>
            <w:noWrap/>
            <w:vAlign w:val="center"/>
            <w:hideMark/>
          </w:tcPr>
          <w:p w:rsidR="00710826" w:rsidRPr="001612A1" w:rsidRDefault="00710826" w:rsidP="001612A1">
            <w:pPr>
              <w:jc w:val="both"/>
              <w:rPr>
                <w:color w:val="000000"/>
                <w:sz w:val="22"/>
                <w:szCs w:val="22"/>
                <w:lang w:val="nl-BE" w:eastAsia="nl-BE"/>
              </w:rPr>
            </w:pPr>
            <w:r w:rsidRPr="001612A1">
              <w:rPr>
                <w:color w:val="000000"/>
                <w:sz w:val="22"/>
                <w:szCs w:val="22"/>
                <w:lang w:val="nl-BE" w:eastAsia="nl-BE"/>
              </w:rPr>
              <w:t>Focussporten en G-sport</w:t>
            </w:r>
          </w:p>
        </w:tc>
        <w:tc>
          <w:tcPr>
            <w:tcW w:w="1370" w:type="dxa"/>
            <w:shd w:val="clear" w:color="auto" w:fill="D9D9D9" w:themeFill="background1" w:themeFillShade="D9"/>
            <w:noWrap/>
            <w:vAlign w:val="center"/>
            <w:hideMark/>
          </w:tcPr>
          <w:p w:rsidR="00710826" w:rsidRPr="001612A1" w:rsidRDefault="00710826" w:rsidP="001612A1">
            <w:pPr>
              <w:jc w:val="both"/>
              <w:rPr>
                <w:color w:val="000000"/>
                <w:sz w:val="22"/>
                <w:szCs w:val="22"/>
                <w:lang w:val="nl-BE" w:eastAsia="nl-BE"/>
              </w:rPr>
            </w:pPr>
            <w:r w:rsidRPr="001612A1">
              <w:rPr>
                <w:color w:val="000000"/>
                <w:sz w:val="22"/>
                <w:szCs w:val="22"/>
                <w:lang w:val="nl-BE" w:eastAsia="nl-BE"/>
              </w:rPr>
              <w:t>Windows of opportunity</w:t>
            </w:r>
          </w:p>
        </w:tc>
        <w:tc>
          <w:tcPr>
            <w:tcW w:w="1370" w:type="dxa"/>
            <w:shd w:val="clear" w:color="auto" w:fill="D9D9D9" w:themeFill="background1" w:themeFillShade="D9"/>
            <w:noWrap/>
            <w:vAlign w:val="center"/>
            <w:hideMark/>
          </w:tcPr>
          <w:p w:rsidR="00710826" w:rsidRPr="001612A1" w:rsidRDefault="00710826" w:rsidP="001612A1">
            <w:pPr>
              <w:jc w:val="both"/>
              <w:rPr>
                <w:color w:val="000000"/>
                <w:sz w:val="22"/>
                <w:szCs w:val="22"/>
                <w:lang w:val="nl-BE" w:eastAsia="nl-BE"/>
              </w:rPr>
            </w:pPr>
            <w:r w:rsidRPr="001612A1">
              <w:rPr>
                <w:color w:val="000000"/>
                <w:sz w:val="22"/>
                <w:szCs w:val="22"/>
                <w:lang w:val="nl-BE" w:eastAsia="nl-BE"/>
              </w:rPr>
              <w:t>Sporttakken cat. 2-3-4</w:t>
            </w:r>
          </w:p>
        </w:tc>
        <w:tc>
          <w:tcPr>
            <w:tcW w:w="1418" w:type="dxa"/>
            <w:vMerge/>
            <w:shd w:val="clear" w:color="auto" w:fill="BFBFBF" w:themeFill="background1" w:themeFillShade="BF"/>
            <w:noWrap/>
            <w:vAlign w:val="center"/>
            <w:hideMark/>
          </w:tcPr>
          <w:p w:rsidR="00710826" w:rsidRPr="001612A1" w:rsidRDefault="00710826" w:rsidP="001612A1">
            <w:pPr>
              <w:jc w:val="both"/>
              <w:rPr>
                <w:b/>
                <w:color w:val="000000"/>
                <w:sz w:val="22"/>
                <w:szCs w:val="22"/>
                <w:lang w:val="nl-BE" w:eastAsia="nl-BE"/>
              </w:rPr>
            </w:pPr>
          </w:p>
        </w:tc>
      </w:tr>
      <w:tr w:rsidR="00E7087E" w:rsidRPr="001612A1" w:rsidTr="00E7087E">
        <w:trPr>
          <w:trHeight w:val="3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Programmakosten (voorbereiding &amp; deelname internationale wedstrijden)</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€ 2.160.000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€ 411.000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€ 192.000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€ 2.763.000</w:t>
            </w:r>
          </w:p>
        </w:tc>
      </w:tr>
      <w:tr w:rsidR="00E7087E" w:rsidRPr="001612A1" w:rsidTr="00E7087E">
        <w:trPr>
          <w:trHeight w:val="6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Loonkost trainers (toptrainers, jeugdtrainers topsport, lesgevers TSS, …)</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€ 3.365.000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€ 162.000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€ 569.000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€ 4.096.000</w:t>
            </w:r>
          </w:p>
        </w:tc>
      </w:tr>
      <w:tr w:rsidR="00E7087E" w:rsidRPr="001612A1" w:rsidTr="00E7087E">
        <w:trPr>
          <w:trHeight w:val="6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Organisatie van evenementen</w:t>
            </w:r>
          </w:p>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(WB-EK-WK)</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€ 1.360.000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€ 32.000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€ 76.000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€ 1.468.000</w:t>
            </w:r>
          </w:p>
        </w:tc>
      </w:tr>
      <w:tr w:rsidR="00E7087E" w:rsidRPr="001612A1" w:rsidTr="00E7087E">
        <w:trPr>
          <w:trHeight w:val="6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 xml:space="preserve">Tewerkstelling topsporters (wielerploegen, Atletiek Vlaanderen, </w:t>
            </w:r>
            <w:proofErr w:type="spellStart"/>
            <w:r w:rsidRPr="001612A1">
              <w:rPr>
                <w:color w:val="000000"/>
                <w:sz w:val="22"/>
                <w:szCs w:val="22"/>
                <w:lang w:val="nl-BE" w:eastAsia="nl-BE"/>
              </w:rPr>
              <w:t>Bloso</w:t>
            </w:r>
            <w:proofErr w:type="spellEnd"/>
            <w:r w:rsidRPr="001612A1">
              <w:rPr>
                <w:color w:val="000000"/>
                <w:sz w:val="22"/>
                <w:szCs w:val="22"/>
                <w:lang w:val="nl-BE" w:eastAsia="nl-BE"/>
              </w:rPr>
              <w:t>-topsportstudentenproject, …)*</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€ 1.503.000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€ 22.000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€ 22.000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€ 1.547.000</w:t>
            </w:r>
          </w:p>
        </w:tc>
      </w:tr>
      <w:tr w:rsidR="00E7087E" w:rsidRPr="001612A1" w:rsidTr="00E7087E">
        <w:trPr>
          <w:trHeight w:val="3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Interdisciplinaire omkadering van topsporters</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€ 800.000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€ 99.000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€ 112.000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€ 1.011.000</w:t>
            </w:r>
          </w:p>
        </w:tc>
      </w:tr>
      <w:tr w:rsidR="00E7087E" w:rsidRPr="001612A1" w:rsidTr="00E7087E">
        <w:trPr>
          <w:trHeight w:val="340"/>
        </w:trPr>
        <w:tc>
          <w:tcPr>
            <w:tcW w:w="3843" w:type="dxa"/>
            <w:vMerge w:val="restart"/>
            <w:shd w:val="clear" w:color="auto" w:fill="BFBFBF" w:themeFill="background1" w:themeFillShade="BF"/>
            <w:noWrap/>
            <w:vAlign w:val="center"/>
            <w:hideMark/>
          </w:tcPr>
          <w:p w:rsidR="00E7087E" w:rsidRPr="001612A1" w:rsidRDefault="00E7087E" w:rsidP="001612A1">
            <w:pPr>
              <w:jc w:val="both"/>
              <w:rPr>
                <w:b/>
                <w:color w:val="000000"/>
                <w:sz w:val="22"/>
                <w:szCs w:val="22"/>
                <w:lang w:val="nl-BE" w:eastAsia="nl-BE"/>
              </w:rPr>
            </w:pPr>
            <w:r w:rsidRPr="001612A1">
              <w:rPr>
                <w:b/>
                <w:color w:val="000000"/>
                <w:sz w:val="22"/>
                <w:szCs w:val="22"/>
                <w:lang w:val="nl-BE" w:eastAsia="nl-BE"/>
              </w:rPr>
              <w:t>Totaal</w:t>
            </w:r>
          </w:p>
        </w:tc>
        <w:tc>
          <w:tcPr>
            <w:tcW w:w="1370" w:type="dxa"/>
            <w:shd w:val="clear" w:color="auto" w:fill="D9D9D9" w:themeFill="background1" w:themeFillShade="D9"/>
            <w:noWrap/>
            <w:vAlign w:val="center"/>
            <w:hideMark/>
          </w:tcPr>
          <w:p w:rsidR="00E7087E" w:rsidRPr="001612A1" w:rsidRDefault="00E7087E" w:rsidP="001612A1">
            <w:pPr>
              <w:jc w:val="both"/>
              <w:rPr>
                <w:color w:val="000000"/>
                <w:sz w:val="22"/>
                <w:szCs w:val="22"/>
              </w:rPr>
            </w:pPr>
            <w:r w:rsidRPr="001612A1">
              <w:rPr>
                <w:color w:val="000000"/>
                <w:sz w:val="22"/>
                <w:szCs w:val="22"/>
              </w:rPr>
              <w:t>€ 9.188.000</w:t>
            </w:r>
          </w:p>
        </w:tc>
        <w:tc>
          <w:tcPr>
            <w:tcW w:w="1370" w:type="dxa"/>
            <w:shd w:val="clear" w:color="auto" w:fill="D9D9D9" w:themeFill="background1" w:themeFillShade="D9"/>
            <w:noWrap/>
            <w:vAlign w:val="center"/>
            <w:hideMark/>
          </w:tcPr>
          <w:p w:rsidR="00E7087E" w:rsidRPr="001612A1" w:rsidRDefault="00E7087E" w:rsidP="001612A1">
            <w:pPr>
              <w:jc w:val="both"/>
              <w:rPr>
                <w:color w:val="000000"/>
                <w:sz w:val="22"/>
                <w:szCs w:val="22"/>
              </w:rPr>
            </w:pPr>
            <w:r w:rsidRPr="001612A1">
              <w:rPr>
                <w:color w:val="000000"/>
                <w:sz w:val="22"/>
                <w:szCs w:val="22"/>
              </w:rPr>
              <w:t>€ 726.000</w:t>
            </w:r>
          </w:p>
        </w:tc>
        <w:tc>
          <w:tcPr>
            <w:tcW w:w="1370" w:type="dxa"/>
            <w:shd w:val="clear" w:color="auto" w:fill="D9D9D9" w:themeFill="background1" w:themeFillShade="D9"/>
            <w:noWrap/>
            <w:vAlign w:val="center"/>
            <w:hideMark/>
          </w:tcPr>
          <w:p w:rsidR="00E7087E" w:rsidRPr="001612A1" w:rsidRDefault="00E7087E" w:rsidP="001612A1">
            <w:pPr>
              <w:jc w:val="both"/>
              <w:rPr>
                <w:color w:val="000000"/>
                <w:sz w:val="22"/>
                <w:szCs w:val="22"/>
              </w:rPr>
            </w:pPr>
            <w:r w:rsidRPr="001612A1">
              <w:rPr>
                <w:color w:val="000000"/>
                <w:sz w:val="22"/>
                <w:szCs w:val="22"/>
              </w:rPr>
              <w:t>€ 971.000</w:t>
            </w:r>
          </w:p>
        </w:tc>
        <w:tc>
          <w:tcPr>
            <w:tcW w:w="1418" w:type="dxa"/>
            <w:vMerge w:val="restart"/>
            <w:shd w:val="clear" w:color="auto" w:fill="BFBFBF" w:themeFill="background1" w:themeFillShade="BF"/>
            <w:noWrap/>
            <w:vAlign w:val="center"/>
            <w:hideMark/>
          </w:tcPr>
          <w:p w:rsidR="00E7087E" w:rsidRPr="001612A1" w:rsidRDefault="00E7087E" w:rsidP="001612A1">
            <w:pPr>
              <w:jc w:val="both"/>
              <w:rPr>
                <w:b/>
                <w:color w:val="000000"/>
                <w:sz w:val="22"/>
                <w:szCs w:val="22"/>
              </w:rPr>
            </w:pPr>
            <w:r w:rsidRPr="001612A1">
              <w:rPr>
                <w:b/>
                <w:color w:val="000000"/>
                <w:sz w:val="22"/>
                <w:szCs w:val="22"/>
              </w:rPr>
              <w:t>€ 10.885.000</w:t>
            </w:r>
          </w:p>
        </w:tc>
      </w:tr>
      <w:tr w:rsidR="00E7087E" w:rsidRPr="001612A1" w:rsidTr="00E7087E">
        <w:trPr>
          <w:trHeight w:val="340"/>
        </w:trPr>
        <w:tc>
          <w:tcPr>
            <w:tcW w:w="3843" w:type="dxa"/>
            <w:vMerge/>
            <w:shd w:val="clear" w:color="auto" w:fill="BFBFBF" w:themeFill="background1" w:themeFillShade="BF"/>
            <w:noWrap/>
            <w:vAlign w:val="bottom"/>
            <w:hideMark/>
          </w:tcPr>
          <w:p w:rsidR="00E7087E" w:rsidRPr="001612A1" w:rsidRDefault="00E7087E" w:rsidP="001612A1">
            <w:pPr>
              <w:jc w:val="both"/>
              <w:rPr>
                <w:b/>
                <w:color w:val="000000"/>
                <w:sz w:val="22"/>
                <w:szCs w:val="22"/>
                <w:lang w:val="nl-BE" w:eastAsia="nl-BE"/>
              </w:rPr>
            </w:pPr>
          </w:p>
        </w:tc>
        <w:tc>
          <w:tcPr>
            <w:tcW w:w="1370" w:type="dxa"/>
            <w:shd w:val="clear" w:color="auto" w:fill="D9D9D9" w:themeFill="background1" w:themeFillShade="D9"/>
            <w:noWrap/>
            <w:vAlign w:val="center"/>
            <w:hideMark/>
          </w:tcPr>
          <w:p w:rsidR="00E7087E" w:rsidRPr="001612A1" w:rsidRDefault="00E7087E" w:rsidP="001612A1">
            <w:pPr>
              <w:jc w:val="both"/>
              <w:rPr>
                <w:b/>
                <w:color w:val="000000"/>
                <w:sz w:val="22"/>
                <w:szCs w:val="22"/>
              </w:rPr>
            </w:pPr>
            <w:r w:rsidRPr="001612A1">
              <w:rPr>
                <w:b/>
                <w:color w:val="000000"/>
                <w:sz w:val="22"/>
                <w:szCs w:val="22"/>
              </w:rPr>
              <w:t>84,4%</w:t>
            </w:r>
          </w:p>
        </w:tc>
        <w:tc>
          <w:tcPr>
            <w:tcW w:w="1370" w:type="dxa"/>
            <w:shd w:val="clear" w:color="auto" w:fill="D9D9D9" w:themeFill="background1" w:themeFillShade="D9"/>
            <w:noWrap/>
            <w:vAlign w:val="center"/>
            <w:hideMark/>
          </w:tcPr>
          <w:p w:rsidR="00E7087E" w:rsidRPr="001612A1" w:rsidRDefault="00E7087E" w:rsidP="001612A1">
            <w:pPr>
              <w:jc w:val="both"/>
              <w:rPr>
                <w:b/>
                <w:color w:val="000000"/>
                <w:sz w:val="22"/>
                <w:szCs w:val="22"/>
              </w:rPr>
            </w:pPr>
            <w:r w:rsidRPr="001612A1">
              <w:rPr>
                <w:b/>
                <w:color w:val="000000"/>
                <w:sz w:val="22"/>
                <w:szCs w:val="22"/>
              </w:rPr>
              <w:t>6,7%</w:t>
            </w:r>
          </w:p>
        </w:tc>
        <w:tc>
          <w:tcPr>
            <w:tcW w:w="1370" w:type="dxa"/>
            <w:shd w:val="clear" w:color="auto" w:fill="D9D9D9" w:themeFill="background1" w:themeFillShade="D9"/>
            <w:noWrap/>
            <w:vAlign w:val="center"/>
            <w:hideMark/>
          </w:tcPr>
          <w:p w:rsidR="00E7087E" w:rsidRPr="001612A1" w:rsidRDefault="00E7087E" w:rsidP="001612A1">
            <w:pPr>
              <w:jc w:val="both"/>
              <w:rPr>
                <w:b/>
                <w:color w:val="000000"/>
                <w:sz w:val="22"/>
                <w:szCs w:val="22"/>
              </w:rPr>
            </w:pPr>
            <w:r w:rsidRPr="001612A1">
              <w:rPr>
                <w:b/>
                <w:color w:val="000000"/>
                <w:sz w:val="22"/>
                <w:szCs w:val="22"/>
              </w:rPr>
              <w:t>8,9%</w:t>
            </w:r>
          </w:p>
        </w:tc>
        <w:tc>
          <w:tcPr>
            <w:tcW w:w="1418" w:type="dxa"/>
            <w:vMerge/>
            <w:shd w:val="clear" w:color="auto" w:fill="BFBFBF" w:themeFill="background1" w:themeFillShade="BF"/>
            <w:noWrap/>
            <w:vAlign w:val="bottom"/>
            <w:hideMark/>
          </w:tcPr>
          <w:p w:rsidR="00E7087E" w:rsidRPr="001612A1" w:rsidRDefault="00E7087E" w:rsidP="001612A1">
            <w:pPr>
              <w:jc w:val="both"/>
              <w:rPr>
                <w:color w:val="000000"/>
                <w:sz w:val="22"/>
                <w:szCs w:val="22"/>
                <w:lang w:val="nl-BE" w:eastAsia="nl-BE"/>
              </w:rPr>
            </w:pPr>
          </w:p>
        </w:tc>
      </w:tr>
    </w:tbl>
    <w:p w:rsidR="00FA667D" w:rsidRPr="001612A1" w:rsidRDefault="00FA667D" w:rsidP="001612A1">
      <w:pPr>
        <w:pStyle w:val="Lijstalinea"/>
        <w:spacing w:after="0" w:line="240" w:lineRule="auto"/>
        <w:ind w:left="357"/>
        <w:jc w:val="both"/>
        <w:rPr>
          <w:rFonts w:ascii="Times New Roman" w:hAnsi="Times New Roman"/>
          <w:lang w:val="nl-NL"/>
        </w:rPr>
      </w:pPr>
    </w:p>
    <w:p w:rsidR="00FA667D" w:rsidRPr="001612A1" w:rsidRDefault="00FA667D" w:rsidP="001612A1">
      <w:pPr>
        <w:pStyle w:val="Lijstalinea"/>
        <w:spacing w:after="0" w:line="240" w:lineRule="auto"/>
        <w:ind w:left="357"/>
        <w:jc w:val="both"/>
        <w:rPr>
          <w:rFonts w:ascii="Times New Roman" w:hAnsi="Times New Roman"/>
          <w:lang w:val="nl-NL"/>
        </w:rPr>
      </w:pPr>
      <w:r w:rsidRPr="001612A1">
        <w:rPr>
          <w:rFonts w:ascii="Times New Roman" w:hAnsi="Times New Roman"/>
          <w:lang w:val="nl-NL"/>
        </w:rPr>
        <w:t xml:space="preserve">* excl. </w:t>
      </w:r>
      <w:proofErr w:type="spellStart"/>
      <w:r w:rsidRPr="001612A1">
        <w:rPr>
          <w:rFonts w:ascii="Times New Roman" w:hAnsi="Times New Roman"/>
          <w:lang w:val="nl-NL"/>
        </w:rPr>
        <w:t>Bloso</w:t>
      </w:r>
      <w:proofErr w:type="spellEnd"/>
      <w:r w:rsidRPr="001612A1">
        <w:rPr>
          <w:rFonts w:ascii="Times New Roman" w:hAnsi="Times New Roman"/>
          <w:lang w:val="nl-NL"/>
        </w:rPr>
        <w:t>-tewerkstellingsproject Topsport (</w:t>
      </w:r>
      <w:proofErr w:type="spellStart"/>
      <w:r w:rsidRPr="001612A1">
        <w:rPr>
          <w:rFonts w:ascii="Times New Roman" w:hAnsi="Times New Roman"/>
          <w:lang w:val="nl-NL"/>
        </w:rPr>
        <w:t>Gesco</w:t>
      </w:r>
      <w:proofErr w:type="spellEnd"/>
      <w:r w:rsidRPr="001612A1">
        <w:rPr>
          <w:rFonts w:ascii="Times New Roman" w:hAnsi="Times New Roman"/>
          <w:lang w:val="nl-NL"/>
        </w:rPr>
        <w:t xml:space="preserve">-project) </w:t>
      </w:r>
    </w:p>
    <w:p w:rsidR="00710826" w:rsidRPr="001612A1" w:rsidRDefault="00213530" w:rsidP="001612A1">
      <w:pPr>
        <w:pStyle w:val="Lijstalinea"/>
        <w:spacing w:after="0" w:line="240" w:lineRule="auto"/>
        <w:ind w:left="357"/>
        <w:jc w:val="both"/>
        <w:rPr>
          <w:rFonts w:ascii="Times New Roman" w:hAnsi="Times New Roman"/>
          <w:lang w:val="nl-NL"/>
        </w:rPr>
      </w:pPr>
      <w:r w:rsidRPr="001612A1">
        <w:rPr>
          <w:rFonts w:ascii="Times New Roman" w:hAnsi="Times New Roman"/>
          <w:lang w:val="nl-NL"/>
        </w:rPr>
        <w:t xml:space="preserve">De procentuele verdeling van de werkingsmiddelen Topsport </w:t>
      </w:r>
      <w:r w:rsidR="00EA5C9E" w:rsidRPr="001612A1">
        <w:rPr>
          <w:rFonts w:ascii="Times New Roman" w:hAnsi="Times New Roman"/>
          <w:lang w:val="nl-NL"/>
        </w:rPr>
        <w:t>(</w:t>
      </w:r>
      <w:r w:rsidR="0051448F" w:rsidRPr="001612A1">
        <w:rPr>
          <w:rFonts w:ascii="Times New Roman" w:hAnsi="Times New Roman"/>
          <w:lang w:val="nl-NL"/>
        </w:rPr>
        <w:t>Bloso, Departement CJSM en project Be Gold</w:t>
      </w:r>
      <w:r w:rsidR="00EA5C9E" w:rsidRPr="001612A1">
        <w:rPr>
          <w:rFonts w:ascii="Times New Roman" w:hAnsi="Times New Roman"/>
          <w:lang w:val="nl-NL"/>
        </w:rPr>
        <w:t xml:space="preserve">) </w:t>
      </w:r>
      <w:r w:rsidRPr="001612A1">
        <w:rPr>
          <w:rFonts w:ascii="Times New Roman" w:hAnsi="Times New Roman"/>
          <w:lang w:val="nl-NL"/>
        </w:rPr>
        <w:t>tussen de drie prioriteiten</w:t>
      </w:r>
      <w:r w:rsidR="00E9672B" w:rsidRPr="001612A1">
        <w:rPr>
          <w:rFonts w:ascii="Times New Roman" w:hAnsi="Times New Roman"/>
          <w:lang w:val="nl-NL"/>
        </w:rPr>
        <w:t xml:space="preserve"> stemt </w:t>
      </w:r>
      <w:r w:rsidR="00384A31" w:rsidRPr="001612A1">
        <w:rPr>
          <w:rFonts w:ascii="Times New Roman" w:hAnsi="Times New Roman"/>
          <w:lang w:val="nl-NL"/>
        </w:rPr>
        <w:t xml:space="preserve">in 2014 </w:t>
      </w:r>
      <w:r w:rsidR="00FA667D" w:rsidRPr="001612A1">
        <w:rPr>
          <w:rFonts w:ascii="Times New Roman" w:hAnsi="Times New Roman"/>
          <w:lang w:val="nl-NL"/>
        </w:rPr>
        <w:t xml:space="preserve">(tussentijdse situatie per 30/4/2014) </w:t>
      </w:r>
      <w:r w:rsidR="00E9672B" w:rsidRPr="001612A1">
        <w:rPr>
          <w:rFonts w:ascii="Times New Roman" w:hAnsi="Times New Roman"/>
          <w:lang w:val="nl-NL"/>
        </w:rPr>
        <w:t>in grote mate overeen met de verdeling in 2013, echter een deel van de werkingsmiddelen 2014 (ca.</w:t>
      </w:r>
      <w:r w:rsidR="000B438C" w:rsidRPr="001612A1">
        <w:rPr>
          <w:rFonts w:ascii="Times New Roman" w:hAnsi="Times New Roman"/>
          <w:lang w:val="nl-NL"/>
        </w:rPr>
        <w:t xml:space="preserve"> </w:t>
      </w:r>
      <w:r w:rsidR="0051448F" w:rsidRPr="001612A1">
        <w:rPr>
          <w:rFonts w:ascii="Times New Roman" w:hAnsi="Times New Roman"/>
          <w:lang w:val="nl-NL"/>
        </w:rPr>
        <w:lastRenderedPageBreak/>
        <w:t>3</w:t>
      </w:r>
      <w:r w:rsidR="0048112D" w:rsidRPr="001612A1">
        <w:rPr>
          <w:rFonts w:ascii="Times New Roman" w:hAnsi="Times New Roman"/>
          <w:lang w:val="nl-NL"/>
        </w:rPr>
        <w:t>.45</w:t>
      </w:r>
      <w:r w:rsidR="000B438C" w:rsidRPr="001612A1">
        <w:rPr>
          <w:rFonts w:ascii="Times New Roman" w:hAnsi="Times New Roman"/>
          <w:lang w:val="nl-NL"/>
        </w:rPr>
        <w:t>0.000 euro</w:t>
      </w:r>
      <w:r w:rsidR="00384A31" w:rsidRPr="001612A1">
        <w:rPr>
          <w:rFonts w:ascii="Times New Roman" w:hAnsi="Times New Roman"/>
          <w:lang w:val="nl-NL"/>
        </w:rPr>
        <w:t xml:space="preserve">, o.a. bestemd voor de </w:t>
      </w:r>
      <w:r w:rsidR="00DD770F" w:rsidRPr="001612A1">
        <w:rPr>
          <w:rFonts w:ascii="Times New Roman" w:hAnsi="Times New Roman"/>
          <w:lang w:val="nl-NL"/>
        </w:rPr>
        <w:t xml:space="preserve">programmakosten van de Vlaamse wielerploegen en de </w:t>
      </w:r>
      <w:r w:rsidR="00384A31" w:rsidRPr="001612A1">
        <w:rPr>
          <w:rFonts w:ascii="Times New Roman" w:hAnsi="Times New Roman"/>
          <w:lang w:val="nl-NL"/>
        </w:rPr>
        <w:t>organisatie van evenementen</w:t>
      </w:r>
      <w:r w:rsidR="000B438C" w:rsidRPr="001612A1">
        <w:rPr>
          <w:rFonts w:ascii="Times New Roman" w:hAnsi="Times New Roman"/>
          <w:lang w:val="nl-NL"/>
        </w:rPr>
        <w:t>)</w:t>
      </w:r>
      <w:r w:rsidR="00E9672B" w:rsidRPr="001612A1">
        <w:rPr>
          <w:rFonts w:ascii="Times New Roman" w:hAnsi="Times New Roman"/>
          <w:lang w:val="nl-NL"/>
        </w:rPr>
        <w:t xml:space="preserve"> werd nog niet </w:t>
      </w:r>
      <w:r w:rsidR="00DA6857" w:rsidRPr="001612A1">
        <w:rPr>
          <w:rFonts w:ascii="Times New Roman" w:hAnsi="Times New Roman"/>
          <w:lang w:val="nl-NL"/>
        </w:rPr>
        <w:t>toegekend</w:t>
      </w:r>
      <w:r w:rsidR="000B438C" w:rsidRPr="001612A1">
        <w:rPr>
          <w:rFonts w:ascii="Times New Roman" w:hAnsi="Times New Roman"/>
          <w:lang w:val="nl-NL"/>
        </w:rPr>
        <w:t xml:space="preserve">. </w:t>
      </w:r>
    </w:p>
    <w:p w:rsidR="00710826" w:rsidRPr="001612A1" w:rsidRDefault="00710826" w:rsidP="001612A1">
      <w:pPr>
        <w:pStyle w:val="Lijstalinea"/>
        <w:spacing w:after="0" w:line="240" w:lineRule="auto"/>
        <w:ind w:left="357"/>
        <w:jc w:val="both"/>
        <w:rPr>
          <w:rFonts w:ascii="Times New Roman" w:hAnsi="Times New Roman"/>
          <w:lang w:val="nl-NL"/>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3"/>
        <w:gridCol w:w="1370"/>
        <w:gridCol w:w="1370"/>
        <w:gridCol w:w="1370"/>
        <w:gridCol w:w="1418"/>
      </w:tblGrid>
      <w:tr w:rsidR="00E9672B" w:rsidRPr="001612A1" w:rsidTr="00E9672B">
        <w:trPr>
          <w:trHeight w:val="300"/>
        </w:trPr>
        <w:tc>
          <w:tcPr>
            <w:tcW w:w="3843" w:type="dxa"/>
            <w:vMerge w:val="restart"/>
            <w:shd w:val="clear" w:color="auto" w:fill="BFBFBF" w:themeFill="background1" w:themeFillShade="BF"/>
            <w:noWrap/>
            <w:vAlign w:val="center"/>
            <w:hideMark/>
          </w:tcPr>
          <w:p w:rsidR="00E9672B" w:rsidRPr="001612A1" w:rsidRDefault="00E9672B" w:rsidP="001612A1">
            <w:pPr>
              <w:jc w:val="both"/>
              <w:rPr>
                <w:color w:val="000000"/>
                <w:sz w:val="22"/>
                <w:szCs w:val="22"/>
                <w:lang w:val="nl-BE" w:eastAsia="nl-BE"/>
              </w:rPr>
            </w:pPr>
            <w:r w:rsidRPr="001612A1">
              <w:rPr>
                <w:color w:val="000000"/>
                <w:sz w:val="22"/>
                <w:szCs w:val="22"/>
                <w:lang w:eastAsia="nl-BE"/>
              </w:rPr>
              <w:t>Raming van de w</w:t>
            </w:r>
            <w:proofErr w:type="spellStart"/>
            <w:r w:rsidRPr="001612A1">
              <w:rPr>
                <w:color w:val="000000"/>
                <w:sz w:val="22"/>
                <w:szCs w:val="22"/>
                <w:lang w:val="nl-BE" w:eastAsia="nl-BE"/>
              </w:rPr>
              <w:t>erkingsmiddelen</w:t>
            </w:r>
            <w:proofErr w:type="spellEnd"/>
            <w:r w:rsidRPr="001612A1">
              <w:rPr>
                <w:color w:val="000000"/>
                <w:sz w:val="22"/>
                <w:szCs w:val="22"/>
                <w:lang w:val="nl-BE" w:eastAsia="nl-BE"/>
              </w:rPr>
              <w:t xml:space="preserve"> Topsport </w:t>
            </w:r>
            <w:r w:rsidRPr="001612A1">
              <w:rPr>
                <w:b/>
                <w:color w:val="000000"/>
                <w:sz w:val="22"/>
                <w:szCs w:val="22"/>
                <w:lang w:val="nl-BE" w:eastAsia="nl-BE"/>
              </w:rPr>
              <w:t>2014</w:t>
            </w:r>
            <w:r w:rsidRPr="001612A1">
              <w:rPr>
                <w:color w:val="000000"/>
                <w:sz w:val="22"/>
                <w:szCs w:val="22"/>
                <w:lang w:val="nl-BE" w:eastAsia="nl-BE"/>
              </w:rPr>
              <w:t>, rechtstreeks toegekend aan een sporttak</w:t>
            </w:r>
          </w:p>
        </w:tc>
        <w:tc>
          <w:tcPr>
            <w:tcW w:w="1370" w:type="dxa"/>
            <w:shd w:val="clear" w:color="auto" w:fill="D9D9D9" w:themeFill="background1" w:themeFillShade="D9"/>
            <w:noWrap/>
            <w:vAlign w:val="center"/>
            <w:hideMark/>
          </w:tcPr>
          <w:p w:rsidR="00E9672B" w:rsidRPr="001612A1" w:rsidRDefault="00E9672B" w:rsidP="001612A1">
            <w:pPr>
              <w:jc w:val="both"/>
              <w:rPr>
                <w:color w:val="000000"/>
                <w:sz w:val="22"/>
                <w:szCs w:val="22"/>
                <w:lang w:val="nl-BE" w:eastAsia="nl-BE"/>
              </w:rPr>
            </w:pPr>
            <w:r w:rsidRPr="001612A1">
              <w:rPr>
                <w:color w:val="000000"/>
                <w:sz w:val="22"/>
                <w:szCs w:val="22"/>
                <w:lang w:val="nl-BE" w:eastAsia="nl-BE"/>
              </w:rPr>
              <w:t>Prioriteit 1</w:t>
            </w:r>
          </w:p>
        </w:tc>
        <w:tc>
          <w:tcPr>
            <w:tcW w:w="1370" w:type="dxa"/>
            <w:shd w:val="clear" w:color="auto" w:fill="D9D9D9" w:themeFill="background1" w:themeFillShade="D9"/>
            <w:noWrap/>
            <w:vAlign w:val="center"/>
            <w:hideMark/>
          </w:tcPr>
          <w:p w:rsidR="00E9672B" w:rsidRPr="001612A1" w:rsidRDefault="00E9672B" w:rsidP="001612A1">
            <w:pPr>
              <w:jc w:val="both"/>
              <w:rPr>
                <w:color w:val="000000"/>
                <w:sz w:val="22"/>
                <w:szCs w:val="22"/>
                <w:lang w:val="nl-BE" w:eastAsia="nl-BE"/>
              </w:rPr>
            </w:pPr>
            <w:r w:rsidRPr="001612A1">
              <w:rPr>
                <w:color w:val="000000"/>
                <w:sz w:val="22"/>
                <w:szCs w:val="22"/>
                <w:lang w:val="nl-BE" w:eastAsia="nl-BE"/>
              </w:rPr>
              <w:t>Prioriteit 2</w:t>
            </w:r>
          </w:p>
        </w:tc>
        <w:tc>
          <w:tcPr>
            <w:tcW w:w="1370" w:type="dxa"/>
            <w:shd w:val="clear" w:color="auto" w:fill="D9D9D9" w:themeFill="background1" w:themeFillShade="D9"/>
            <w:noWrap/>
            <w:vAlign w:val="center"/>
            <w:hideMark/>
          </w:tcPr>
          <w:p w:rsidR="00E9672B" w:rsidRPr="001612A1" w:rsidRDefault="00E9672B" w:rsidP="001612A1">
            <w:pPr>
              <w:jc w:val="both"/>
              <w:rPr>
                <w:color w:val="000000"/>
                <w:sz w:val="22"/>
                <w:szCs w:val="22"/>
                <w:lang w:val="nl-BE" w:eastAsia="nl-BE"/>
              </w:rPr>
            </w:pPr>
            <w:r w:rsidRPr="001612A1">
              <w:rPr>
                <w:color w:val="000000"/>
                <w:sz w:val="22"/>
                <w:szCs w:val="22"/>
                <w:lang w:val="nl-BE" w:eastAsia="nl-BE"/>
              </w:rPr>
              <w:t>Prioriteit 3</w:t>
            </w:r>
          </w:p>
        </w:tc>
        <w:tc>
          <w:tcPr>
            <w:tcW w:w="1418" w:type="dxa"/>
            <w:vMerge w:val="restart"/>
            <w:shd w:val="clear" w:color="auto" w:fill="BFBFBF" w:themeFill="background1" w:themeFillShade="BF"/>
            <w:noWrap/>
            <w:vAlign w:val="center"/>
            <w:hideMark/>
          </w:tcPr>
          <w:p w:rsidR="00E9672B" w:rsidRPr="001612A1" w:rsidRDefault="00E9672B" w:rsidP="001612A1">
            <w:pPr>
              <w:jc w:val="both"/>
              <w:rPr>
                <w:b/>
                <w:color w:val="000000"/>
                <w:sz w:val="22"/>
                <w:szCs w:val="22"/>
                <w:lang w:val="nl-BE" w:eastAsia="nl-BE"/>
              </w:rPr>
            </w:pPr>
            <w:r w:rsidRPr="001612A1">
              <w:rPr>
                <w:b/>
                <w:color w:val="000000"/>
                <w:sz w:val="22"/>
                <w:szCs w:val="22"/>
                <w:lang w:val="nl-BE" w:eastAsia="nl-BE"/>
              </w:rPr>
              <w:t>Totaal</w:t>
            </w:r>
          </w:p>
          <w:p w:rsidR="00E9672B" w:rsidRPr="001612A1" w:rsidRDefault="00E9672B" w:rsidP="001612A1">
            <w:pPr>
              <w:jc w:val="both"/>
              <w:rPr>
                <w:b/>
                <w:color w:val="000000"/>
                <w:sz w:val="22"/>
                <w:szCs w:val="22"/>
                <w:lang w:val="nl-BE" w:eastAsia="nl-BE"/>
              </w:rPr>
            </w:pPr>
          </w:p>
        </w:tc>
      </w:tr>
      <w:tr w:rsidR="00E9672B" w:rsidRPr="001612A1" w:rsidTr="00E9672B">
        <w:trPr>
          <w:trHeight w:val="300"/>
        </w:trPr>
        <w:tc>
          <w:tcPr>
            <w:tcW w:w="3843" w:type="dxa"/>
            <w:vMerge/>
            <w:shd w:val="clear" w:color="auto" w:fill="BFBFBF" w:themeFill="background1" w:themeFillShade="BF"/>
            <w:noWrap/>
            <w:vAlign w:val="center"/>
            <w:hideMark/>
          </w:tcPr>
          <w:p w:rsidR="00E9672B" w:rsidRPr="001612A1" w:rsidRDefault="00E9672B" w:rsidP="001612A1">
            <w:pPr>
              <w:jc w:val="both"/>
              <w:rPr>
                <w:color w:val="000000"/>
                <w:sz w:val="22"/>
                <w:szCs w:val="22"/>
                <w:lang w:val="nl-BE" w:eastAsia="nl-BE"/>
              </w:rPr>
            </w:pPr>
          </w:p>
        </w:tc>
        <w:tc>
          <w:tcPr>
            <w:tcW w:w="1370" w:type="dxa"/>
            <w:shd w:val="clear" w:color="auto" w:fill="D9D9D9" w:themeFill="background1" w:themeFillShade="D9"/>
            <w:noWrap/>
            <w:vAlign w:val="center"/>
            <w:hideMark/>
          </w:tcPr>
          <w:p w:rsidR="00E9672B" w:rsidRPr="001612A1" w:rsidRDefault="00E9672B" w:rsidP="001612A1">
            <w:pPr>
              <w:jc w:val="both"/>
              <w:rPr>
                <w:color w:val="000000"/>
                <w:sz w:val="22"/>
                <w:szCs w:val="22"/>
                <w:lang w:val="nl-BE" w:eastAsia="nl-BE"/>
              </w:rPr>
            </w:pPr>
            <w:r w:rsidRPr="001612A1">
              <w:rPr>
                <w:color w:val="000000"/>
                <w:sz w:val="22"/>
                <w:szCs w:val="22"/>
                <w:lang w:val="nl-BE" w:eastAsia="nl-BE"/>
              </w:rPr>
              <w:t>Focussporten en G-sport</w:t>
            </w:r>
          </w:p>
        </w:tc>
        <w:tc>
          <w:tcPr>
            <w:tcW w:w="1370" w:type="dxa"/>
            <w:shd w:val="clear" w:color="auto" w:fill="D9D9D9" w:themeFill="background1" w:themeFillShade="D9"/>
            <w:noWrap/>
            <w:vAlign w:val="center"/>
            <w:hideMark/>
          </w:tcPr>
          <w:p w:rsidR="00E9672B" w:rsidRPr="001612A1" w:rsidRDefault="00E9672B" w:rsidP="001612A1">
            <w:pPr>
              <w:jc w:val="both"/>
              <w:rPr>
                <w:color w:val="000000"/>
                <w:sz w:val="22"/>
                <w:szCs w:val="22"/>
                <w:lang w:val="nl-BE" w:eastAsia="nl-BE"/>
              </w:rPr>
            </w:pPr>
            <w:r w:rsidRPr="001612A1">
              <w:rPr>
                <w:color w:val="000000"/>
                <w:sz w:val="22"/>
                <w:szCs w:val="22"/>
                <w:lang w:val="nl-BE" w:eastAsia="nl-BE"/>
              </w:rPr>
              <w:t>Windows of opportunity</w:t>
            </w:r>
          </w:p>
        </w:tc>
        <w:tc>
          <w:tcPr>
            <w:tcW w:w="1370" w:type="dxa"/>
            <w:shd w:val="clear" w:color="auto" w:fill="D9D9D9" w:themeFill="background1" w:themeFillShade="D9"/>
            <w:noWrap/>
            <w:vAlign w:val="center"/>
            <w:hideMark/>
          </w:tcPr>
          <w:p w:rsidR="00E9672B" w:rsidRPr="001612A1" w:rsidRDefault="00E9672B" w:rsidP="001612A1">
            <w:pPr>
              <w:jc w:val="both"/>
              <w:rPr>
                <w:color w:val="000000"/>
                <w:sz w:val="22"/>
                <w:szCs w:val="22"/>
                <w:lang w:val="nl-BE" w:eastAsia="nl-BE"/>
              </w:rPr>
            </w:pPr>
            <w:r w:rsidRPr="001612A1">
              <w:rPr>
                <w:color w:val="000000"/>
                <w:sz w:val="22"/>
                <w:szCs w:val="22"/>
                <w:lang w:val="nl-BE" w:eastAsia="nl-BE"/>
              </w:rPr>
              <w:t>Sporttakken cat. 2-3-4</w:t>
            </w:r>
          </w:p>
        </w:tc>
        <w:tc>
          <w:tcPr>
            <w:tcW w:w="1418" w:type="dxa"/>
            <w:vMerge/>
            <w:shd w:val="clear" w:color="auto" w:fill="BFBFBF" w:themeFill="background1" w:themeFillShade="BF"/>
            <w:noWrap/>
            <w:vAlign w:val="center"/>
            <w:hideMark/>
          </w:tcPr>
          <w:p w:rsidR="00E9672B" w:rsidRPr="001612A1" w:rsidRDefault="00E9672B" w:rsidP="001612A1">
            <w:pPr>
              <w:jc w:val="both"/>
              <w:rPr>
                <w:b/>
                <w:color w:val="000000"/>
                <w:sz w:val="22"/>
                <w:szCs w:val="22"/>
                <w:lang w:val="nl-BE" w:eastAsia="nl-BE"/>
              </w:rPr>
            </w:pPr>
          </w:p>
        </w:tc>
      </w:tr>
      <w:tr w:rsidR="00E7087E" w:rsidRPr="001612A1" w:rsidTr="00E7087E">
        <w:trPr>
          <w:trHeight w:val="3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Programmakosten (voorbereiding &amp; deelname internationale wedstrijden)</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€ 1.311.000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€ 127.000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€ 146.000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€ 1.584.000</w:t>
            </w:r>
          </w:p>
        </w:tc>
      </w:tr>
      <w:tr w:rsidR="00E7087E" w:rsidRPr="001612A1" w:rsidTr="00E7087E">
        <w:trPr>
          <w:trHeight w:val="6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Loonkost trainers (toptrainers, jeugdtrainers topsport, lesgevers TSS, …)</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€ 3.002.000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€ 122.000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€ 634.000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€ 3.758.000</w:t>
            </w:r>
          </w:p>
        </w:tc>
      </w:tr>
      <w:tr w:rsidR="00E7087E" w:rsidRPr="001612A1" w:rsidTr="00E7087E">
        <w:trPr>
          <w:trHeight w:val="6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Organisatie van evenementen</w:t>
            </w:r>
          </w:p>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(WB-EK-WK)</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€ 170.000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€ 170.000</w:t>
            </w:r>
          </w:p>
        </w:tc>
      </w:tr>
      <w:tr w:rsidR="00E7087E" w:rsidRPr="001612A1" w:rsidTr="00E7087E">
        <w:trPr>
          <w:trHeight w:val="6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 xml:space="preserve">Tewerkstelling topsporters (wielerploegen, Atletiek Vlaanderen, </w:t>
            </w:r>
            <w:proofErr w:type="spellStart"/>
            <w:r w:rsidRPr="001612A1">
              <w:rPr>
                <w:color w:val="000000"/>
                <w:sz w:val="22"/>
                <w:szCs w:val="22"/>
                <w:lang w:val="nl-BE" w:eastAsia="nl-BE"/>
              </w:rPr>
              <w:t>Bloso</w:t>
            </w:r>
            <w:proofErr w:type="spellEnd"/>
            <w:r w:rsidRPr="001612A1">
              <w:rPr>
                <w:color w:val="000000"/>
                <w:sz w:val="22"/>
                <w:szCs w:val="22"/>
                <w:lang w:val="nl-BE" w:eastAsia="nl-BE"/>
              </w:rPr>
              <w:t>-topsportstudentenproject, …)</w:t>
            </w:r>
            <w:r w:rsidR="0051448F" w:rsidRPr="001612A1">
              <w:rPr>
                <w:color w:val="000000"/>
                <w:sz w:val="22"/>
                <w:szCs w:val="22"/>
                <w:lang w:val="nl-BE" w:eastAsia="nl-BE"/>
              </w:rPr>
              <w:t>*</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€ 1.838.000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€ 34.000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€ 1.872.000</w:t>
            </w:r>
          </w:p>
        </w:tc>
      </w:tr>
      <w:tr w:rsidR="00E7087E" w:rsidRPr="001612A1" w:rsidTr="00E7087E">
        <w:trPr>
          <w:trHeight w:val="300"/>
        </w:trPr>
        <w:tc>
          <w:tcPr>
            <w:tcW w:w="3843" w:type="dxa"/>
            <w:shd w:val="clear" w:color="auto" w:fill="auto"/>
            <w:vAlign w:val="center"/>
            <w:hideMark/>
          </w:tcPr>
          <w:p w:rsidR="00E7087E" w:rsidRPr="001612A1" w:rsidRDefault="00E7087E" w:rsidP="001612A1">
            <w:pPr>
              <w:jc w:val="both"/>
              <w:rPr>
                <w:color w:val="000000"/>
                <w:sz w:val="22"/>
                <w:szCs w:val="22"/>
                <w:lang w:val="nl-BE" w:eastAsia="nl-BE"/>
              </w:rPr>
            </w:pPr>
            <w:r w:rsidRPr="001612A1">
              <w:rPr>
                <w:color w:val="000000"/>
                <w:sz w:val="22"/>
                <w:szCs w:val="22"/>
                <w:lang w:val="nl-BE" w:eastAsia="nl-BE"/>
              </w:rPr>
              <w:t>Interdisciplinaire omkadering van topsporters</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€ 770.000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€ 7.000</w:t>
            </w:r>
          </w:p>
        </w:tc>
        <w:tc>
          <w:tcPr>
            <w:tcW w:w="1370"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€ 160.000</w:t>
            </w:r>
          </w:p>
        </w:tc>
        <w:tc>
          <w:tcPr>
            <w:tcW w:w="1418" w:type="dxa"/>
            <w:shd w:val="clear" w:color="auto" w:fill="auto"/>
            <w:noWrap/>
            <w:vAlign w:val="center"/>
            <w:hideMark/>
          </w:tcPr>
          <w:p w:rsidR="00E7087E" w:rsidRPr="001612A1" w:rsidRDefault="00E7087E" w:rsidP="001612A1">
            <w:pPr>
              <w:jc w:val="both"/>
              <w:rPr>
                <w:color w:val="000000"/>
                <w:sz w:val="22"/>
                <w:szCs w:val="22"/>
              </w:rPr>
            </w:pPr>
            <w:r w:rsidRPr="001612A1">
              <w:rPr>
                <w:color w:val="000000"/>
                <w:sz w:val="22"/>
                <w:szCs w:val="22"/>
              </w:rPr>
              <w:t>€ 937.000</w:t>
            </w:r>
          </w:p>
        </w:tc>
      </w:tr>
      <w:tr w:rsidR="00E7087E" w:rsidRPr="001612A1" w:rsidTr="00E7087E">
        <w:trPr>
          <w:trHeight w:val="340"/>
        </w:trPr>
        <w:tc>
          <w:tcPr>
            <w:tcW w:w="3843" w:type="dxa"/>
            <w:vMerge w:val="restart"/>
            <w:shd w:val="clear" w:color="auto" w:fill="BFBFBF" w:themeFill="background1" w:themeFillShade="BF"/>
            <w:noWrap/>
            <w:vAlign w:val="center"/>
            <w:hideMark/>
          </w:tcPr>
          <w:p w:rsidR="00DA6857" w:rsidRPr="001612A1" w:rsidRDefault="00DA6857" w:rsidP="001612A1">
            <w:pPr>
              <w:jc w:val="both"/>
              <w:rPr>
                <w:b/>
                <w:color w:val="000000"/>
                <w:sz w:val="22"/>
                <w:szCs w:val="22"/>
                <w:lang w:val="nl-BE" w:eastAsia="nl-BE"/>
              </w:rPr>
            </w:pPr>
            <w:r w:rsidRPr="001612A1">
              <w:rPr>
                <w:b/>
                <w:color w:val="000000"/>
                <w:sz w:val="22"/>
                <w:szCs w:val="22"/>
                <w:lang w:val="nl-BE" w:eastAsia="nl-BE"/>
              </w:rPr>
              <w:t>Tussentijdse situatie per 30/4/2014</w:t>
            </w:r>
          </w:p>
        </w:tc>
        <w:tc>
          <w:tcPr>
            <w:tcW w:w="1370" w:type="dxa"/>
            <w:shd w:val="clear" w:color="auto" w:fill="D9D9D9" w:themeFill="background1" w:themeFillShade="D9"/>
            <w:noWrap/>
            <w:vAlign w:val="center"/>
            <w:hideMark/>
          </w:tcPr>
          <w:p w:rsidR="00E7087E" w:rsidRPr="001612A1" w:rsidRDefault="00E7087E" w:rsidP="001612A1">
            <w:pPr>
              <w:jc w:val="both"/>
              <w:rPr>
                <w:color w:val="000000"/>
                <w:sz w:val="22"/>
                <w:szCs w:val="22"/>
              </w:rPr>
            </w:pPr>
            <w:r w:rsidRPr="001612A1">
              <w:rPr>
                <w:color w:val="000000"/>
                <w:sz w:val="22"/>
                <w:szCs w:val="22"/>
              </w:rPr>
              <w:t>€ 7.091.000</w:t>
            </w:r>
          </w:p>
        </w:tc>
        <w:tc>
          <w:tcPr>
            <w:tcW w:w="1370" w:type="dxa"/>
            <w:shd w:val="clear" w:color="auto" w:fill="D9D9D9" w:themeFill="background1" w:themeFillShade="D9"/>
            <w:noWrap/>
            <w:vAlign w:val="center"/>
            <w:hideMark/>
          </w:tcPr>
          <w:p w:rsidR="00E7087E" w:rsidRPr="001612A1" w:rsidRDefault="00E7087E" w:rsidP="001612A1">
            <w:pPr>
              <w:jc w:val="both"/>
              <w:rPr>
                <w:color w:val="000000"/>
                <w:sz w:val="22"/>
                <w:szCs w:val="22"/>
              </w:rPr>
            </w:pPr>
            <w:r w:rsidRPr="001612A1">
              <w:rPr>
                <w:color w:val="000000"/>
                <w:sz w:val="22"/>
                <w:szCs w:val="22"/>
              </w:rPr>
              <w:t>€ 256.000</w:t>
            </w:r>
          </w:p>
        </w:tc>
        <w:tc>
          <w:tcPr>
            <w:tcW w:w="1370" w:type="dxa"/>
            <w:shd w:val="clear" w:color="auto" w:fill="D9D9D9" w:themeFill="background1" w:themeFillShade="D9"/>
            <w:noWrap/>
            <w:vAlign w:val="center"/>
            <w:hideMark/>
          </w:tcPr>
          <w:p w:rsidR="00E7087E" w:rsidRPr="001612A1" w:rsidRDefault="00E7087E" w:rsidP="001612A1">
            <w:pPr>
              <w:jc w:val="both"/>
              <w:rPr>
                <w:color w:val="000000"/>
                <w:sz w:val="22"/>
                <w:szCs w:val="22"/>
              </w:rPr>
            </w:pPr>
            <w:r w:rsidRPr="001612A1">
              <w:rPr>
                <w:color w:val="000000"/>
                <w:sz w:val="22"/>
                <w:szCs w:val="22"/>
              </w:rPr>
              <w:t>€ 974.000</w:t>
            </w:r>
          </w:p>
        </w:tc>
        <w:tc>
          <w:tcPr>
            <w:tcW w:w="1418" w:type="dxa"/>
            <w:vMerge w:val="restart"/>
            <w:shd w:val="clear" w:color="auto" w:fill="BFBFBF" w:themeFill="background1" w:themeFillShade="BF"/>
            <w:noWrap/>
            <w:vAlign w:val="center"/>
            <w:hideMark/>
          </w:tcPr>
          <w:p w:rsidR="00E7087E" w:rsidRPr="001612A1" w:rsidRDefault="00E7087E" w:rsidP="001612A1">
            <w:pPr>
              <w:jc w:val="both"/>
              <w:rPr>
                <w:b/>
                <w:color w:val="000000"/>
                <w:sz w:val="22"/>
                <w:szCs w:val="22"/>
              </w:rPr>
            </w:pPr>
            <w:r w:rsidRPr="001612A1">
              <w:rPr>
                <w:b/>
                <w:color w:val="000000"/>
                <w:sz w:val="22"/>
                <w:szCs w:val="22"/>
              </w:rPr>
              <w:t>€ 8.321.000</w:t>
            </w:r>
          </w:p>
        </w:tc>
      </w:tr>
      <w:tr w:rsidR="00E7087E" w:rsidRPr="001612A1" w:rsidTr="00E7087E">
        <w:trPr>
          <w:trHeight w:val="340"/>
        </w:trPr>
        <w:tc>
          <w:tcPr>
            <w:tcW w:w="3843" w:type="dxa"/>
            <w:vMerge/>
            <w:shd w:val="clear" w:color="auto" w:fill="BFBFBF" w:themeFill="background1" w:themeFillShade="BF"/>
            <w:noWrap/>
            <w:vAlign w:val="bottom"/>
            <w:hideMark/>
          </w:tcPr>
          <w:p w:rsidR="00E7087E" w:rsidRPr="001612A1" w:rsidRDefault="00E7087E" w:rsidP="001612A1">
            <w:pPr>
              <w:jc w:val="both"/>
              <w:rPr>
                <w:b/>
                <w:color w:val="000000"/>
                <w:sz w:val="22"/>
                <w:szCs w:val="22"/>
                <w:lang w:val="nl-BE" w:eastAsia="nl-BE"/>
              </w:rPr>
            </w:pPr>
          </w:p>
        </w:tc>
        <w:tc>
          <w:tcPr>
            <w:tcW w:w="1370" w:type="dxa"/>
            <w:shd w:val="clear" w:color="auto" w:fill="D9D9D9" w:themeFill="background1" w:themeFillShade="D9"/>
            <w:noWrap/>
            <w:vAlign w:val="center"/>
            <w:hideMark/>
          </w:tcPr>
          <w:p w:rsidR="00E7087E" w:rsidRPr="001612A1" w:rsidRDefault="00E7087E" w:rsidP="001612A1">
            <w:pPr>
              <w:jc w:val="both"/>
              <w:rPr>
                <w:b/>
                <w:color w:val="000000"/>
                <w:sz w:val="22"/>
                <w:szCs w:val="22"/>
              </w:rPr>
            </w:pPr>
            <w:r w:rsidRPr="001612A1">
              <w:rPr>
                <w:b/>
                <w:color w:val="000000"/>
                <w:sz w:val="22"/>
                <w:szCs w:val="22"/>
              </w:rPr>
              <w:t>85,2%</w:t>
            </w:r>
          </w:p>
        </w:tc>
        <w:tc>
          <w:tcPr>
            <w:tcW w:w="1370" w:type="dxa"/>
            <w:shd w:val="clear" w:color="auto" w:fill="D9D9D9" w:themeFill="background1" w:themeFillShade="D9"/>
            <w:noWrap/>
            <w:vAlign w:val="center"/>
            <w:hideMark/>
          </w:tcPr>
          <w:p w:rsidR="00E7087E" w:rsidRPr="001612A1" w:rsidRDefault="00E7087E" w:rsidP="001612A1">
            <w:pPr>
              <w:jc w:val="both"/>
              <w:rPr>
                <w:b/>
                <w:color w:val="000000"/>
                <w:sz w:val="22"/>
                <w:szCs w:val="22"/>
              </w:rPr>
            </w:pPr>
            <w:r w:rsidRPr="001612A1">
              <w:rPr>
                <w:b/>
                <w:color w:val="000000"/>
                <w:sz w:val="22"/>
                <w:szCs w:val="22"/>
              </w:rPr>
              <w:t>3,1%</w:t>
            </w:r>
          </w:p>
        </w:tc>
        <w:tc>
          <w:tcPr>
            <w:tcW w:w="1370" w:type="dxa"/>
            <w:shd w:val="clear" w:color="auto" w:fill="D9D9D9" w:themeFill="background1" w:themeFillShade="D9"/>
            <w:noWrap/>
            <w:vAlign w:val="center"/>
            <w:hideMark/>
          </w:tcPr>
          <w:p w:rsidR="00E7087E" w:rsidRPr="001612A1" w:rsidRDefault="00E7087E" w:rsidP="001612A1">
            <w:pPr>
              <w:jc w:val="both"/>
              <w:rPr>
                <w:b/>
                <w:color w:val="000000"/>
                <w:sz w:val="22"/>
                <w:szCs w:val="22"/>
              </w:rPr>
            </w:pPr>
            <w:r w:rsidRPr="001612A1">
              <w:rPr>
                <w:b/>
                <w:color w:val="000000"/>
                <w:sz w:val="22"/>
                <w:szCs w:val="22"/>
              </w:rPr>
              <w:t>11,7%</w:t>
            </w:r>
          </w:p>
        </w:tc>
        <w:tc>
          <w:tcPr>
            <w:tcW w:w="1418" w:type="dxa"/>
            <w:vMerge/>
            <w:shd w:val="clear" w:color="auto" w:fill="BFBFBF" w:themeFill="background1" w:themeFillShade="BF"/>
            <w:noWrap/>
            <w:vAlign w:val="bottom"/>
            <w:hideMark/>
          </w:tcPr>
          <w:p w:rsidR="00E7087E" w:rsidRPr="001612A1" w:rsidRDefault="00E7087E" w:rsidP="001612A1">
            <w:pPr>
              <w:jc w:val="both"/>
              <w:rPr>
                <w:color w:val="000000"/>
                <w:sz w:val="22"/>
                <w:szCs w:val="22"/>
                <w:lang w:val="nl-BE" w:eastAsia="nl-BE"/>
              </w:rPr>
            </w:pPr>
          </w:p>
        </w:tc>
      </w:tr>
    </w:tbl>
    <w:p w:rsidR="0051448F" w:rsidRPr="001612A1" w:rsidRDefault="0051448F" w:rsidP="001612A1">
      <w:pPr>
        <w:pStyle w:val="Lijstalinea"/>
        <w:spacing w:after="0" w:line="240" w:lineRule="auto"/>
        <w:ind w:left="357"/>
        <w:jc w:val="both"/>
        <w:rPr>
          <w:rFonts w:ascii="Times New Roman" w:hAnsi="Times New Roman"/>
          <w:lang w:val="nl-NL"/>
        </w:rPr>
      </w:pPr>
      <w:r w:rsidRPr="001612A1">
        <w:rPr>
          <w:rFonts w:ascii="Times New Roman" w:hAnsi="Times New Roman"/>
          <w:lang w:val="nl-NL"/>
        </w:rPr>
        <w:t xml:space="preserve">* excl. </w:t>
      </w:r>
      <w:proofErr w:type="spellStart"/>
      <w:r w:rsidRPr="001612A1">
        <w:rPr>
          <w:rFonts w:ascii="Times New Roman" w:hAnsi="Times New Roman"/>
          <w:lang w:val="nl-NL"/>
        </w:rPr>
        <w:t>Bloso</w:t>
      </w:r>
      <w:proofErr w:type="spellEnd"/>
      <w:r w:rsidRPr="001612A1">
        <w:rPr>
          <w:rFonts w:ascii="Times New Roman" w:hAnsi="Times New Roman"/>
          <w:lang w:val="nl-NL"/>
        </w:rPr>
        <w:t>-tewerkstellingsproject Topsport (</w:t>
      </w:r>
      <w:proofErr w:type="spellStart"/>
      <w:r w:rsidRPr="001612A1">
        <w:rPr>
          <w:rFonts w:ascii="Times New Roman" w:hAnsi="Times New Roman"/>
          <w:lang w:val="nl-NL"/>
        </w:rPr>
        <w:t>Gesco</w:t>
      </w:r>
      <w:proofErr w:type="spellEnd"/>
      <w:r w:rsidRPr="001612A1">
        <w:rPr>
          <w:rFonts w:ascii="Times New Roman" w:hAnsi="Times New Roman"/>
          <w:lang w:val="nl-NL"/>
        </w:rPr>
        <w:t xml:space="preserve">-project) </w:t>
      </w:r>
    </w:p>
    <w:p w:rsidR="00C157A6" w:rsidRPr="001612A1" w:rsidRDefault="00C157A6" w:rsidP="001612A1">
      <w:pPr>
        <w:jc w:val="both"/>
        <w:rPr>
          <w:sz w:val="22"/>
          <w:szCs w:val="22"/>
        </w:rPr>
      </w:pPr>
      <w:bookmarkStart w:id="0" w:name="_GoBack"/>
      <w:bookmarkEnd w:id="0"/>
    </w:p>
    <w:p w:rsidR="00BC63F2" w:rsidRPr="001612A1" w:rsidRDefault="00C157A6" w:rsidP="001612A1">
      <w:pPr>
        <w:pStyle w:val="Lijstalinea"/>
        <w:numPr>
          <w:ilvl w:val="0"/>
          <w:numId w:val="26"/>
        </w:numPr>
        <w:spacing w:after="0" w:line="240" w:lineRule="auto"/>
        <w:ind w:left="357"/>
        <w:jc w:val="both"/>
        <w:rPr>
          <w:rFonts w:ascii="Times New Roman" w:hAnsi="Times New Roman"/>
          <w:lang w:val="nl-NL"/>
        </w:rPr>
      </w:pPr>
      <w:r w:rsidRPr="001612A1">
        <w:rPr>
          <w:rFonts w:ascii="Times New Roman" w:hAnsi="Times New Roman"/>
        </w:rPr>
        <w:t>Via het Beleidsplan Topsport 2013-201</w:t>
      </w:r>
      <w:r w:rsidR="004B487B" w:rsidRPr="001612A1">
        <w:rPr>
          <w:rFonts w:ascii="Times New Roman" w:hAnsi="Times New Roman"/>
        </w:rPr>
        <w:t xml:space="preserve">6 </w:t>
      </w:r>
      <w:r w:rsidRPr="001612A1">
        <w:rPr>
          <w:rFonts w:ascii="Times New Roman" w:hAnsi="Times New Roman"/>
        </w:rPr>
        <w:t>w</w:t>
      </w:r>
      <w:r w:rsidR="004B487B" w:rsidRPr="001612A1">
        <w:rPr>
          <w:rFonts w:ascii="Times New Roman" w:hAnsi="Times New Roman"/>
        </w:rPr>
        <w:t>e</w:t>
      </w:r>
      <w:r w:rsidRPr="001612A1">
        <w:rPr>
          <w:rFonts w:ascii="Times New Roman" w:hAnsi="Times New Roman"/>
        </w:rPr>
        <w:t>r</w:t>
      </w:r>
      <w:r w:rsidR="004B487B" w:rsidRPr="001612A1">
        <w:rPr>
          <w:rFonts w:ascii="Times New Roman" w:hAnsi="Times New Roman"/>
        </w:rPr>
        <w:t>den bij de (kandidaat-) topsportfederaties de criteria opgevraagd, aan de hand waarvan elitesporters worden geselecteerd voor de  nominatieve lijst van topsporters voor de Olympiade 2013-2016. Deze selectiecriteria werden besproken tijdens het bilateraal gesprek met alle betrokken topsportfederaties</w:t>
      </w:r>
      <w:r w:rsidR="00384A31" w:rsidRPr="001612A1">
        <w:rPr>
          <w:rFonts w:ascii="Times New Roman" w:hAnsi="Times New Roman"/>
        </w:rPr>
        <w:t xml:space="preserve"> in november 2012</w:t>
      </w:r>
      <w:r w:rsidR="004B487B" w:rsidRPr="001612A1">
        <w:rPr>
          <w:rFonts w:ascii="Times New Roman" w:hAnsi="Times New Roman"/>
        </w:rPr>
        <w:t xml:space="preserve">, en waar nodig bijgestuurd. In geen geval heeft de vastlegging van de selectiecriteria als doel om minder elitesporters te registreren, wel om </w:t>
      </w:r>
      <w:r w:rsidR="00BC63F2" w:rsidRPr="001612A1">
        <w:rPr>
          <w:rFonts w:ascii="Times New Roman" w:hAnsi="Times New Roman"/>
        </w:rPr>
        <w:t xml:space="preserve">de </w:t>
      </w:r>
      <w:r w:rsidR="00FA667D" w:rsidRPr="001612A1">
        <w:rPr>
          <w:rFonts w:ascii="Times New Roman" w:hAnsi="Times New Roman"/>
        </w:rPr>
        <w:t>juiste</w:t>
      </w:r>
      <w:r w:rsidR="00BC63F2" w:rsidRPr="001612A1">
        <w:rPr>
          <w:rFonts w:ascii="Times New Roman" w:hAnsi="Times New Roman"/>
        </w:rPr>
        <w:t xml:space="preserve"> topsporters</w:t>
      </w:r>
      <w:r w:rsidR="004B487B" w:rsidRPr="001612A1">
        <w:rPr>
          <w:rFonts w:ascii="Times New Roman" w:hAnsi="Times New Roman"/>
        </w:rPr>
        <w:t xml:space="preserve"> per sporttak te selecteren</w:t>
      </w:r>
      <w:r w:rsidR="00BC63F2" w:rsidRPr="001612A1">
        <w:rPr>
          <w:rFonts w:ascii="Times New Roman" w:hAnsi="Times New Roman"/>
        </w:rPr>
        <w:t xml:space="preserve"> en </w:t>
      </w:r>
      <w:r w:rsidR="00384A31" w:rsidRPr="001612A1">
        <w:rPr>
          <w:rFonts w:ascii="Times New Roman" w:hAnsi="Times New Roman"/>
        </w:rPr>
        <w:t xml:space="preserve">te </w:t>
      </w:r>
      <w:r w:rsidR="00BC63F2" w:rsidRPr="001612A1">
        <w:rPr>
          <w:rFonts w:ascii="Times New Roman" w:hAnsi="Times New Roman"/>
        </w:rPr>
        <w:t>ondersteunen</w:t>
      </w:r>
      <w:r w:rsidR="004B487B" w:rsidRPr="001612A1">
        <w:rPr>
          <w:rFonts w:ascii="Times New Roman" w:hAnsi="Times New Roman"/>
        </w:rPr>
        <w:t>.</w:t>
      </w:r>
    </w:p>
    <w:p w:rsidR="00BC63F2" w:rsidRPr="001612A1" w:rsidRDefault="00BC63F2" w:rsidP="001612A1">
      <w:pPr>
        <w:pStyle w:val="Lijstalinea"/>
        <w:spacing w:after="0" w:line="240" w:lineRule="auto"/>
        <w:ind w:left="357"/>
        <w:jc w:val="both"/>
        <w:rPr>
          <w:rFonts w:ascii="Times New Roman" w:hAnsi="Times New Roman"/>
          <w:lang w:val="nl-NL"/>
        </w:rPr>
      </w:pPr>
    </w:p>
    <w:p w:rsidR="00BC63F2" w:rsidRPr="001612A1" w:rsidRDefault="00BC63F2" w:rsidP="001612A1">
      <w:pPr>
        <w:pStyle w:val="Lijstalinea"/>
        <w:spacing w:after="0" w:line="240" w:lineRule="auto"/>
        <w:ind w:left="357"/>
        <w:jc w:val="both"/>
        <w:rPr>
          <w:rFonts w:ascii="Times New Roman" w:hAnsi="Times New Roman"/>
          <w:lang w:val="nl-NL"/>
        </w:rPr>
      </w:pPr>
      <w:r w:rsidRPr="001612A1">
        <w:rPr>
          <w:rFonts w:ascii="Times New Roman" w:hAnsi="Times New Roman"/>
          <w:lang w:val="nl-NL"/>
        </w:rPr>
        <w:t xml:space="preserve">In 2013 werden 308 elitesporters geregistreerd bij de Vlaamse overheid, een daling van 50 topsporters ten opzichte van de drie voorgaande jaren. Deze daling is grotendeels te wijten aan de verlaging van het aantal ondersteunde topsportfederaties in 2013 (de Vlaamse Topsporttakkenlijst 2013-2016 telt vier topsportfederaties minder dan de Vlaamse Topsporttakkenlijst 2009-2012) en de </w:t>
      </w:r>
      <w:r w:rsidR="00FA667D" w:rsidRPr="001612A1">
        <w:rPr>
          <w:rFonts w:ascii="Times New Roman" w:hAnsi="Times New Roman"/>
          <w:lang w:val="nl-NL"/>
        </w:rPr>
        <w:t>start van een nieuwe Olympiade.</w:t>
      </w:r>
    </w:p>
    <w:sectPr w:rsidR="00BC63F2" w:rsidRPr="001612A1" w:rsidSect="00DA6857">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7F6"/>
    <w:multiLevelType w:val="hybridMultilevel"/>
    <w:tmpl w:val="4364A5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B3F1E47"/>
    <w:multiLevelType w:val="hybridMultilevel"/>
    <w:tmpl w:val="BCB865D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BED2DA3"/>
    <w:multiLevelType w:val="hybridMultilevel"/>
    <w:tmpl w:val="9F98066C"/>
    <w:lvl w:ilvl="0" w:tplc="20EE90E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CE6110"/>
    <w:multiLevelType w:val="hybridMultilevel"/>
    <w:tmpl w:val="EA3449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A210722"/>
    <w:multiLevelType w:val="hybridMultilevel"/>
    <w:tmpl w:val="6938EF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11849E0"/>
    <w:multiLevelType w:val="hybridMultilevel"/>
    <w:tmpl w:val="C8C244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BA16A6A"/>
    <w:multiLevelType w:val="hybridMultilevel"/>
    <w:tmpl w:val="724AF66C"/>
    <w:lvl w:ilvl="0" w:tplc="20EE90E8">
      <w:start w:val="2"/>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2C3B1028"/>
    <w:multiLevelType w:val="hybridMultilevel"/>
    <w:tmpl w:val="FC3E74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CC12594"/>
    <w:multiLevelType w:val="hybridMultilevel"/>
    <w:tmpl w:val="8DA6B7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3D24B4C"/>
    <w:multiLevelType w:val="hybridMultilevel"/>
    <w:tmpl w:val="1DB03150"/>
    <w:lvl w:ilvl="0" w:tplc="08130017">
      <w:start w:val="1"/>
      <w:numFmt w:val="lowerLetter"/>
      <w:lvlText w:val="%1)"/>
      <w:lvlJc w:val="left"/>
      <w:pPr>
        <w:ind w:left="1080" w:hanging="360"/>
      </w:pPr>
    </w:lvl>
    <w:lvl w:ilvl="1" w:tplc="20EE90E8">
      <w:start w:val="2"/>
      <w:numFmt w:val="bullet"/>
      <w:lvlText w:val="-"/>
      <w:lvlJc w:val="left"/>
      <w:pPr>
        <w:ind w:left="1800" w:hanging="360"/>
      </w:pPr>
      <w:rPr>
        <w:rFonts w:ascii="Times New Roman" w:eastAsia="Times New Roman" w:hAnsi="Times New Roman" w:cs="Times New Roman" w:hint="default"/>
      </w:r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38B52EA4"/>
    <w:multiLevelType w:val="hybridMultilevel"/>
    <w:tmpl w:val="0F3268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9F82A29"/>
    <w:multiLevelType w:val="hybridMultilevel"/>
    <w:tmpl w:val="2CE6CDC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nsid w:val="43027405"/>
    <w:multiLevelType w:val="hybridMultilevel"/>
    <w:tmpl w:val="271A67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41A4967"/>
    <w:multiLevelType w:val="hybridMultilevel"/>
    <w:tmpl w:val="7B7810F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3">
      <w:start w:val="1"/>
      <w:numFmt w:val="bullet"/>
      <w:lvlText w:val="o"/>
      <w:lvlJc w:val="left"/>
      <w:pPr>
        <w:tabs>
          <w:tab w:val="num" w:pos="2160"/>
        </w:tabs>
        <w:ind w:left="2160" w:hanging="360"/>
      </w:pPr>
      <w:rPr>
        <w:rFonts w:ascii="Courier New" w:hAnsi="Courier New"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68C1F2C"/>
    <w:multiLevelType w:val="hybridMultilevel"/>
    <w:tmpl w:val="0E16B4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7427BA9"/>
    <w:multiLevelType w:val="hybridMultilevel"/>
    <w:tmpl w:val="47505BFE"/>
    <w:lvl w:ilvl="0" w:tplc="7750DE3A">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CA80E58"/>
    <w:multiLevelType w:val="hybridMultilevel"/>
    <w:tmpl w:val="0DB417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ECA6D2C"/>
    <w:multiLevelType w:val="hybridMultilevel"/>
    <w:tmpl w:val="551C8B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F925917"/>
    <w:multiLevelType w:val="hybridMultilevel"/>
    <w:tmpl w:val="5AB4126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FE72636"/>
    <w:multiLevelType w:val="hybridMultilevel"/>
    <w:tmpl w:val="CF5C978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615A14F8"/>
    <w:multiLevelType w:val="hybridMultilevel"/>
    <w:tmpl w:val="42DE9F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3501087"/>
    <w:multiLevelType w:val="hybridMultilevel"/>
    <w:tmpl w:val="9F865C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A0E487F"/>
    <w:multiLevelType w:val="hybridMultilevel"/>
    <w:tmpl w:val="7AAECC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C4E2082"/>
    <w:multiLevelType w:val="hybridMultilevel"/>
    <w:tmpl w:val="DE2E4FAE"/>
    <w:lvl w:ilvl="0" w:tplc="24EAA936">
      <w:start w:val="1"/>
      <w:numFmt w:val="decimal"/>
      <w:lvlText w:val="%1."/>
      <w:lvlJc w:val="left"/>
      <w:pPr>
        <w:ind w:left="360" w:hanging="360"/>
      </w:pPr>
      <w:rPr>
        <w:lang w:val="nl-NL"/>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7D310A90"/>
    <w:multiLevelType w:val="hybridMultilevel"/>
    <w:tmpl w:val="C64856B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nsid w:val="7DBF502F"/>
    <w:multiLevelType w:val="hybridMultilevel"/>
    <w:tmpl w:val="5F4E95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2"/>
  </w:num>
  <w:num w:numId="2">
    <w:abstractNumId w:val="20"/>
  </w:num>
  <w:num w:numId="3">
    <w:abstractNumId w:val="21"/>
  </w:num>
  <w:num w:numId="4">
    <w:abstractNumId w:val="4"/>
  </w:num>
  <w:num w:numId="5">
    <w:abstractNumId w:val="13"/>
  </w:num>
  <w:num w:numId="6">
    <w:abstractNumId w:val="2"/>
  </w:num>
  <w:num w:numId="7">
    <w:abstractNumId w:val="15"/>
  </w:num>
  <w:num w:numId="8">
    <w:abstractNumId w:val="12"/>
  </w:num>
  <w:num w:numId="9">
    <w:abstractNumId w:val="16"/>
  </w:num>
  <w:num w:numId="10">
    <w:abstractNumId w:val="25"/>
  </w:num>
  <w:num w:numId="11">
    <w:abstractNumId w:val="9"/>
  </w:num>
  <w:num w:numId="12">
    <w:abstractNumId w:val="11"/>
  </w:num>
  <w:num w:numId="13">
    <w:abstractNumId w:val="6"/>
  </w:num>
  <w:num w:numId="14">
    <w:abstractNumId w:val="19"/>
  </w:num>
  <w:num w:numId="15">
    <w:abstractNumId w:val="24"/>
  </w:num>
  <w:num w:numId="16">
    <w:abstractNumId w:val="14"/>
  </w:num>
  <w:num w:numId="17">
    <w:abstractNumId w:val="1"/>
  </w:num>
  <w:num w:numId="18">
    <w:abstractNumId w:val="17"/>
  </w:num>
  <w:num w:numId="19">
    <w:abstractNumId w:val="18"/>
  </w:num>
  <w:num w:numId="20">
    <w:abstractNumId w:val="10"/>
  </w:num>
  <w:num w:numId="21">
    <w:abstractNumId w:val="5"/>
  </w:num>
  <w:num w:numId="22">
    <w:abstractNumId w:val="0"/>
  </w:num>
  <w:num w:numId="23">
    <w:abstractNumId w:val="8"/>
  </w:num>
  <w:num w:numId="24">
    <w:abstractNumId w:val="3"/>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A5"/>
    <w:rsid w:val="000009E8"/>
    <w:rsid w:val="00006C7D"/>
    <w:rsid w:val="00044DAB"/>
    <w:rsid w:val="00050F9E"/>
    <w:rsid w:val="00051440"/>
    <w:rsid w:val="00056E91"/>
    <w:rsid w:val="00063DCD"/>
    <w:rsid w:val="000808A2"/>
    <w:rsid w:val="0008136A"/>
    <w:rsid w:val="000B438C"/>
    <w:rsid w:val="000B6D7D"/>
    <w:rsid w:val="000B77B7"/>
    <w:rsid w:val="000C47CE"/>
    <w:rsid w:val="000C50A6"/>
    <w:rsid w:val="000F1317"/>
    <w:rsid w:val="000F4DEA"/>
    <w:rsid w:val="001050D6"/>
    <w:rsid w:val="0010658C"/>
    <w:rsid w:val="00106A24"/>
    <w:rsid w:val="00110110"/>
    <w:rsid w:val="001126FB"/>
    <w:rsid w:val="0012035B"/>
    <w:rsid w:val="00127CF7"/>
    <w:rsid w:val="00134D97"/>
    <w:rsid w:val="00153860"/>
    <w:rsid w:val="001573BF"/>
    <w:rsid w:val="001612A1"/>
    <w:rsid w:val="001652CC"/>
    <w:rsid w:val="00170525"/>
    <w:rsid w:val="00177833"/>
    <w:rsid w:val="00182A89"/>
    <w:rsid w:val="00182C1A"/>
    <w:rsid w:val="00182ED8"/>
    <w:rsid w:val="001849A6"/>
    <w:rsid w:val="001A0A7C"/>
    <w:rsid w:val="001A18B3"/>
    <w:rsid w:val="001B06FF"/>
    <w:rsid w:val="001B58AE"/>
    <w:rsid w:val="001D10BF"/>
    <w:rsid w:val="001E0D47"/>
    <w:rsid w:val="001E2434"/>
    <w:rsid w:val="001E7F0F"/>
    <w:rsid w:val="001E7F88"/>
    <w:rsid w:val="00202695"/>
    <w:rsid w:val="002066F3"/>
    <w:rsid w:val="00207B64"/>
    <w:rsid w:val="00213530"/>
    <w:rsid w:val="00213BD9"/>
    <w:rsid w:val="002249D7"/>
    <w:rsid w:val="00232944"/>
    <w:rsid w:val="002474DF"/>
    <w:rsid w:val="00267DF5"/>
    <w:rsid w:val="00267F19"/>
    <w:rsid w:val="00286A7D"/>
    <w:rsid w:val="0029033E"/>
    <w:rsid w:val="00293ED6"/>
    <w:rsid w:val="002A2A0C"/>
    <w:rsid w:val="002A4F58"/>
    <w:rsid w:val="002B32E3"/>
    <w:rsid w:val="002C2E4F"/>
    <w:rsid w:val="002F199E"/>
    <w:rsid w:val="00354E80"/>
    <w:rsid w:val="00365D84"/>
    <w:rsid w:val="00372022"/>
    <w:rsid w:val="00382F16"/>
    <w:rsid w:val="0038381A"/>
    <w:rsid w:val="00384A31"/>
    <w:rsid w:val="00395FB0"/>
    <w:rsid w:val="003A0DAE"/>
    <w:rsid w:val="003C7CCC"/>
    <w:rsid w:val="003D4123"/>
    <w:rsid w:val="004037DE"/>
    <w:rsid w:val="00405275"/>
    <w:rsid w:val="004071E5"/>
    <w:rsid w:val="004113F0"/>
    <w:rsid w:val="0041488C"/>
    <w:rsid w:val="0041661F"/>
    <w:rsid w:val="004172D5"/>
    <w:rsid w:val="00417421"/>
    <w:rsid w:val="0042737D"/>
    <w:rsid w:val="004707C6"/>
    <w:rsid w:val="0048112D"/>
    <w:rsid w:val="004B2372"/>
    <w:rsid w:val="004B487B"/>
    <w:rsid w:val="004C12FC"/>
    <w:rsid w:val="004C4FBA"/>
    <w:rsid w:val="004D7A47"/>
    <w:rsid w:val="004E3BFB"/>
    <w:rsid w:val="00501A4C"/>
    <w:rsid w:val="005121EF"/>
    <w:rsid w:val="0051448F"/>
    <w:rsid w:val="005662C0"/>
    <w:rsid w:val="00575BA6"/>
    <w:rsid w:val="00585D24"/>
    <w:rsid w:val="005911B0"/>
    <w:rsid w:val="005C36AD"/>
    <w:rsid w:val="00600E0A"/>
    <w:rsid w:val="00633A66"/>
    <w:rsid w:val="00637465"/>
    <w:rsid w:val="00656E67"/>
    <w:rsid w:val="00664B67"/>
    <w:rsid w:val="00667660"/>
    <w:rsid w:val="00670B83"/>
    <w:rsid w:val="006D4AF4"/>
    <w:rsid w:val="006F7F3E"/>
    <w:rsid w:val="00710826"/>
    <w:rsid w:val="0072418F"/>
    <w:rsid w:val="00742E41"/>
    <w:rsid w:val="00762D3F"/>
    <w:rsid w:val="00766C3F"/>
    <w:rsid w:val="00770B9D"/>
    <w:rsid w:val="007749EB"/>
    <w:rsid w:val="007A350F"/>
    <w:rsid w:val="007C4ECF"/>
    <w:rsid w:val="00812323"/>
    <w:rsid w:val="00823F2E"/>
    <w:rsid w:val="00834A61"/>
    <w:rsid w:val="00867DA6"/>
    <w:rsid w:val="00876707"/>
    <w:rsid w:val="00876BB0"/>
    <w:rsid w:val="00882325"/>
    <w:rsid w:val="00887202"/>
    <w:rsid w:val="008B05EB"/>
    <w:rsid w:val="008C36D2"/>
    <w:rsid w:val="008E4C98"/>
    <w:rsid w:val="008E5E72"/>
    <w:rsid w:val="008F22C6"/>
    <w:rsid w:val="009164BF"/>
    <w:rsid w:val="00917A7A"/>
    <w:rsid w:val="00920C9B"/>
    <w:rsid w:val="0094075D"/>
    <w:rsid w:val="00947EC9"/>
    <w:rsid w:val="009644B6"/>
    <w:rsid w:val="00971D74"/>
    <w:rsid w:val="00995553"/>
    <w:rsid w:val="009A7AD0"/>
    <w:rsid w:val="009B16C9"/>
    <w:rsid w:val="009D26D9"/>
    <w:rsid w:val="00A03D72"/>
    <w:rsid w:val="00A24117"/>
    <w:rsid w:val="00A34925"/>
    <w:rsid w:val="00A57984"/>
    <w:rsid w:val="00AA22E4"/>
    <w:rsid w:val="00AB3FC5"/>
    <w:rsid w:val="00AE394A"/>
    <w:rsid w:val="00B01954"/>
    <w:rsid w:val="00B11AC7"/>
    <w:rsid w:val="00B22B09"/>
    <w:rsid w:val="00B26CBE"/>
    <w:rsid w:val="00B3040D"/>
    <w:rsid w:val="00B35236"/>
    <w:rsid w:val="00B427BC"/>
    <w:rsid w:val="00B6319E"/>
    <w:rsid w:val="00B73DEF"/>
    <w:rsid w:val="00B74195"/>
    <w:rsid w:val="00B8733A"/>
    <w:rsid w:val="00BC1BFC"/>
    <w:rsid w:val="00BC63F2"/>
    <w:rsid w:val="00BE0AA5"/>
    <w:rsid w:val="00BF165F"/>
    <w:rsid w:val="00BF741A"/>
    <w:rsid w:val="00C157A6"/>
    <w:rsid w:val="00C16392"/>
    <w:rsid w:val="00C33690"/>
    <w:rsid w:val="00C343F2"/>
    <w:rsid w:val="00C443BD"/>
    <w:rsid w:val="00C50FE5"/>
    <w:rsid w:val="00C705D9"/>
    <w:rsid w:val="00C73B70"/>
    <w:rsid w:val="00C81791"/>
    <w:rsid w:val="00C94FC3"/>
    <w:rsid w:val="00CB2852"/>
    <w:rsid w:val="00CB56E1"/>
    <w:rsid w:val="00CC18A7"/>
    <w:rsid w:val="00CC529B"/>
    <w:rsid w:val="00CE23CD"/>
    <w:rsid w:val="00CF1DB8"/>
    <w:rsid w:val="00CF3AF1"/>
    <w:rsid w:val="00D00F59"/>
    <w:rsid w:val="00D272F7"/>
    <w:rsid w:val="00D839F0"/>
    <w:rsid w:val="00DA197F"/>
    <w:rsid w:val="00DA6857"/>
    <w:rsid w:val="00DA688E"/>
    <w:rsid w:val="00DB48AF"/>
    <w:rsid w:val="00DD770F"/>
    <w:rsid w:val="00DF7407"/>
    <w:rsid w:val="00E22413"/>
    <w:rsid w:val="00E63C19"/>
    <w:rsid w:val="00E7087E"/>
    <w:rsid w:val="00E74CB8"/>
    <w:rsid w:val="00E9672B"/>
    <w:rsid w:val="00EA5C9E"/>
    <w:rsid w:val="00EC0CEB"/>
    <w:rsid w:val="00EC72C1"/>
    <w:rsid w:val="00ED2AA6"/>
    <w:rsid w:val="00EF459F"/>
    <w:rsid w:val="00F207D6"/>
    <w:rsid w:val="00F26A39"/>
    <w:rsid w:val="00F36844"/>
    <w:rsid w:val="00F40F7D"/>
    <w:rsid w:val="00F606F2"/>
    <w:rsid w:val="00F61B51"/>
    <w:rsid w:val="00F642A5"/>
    <w:rsid w:val="00F6460D"/>
    <w:rsid w:val="00F66585"/>
    <w:rsid w:val="00F71E7D"/>
    <w:rsid w:val="00F7743D"/>
    <w:rsid w:val="00FA50B6"/>
    <w:rsid w:val="00FA549E"/>
    <w:rsid w:val="00FA5886"/>
    <w:rsid w:val="00FA667D"/>
    <w:rsid w:val="00FB538D"/>
    <w:rsid w:val="00FC59B4"/>
    <w:rsid w:val="00FE24F6"/>
    <w:rsid w:val="00FF43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E7D"/>
    <w:rPr>
      <w:sz w:val="24"/>
      <w:szCs w:val="24"/>
      <w:lang w:val="nl-NL" w:eastAsia="nl-NL"/>
    </w:rPr>
  </w:style>
  <w:style w:type="paragraph" w:styleId="Kop1">
    <w:name w:val="heading 1"/>
    <w:basedOn w:val="Standaard"/>
    <w:next w:val="Standaard"/>
    <w:qFormat/>
    <w:rsid w:val="00F71E7D"/>
    <w:pPr>
      <w:keepNext/>
      <w:outlineLvl w:val="0"/>
    </w:pPr>
    <w:rPr>
      <w:b/>
      <w:bCs/>
    </w:rPr>
  </w:style>
  <w:style w:type="paragraph" w:styleId="Kop7">
    <w:name w:val="heading 7"/>
    <w:basedOn w:val="Standaard"/>
    <w:next w:val="Standaard"/>
    <w:link w:val="Kop7Char"/>
    <w:uiPriority w:val="9"/>
    <w:semiHidden/>
    <w:unhideWhenUsed/>
    <w:qFormat/>
    <w:rsid w:val="006D4A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F71E7D"/>
    <w:pPr>
      <w:ind w:left="360"/>
    </w:pPr>
  </w:style>
  <w:style w:type="character" w:styleId="Verwijzingopmerking">
    <w:name w:val="annotation reference"/>
    <w:basedOn w:val="Standaardalinea-lettertype"/>
    <w:semiHidden/>
    <w:rsid w:val="00F71E7D"/>
    <w:rPr>
      <w:sz w:val="16"/>
    </w:rPr>
  </w:style>
  <w:style w:type="paragraph" w:styleId="Tekstopmerking">
    <w:name w:val="annotation text"/>
    <w:basedOn w:val="Standaard"/>
    <w:semiHidden/>
    <w:rsid w:val="00F71E7D"/>
    <w:pPr>
      <w:overflowPunct w:val="0"/>
      <w:autoSpaceDE w:val="0"/>
      <w:autoSpaceDN w:val="0"/>
      <w:adjustRightInd w:val="0"/>
      <w:textAlignment w:val="baseline"/>
    </w:pPr>
    <w:rPr>
      <w:sz w:val="20"/>
      <w:szCs w:val="20"/>
    </w:rPr>
  </w:style>
  <w:style w:type="paragraph" w:styleId="Koptekst">
    <w:name w:val="header"/>
    <w:basedOn w:val="Standaard"/>
    <w:semiHidden/>
    <w:rsid w:val="00F71E7D"/>
    <w:pPr>
      <w:tabs>
        <w:tab w:val="center" w:pos="4153"/>
        <w:tab w:val="right" w:pos="8306"/>
      </w:tabs>
    </w:pPr>
    <w:rPr>
      <w:lang w:val="en-GB" w:eastAsia="en-US"/>
    </w:rPr>
  </w:style>
  <w:style w:type="paragraph" w:styleId="Ballontekst">
    <w:name w:val="Balloon Text"/>
    <w:basedOn w:val="Standaard"/>
    <w:link w:val="BallontekstChar"/>
    <w:uiPriority w:val="99"/>
    <w:semiHidden/>
    <w:unhideWhenUsed/>
    <w:rsid w:val="00F642A5"/>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2A5"/>
    <w:rPr>
      <w:rFonts w:ascii="Tahoma" w:hAnsi="Tahoma" w:cs="Tahoma"/>
      <w:sz w:val="16"/>
      <w:szCs w:val="16"/>
      <w:lang w:val="nl-NL" w:eastAsia="nl-NL"/>
    </w:rPr>
  </w:style>
  <w:style w:type="paragraph" w:styleId="Lijstalinea">
    <w:name w:val="List Paragraph"/>
    <w:basedOn w:val="Standaard"/>
    <w:uiPriority w:val="34"/>
    <w:qFormat/>
    <w:rsid w:val="003D4123"/>
    <w:pPr>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0F1317"/>
    <w:pPr>
      <w:autoSpaceDE w:val="0"/>
      <w:autoSpaceDN w:val="0"/>
      <w:adjustRightInd w:val="0"/>
    </w:pPr>
    <w:rPr>
      <w:color w:val="000000"/>
      <w:sz w:val="24"/>
      <w:szCs w:val="24"/>
    </w:rPr>
  </w:style>
  <w:style w:type="character" w:customStyle="1" w:styleId="Kop7Char">
    <w:name w:val="Kop 7 Char"/>
    <w:basedOn w:val="Standaardalinea-lettertype"/>
    <w:link w:val="Kop7"/>
    <w:uiPriority w:val="9"/>
    <w:semiHidden/>
    <w:rsid w:val="006D4AF4"/>
    <w:rPr>
      <w:rFonts w:asciiTheme="majorHAnsi" w:eastAsiaTheme="majorEastAsia" w:hAnsiTheme="majorHAnsi" w:cstheme="majorBidi"/>
      <w:i/>
      <w:iCs/>
      <w:color w:val="404040" w:themeColor="text1" w:themeTint="BF"/>
      <w:sz w:val="24"/>
      <w:szCs w:val="24"/>
      <w:lang w:val="nl-NL" w:eastAsia="nl-NL"/>
    </w:rPr>
  </w:style>
  <w:style w:type="paragraph" w:styleId="Normaalweb">
    <w:name w:val="Normal (Web)"/>
    <w:basedOn w:val="Standaard"/>
    <w:uiPriority w:val="99"/>
    <w:semiHidden/>
    <w:unhideWhenUsed/>
    <w:rsid w:val="004172D5"/>
    <w:pPr>
      <w:spacing w:before="100" w:beforeAutospacing="1" w:after="100" w:afterAutospacing="1"/>
    </w:pPr>
    <w:rPr>
      <w:lang w:val="nl-BE" w:eastAsia="nl-BE"/>
    </w:rPr>
  </w:style>
  <w:style w:type="character" w:styleId="Zwaar">
    <w:name w:val="Strong"/>
    <w:basedOn w:val="Standaardalinea-lettertype"/>
    <w:uiPriority w:val="22"/>
    <w:qFormat/>
    <w:rsid w:val="004172D5"/>
    <w:rPr>
      <w:b/>
      <w:bCs/>
    </w:rPr>
  </w:style>
  <w:style w:type="table" w:styleId="Tabelraster">
    <w:name w:val="Table Grid"/>
    <w:basedOn w:val="Standaardtabel"/>
    <w:uiPriority w:val="59"/>
    <w:rsid w:val="00C1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E7D"/>
    <w:rPr>
      <w:sz w:val="24"/>
      <w:szCs w:val="24"/>
      <w:lang w:val="nl-NL" w:eastAsia="nl-NL"/>
    </w:rPr>
  </w:style>
  <w:style w:type="paragraph" w:styleId="Kop1">
    <w:name w:val="heading 1"/>
    <w:basedOn w:val="Standaard"/>
    <w:next w:val="Standaard"/>
    <w:qFormat/>
    <w:rsid w:val="00F71E7D"/>
    <w:pPr>
      <w:keepNext/>
      <w:outlineLvl w:val="0"/>
    </w:pPr>
    <w:rPr>
      <w:b/>
      <w:bCs/>
    </w:rPr>
  </w:style>
  <w:style w:type="paragraph" w:styleId="Kop7">
    <w:name w:val="heading 7"/>
    <w:basedOn w:val="Standaard"/>
    <w:next w:val="Standaard"/>
    <w:link w:val="Kop7Char"/>
    <w:uiPriority w:val="9"/>
    <w:semiHidden/>
    <w:unhideWhenUsed/>
    <w:qFormat/>
    <w:rsid w:val="006D4A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F71E7D"/>
    <w:pPr>
      <w:ind w:left="360"/>
    </w:pPr>
  </w:style>
  <w:style w:type="character" w:styleId="Verwijzingopmerking">
    <w:name w:val="annotation reference"/>
    <w:basedOn w:val="Standaardalinea-lettertype"/>
    <w:semiHidden/>
    <w:rsid w:val="00F71E7D"/>
    <w:rPr>
      <w:sz w:val="16"/>
    </w:rPr>
  </w:style>
  <w:style w:type="paragraph" w:styleId="Tekstopmerking">
    <w:name w:val="annotation text"/>
    <w:basedOn w:val="Standaard"/>
    <w:semiHidden/>
    <w:rsid w:val="00F71E7D"/>
    <w:pPr>
      <w:overflowPunct w:val="0"/>
      <w:autoSpaceDE w:val="0"/>
      <w:autoSpaceDN w:val="0"/>
      <w:adjustRightInd w:val="0"/>
      <w:textAlignment w:val="baseline"/>
    </w:pPr>
    <w:rPr>
      <w:sz w:val="20"/>
      <w:szCs w:val="20"/>
    </w:rPr>
  </w:style>
  <w:style w:type="paragraph" w:styleId="Koptekst">
    <w:name w:val="header"/>
    <w:basedOn w:val="Standaard"/>
    <w:semiHidden/>
    <w:rsid w:val="00F71E7D"/>
    <w:pPr>
      <w:tabs>
        <w:tab w:val="center" w:pos="4153"/>
        <w:tab w:val="right" w:pos="8306"/>
      </w:tabs>
    </w:pPr>
    <w:rPr>
      <w:lang w:val="en-GB" w:eastAsia="en-US"/>
    </w:rPr>
  </w:style>
  <w:style w:type="paragraph" w:styleId="Ballontekst">
    <w:name w:val="Balloon Text"/>
    <w:basedOn w:val="Standaard"/>
    <w:link w:val="BallontekstChar"/>
    <w:uiPriority w:val="99"/>
    <w:semiHidden/>
    <w:unhideWhenUsed/>
    <w:rsid w:val="00F642A5"/>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2A5"/>
    <w:rPr>
      <w:rFonts w:ascii="Tahoma" w:hAnsi="Tahoma" w:cs="Tahoma"/>
      <w:sz w:val="16"/>
      <w:szCs w:val="16"/>
      <w:lang w:val="nl-NL" w:eastAsia="nl-NL"/>
    </w:rPr>
  </w:style>
  <w:style w:type="paragraph" w:styleId="Lijstalinea">
    <w:name w:val="List Paragraph"/>
    <w:basedOn w:val="Standaard"/>
    <w:uiPriority w:val="34"/>
    <w:qFormat/>
    <w:rsid w:val="003D4123"/>
    <w:pPr>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0F1317"/>
    <w:pPr>
      <w:autoSpaceDE w:val="0"/>
      <w:autoSpaceDN w:val="0"/>
      <w:adjustRightInd w:val="0"/>
    </w:pPr>
    <w:rPr>
      <w:color w:val="000000"/>
      <w:sz w:val="24"/>
      <w:szCs w:val="24"/>
    </w:rPr>
  </w:style>
  <w:style w:type="character" w:customStyle="1" w:styleId="Kop7Char">
    <w:name w:val="Kop 7 Char"/>
    <w:basedOn w:val="Standaardalinea-lettertype"/>
    <w:link w:val="Kop7"/>
    <w:uiPriority w:val="9"/>
    <w:semiHidden/>
    <w:rsid w:val="006D4AF4"/>
    <w:rPr>
      <w:rFonts w:asciiTheme="majorHAnsi" w:eastAsiaTheme="majorEastAsia" w:hAnsiTheme="majorHAnsi" w:cstheme="majorBidi"/>
      <w:i/>
      <w:iCs/>
      <w:color w:val="404040" w:themeColor="text1" w:themeTint="BF"/>
      <w:sz w:val="24"/>
      <w:szCs w:val="24"/>
      <w:lang w:val="nl-NL" w:eastAsia="nl-NL"/>
    </w:rPr>
  </w:style>
  <w:style w:type="paragraph" w:styleId="Normaalweb">
    <w:name w:val="Normal (Web)"/>
    <w:basedOn w:val="Standaard"/>
    <w:uiPriority w:val="99"/>
    <w:semiHidden/>
    <w:unhideWhenUsed/>
    <w:rsid w:val="004172D5"/>
    <w:pPr>
      <w:spacing w:before="100" w:beforeAutospacing="1" w:after="100" w:afterAutospacing="1"/>
    </w:pPr>
    <w:rPr>
      <w:lang w:val="nl-BE" w:eastAsia="nl-BE"/>
    </w:rPr>
  </w:style>
  <w:style w:type="character" w:styleId="Zwaar">
    <w:name w:val="Strong"/>
    <w:basedOn w:val="Standaardalinea-lettertype"/>
    <w:uiPriority w:val="22"/>
    <w:qFormat/>
    <w:rsid w:val="004172D5"/>
    <w:rPr>
      <w:b/>
      <w:bCs/>
    </w:rPr>
  </w:style>
  <w:style w:type="table" w:styleId="Tabelraster">
    <w:name w:val="Table Grid"/>
    <w:basedOn w:val="Standaardtabel"/>
    <w:uiPriority w:val="59"/>
    <w:rsid w:val="00C1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327">
      <w:bodyDiv w:val="1"/>
      <w:marLeft w:val="0"/>
      <w:marRight w:val="0"/>
      <w:marTop w:val="0"/>
      <w:marBottom w:val="0"/>
      <w:divBdr>
        <w:top w:val="none" w:sz="0" w:space="0" w:color="auto"/>
        <w:left w:val="none" w:sz="0" w:space="0" w:color="auto"/>
        <w:bottom w:val="none" w:sz="0" w:space="0" w:color="auto"/>
        <w:right w:val="none" w:sz="0" w:space="0" w:color="auto"/>
      </w:divBdr>
    </w:div>
    <w:div w:id="588000621">
      <w:bodyDiv w:val="1"/>
      <w:marLeft w:val="0"/>
      <w:marRight w:val="0"/>
      <w:marTop w:val="0"/>
      <w:marBottom w:val="0"/>
      <w:divBdr>
        <w:top w:val="none" w:sz="0" w:space="0" w:color="auto"/>
        <w:left w:val="none" w:sz="0" w:space="0" w:color="auto"/>
        <w:bottom w:val="none" w:sz="0" w:space="0" w:color="auto"/>
        <w:right w:val="none" w:sz="0" w:space="0" w:color="auto"/>
      </w:divBdr>
      <w:divsChild>
        <w:div w:id="1637181044">
          <w:marLeft w:val="0"/>
          <w:marRight w:val="0"/>
          <w:marTop w:val="0"/>
          <w:marBottom w:val="0"/>
          <w:divBdr>
            <w:top w:val="none" w:sz="0" w:space="0" w:color="auto"/>
            <w:left w:val="none" w:sz="0" w:space="0" w:color="auto"/>
            <w:bottom w:val="none" w:sz="0" w:space="0" w:color="auto"/>
            <w:right w:val="none" w:sz="0" w:space="0" w:color="auto"/>
          </w:divBdr>
          <w:divsChild>
            <w:div w:id="799956758">
              <w:marLeft w:val="0"/>
              <w:marRight w:val="0"/>
              <w:marTop w:val="0"/>
              <w:marBottom w:val="0"/>
              <w:divBdr>
                <w:top w:val="none" w:sz="0" w:space="0" w:color="auto"/>
                <w:left w:val="none" w:sz="0" w:space="0" w:color="auto"/>
                <w:bottom w:val="none" w:sz="0" w:space="0" w:color="auto"/>
                <w:right w:val="none" w:sz="0" w:space="0" w:color="auto"/>
              </w:divBdr>
              <w:divsChild>
                <w:div w:id="501552497">
                  <w:marLeft w:val="0"/>
                  <w:marRight w:val="0"/>
                  <w:marTop w:val="0"/>
                  <w:marBottom w:val="0"/>
                  <w:divBdr>
                    <w:top w:val="none" w:sz="0" w:space="0" w:color="auto"/>
                    <w:left w:val="none" w:sz="0" w:space="0" w:color="auto"/>
                    <w:bottom w:val="none" w:sz="0" w:space="0" w:color="auto"/>
                    <w:right w:val="none" w:sz="0" w:space="0" w:color="auto"/>
                  </w:divBdr>
                  <w:divsChild>
                    <w:div w:id="1097946012">
                      <w:marLeft w:val="0"/>
                      <w:marRight w:val="0"/>
                      <w:marTop w:val="75"/>
                      <w:marBottom w:val="45"/>
                      <w:divBdr>
                        <w:top w:val="single" w:sz="6" w:space="0" w:color="E3E3E3"/>
                        <w:left w:val="none" w:sz="0" w:space="0" w:color="auto"/>
                        <w:bottom w:val="none" w:sz="0" w:space="0" w:color="auto"/>
                        <w:right w:val="none" w:sz="0" w:space="0" w:color="auto"/>
                      </w:divBdr>
                      <w:divsChild>
                        <w:div w:id="336427845">
                          <w:marLeft w:val="0"/>
                          <w:marRight w:val="0"/>
                          <w:marTop w:val="0"/>
                          <w:marBottom w:val="0"/>
                          <w:divBdr>
                            <w:top w:val="none" w:sz="0" w:space="0" w:color="auto"/>
                            <w:left w:val="none" w:sz="0" w:space="0" w:color="auto"/>
                            <w:bottom w:val="single" w:sz="6" w:space="0" w:color="E3E3E3"/>
                            <w:right w:val="none" w:sz="0" w:space="0" w:color="auto"/>
                          </w:divBdr>
                          <w:divsChild>
                            <w:div w:id="174851843">
                              <w:marLeft w:val="0"/>
                              <w:marRight w:val="0"/>
                              <w:marTop w:val="0"/>
                              <w:marBottom w:val="0"/>
                              <w:divBdr>
                                <w:top w:val="none" w:sz="0" w:space="0" w:color="auto"/>
                                <w:left w:val="none" w:sz="0" w:space="0" w:color="auto"/>
                                <w:bottom w:val="none" w:sz="0" w:space="0" w:color="auto"/>
                                <w:right w:val="none" w:sz="0" w:space="0" w:color="auto"/>
                              </w:divBdr>
                              <w:divsChild>
                                <w:div w:id="8765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435895">
      <w:bodyDiv w:val="1"/>
      <w:marLeft w:val="0"/>
      <w:marRight w:val="0"/>
      <w:marTop w:val="0"/>
      <w:marBottom w:val="0"/>
      <w:divBdr>
        <w:top w:val="none" w:sz="0" w:space="0" w:color="auto"/>
        <w:left w:val="none" w:sz="0" w:space="0" w:color="auto"/>
        <w:bottom w:val="none" w:sz="0" w:space="0" w:color="auto"/>
        <w:right w:val="none" w:sz="0" w:space="0" w:color="auto"/>
      </w:divBdr>
    </w:div>
    <w:div w:id="805464487">
      <w:bodyDiv w:val="1"/>
      <w:marLeft w:val="0"/>
      <w:marRight w:val="0"/>
      <w:marTop w:val="0"/>
      <w:marBottom w:val="0"/>
      <w:divBdr>
        <w:top w:val="none" w:sz="0" w:space="0" w:color="auto"/>
        <w:left w:val="none" w:sz="0" w:space="0" w:color="auto"/>
        <w:bottom w:val="none" w:sz="0" w:space="0" w:color="auto"/>
        <w:right w:val="none" w:sz="0" w:space="0" w:color="auto"/>
      </w:divBdr>
    </w:div>
    <w:div w:id="880674353">
      <w:bodyDiv w:val="1"/>
      <w:marLeft w:val="0"/>
      <w:marRight w:val="0"/>
      <w:marTop w:val="0"/>
      <w:marBottom w:val="0"/>
      <w:divBdr>
        <w:top w:val="none" w:sz="0" w:space="0" w:color="auto"/>
        <w:left w:val="none" w:sz="0" w:space="0" w:color="auto"/>
        <w:bottom w:val="none" w:sz="0" w:space="0" w:color="auto"/>
        <w:right w:val="none" w:sz="0" w:space="0" w:color="auto"/>
      </w:divBdr>
    </w:div>
    <w:div w:id="887303490">
      <w:bodyDiv w:val="1"/>
      <w:marLeft w:val="0"/>
      <w:marRight w:val="0"/>
      <w:marTop w:val="0"/>
      <w:marBottom w:val="0"/>
      <w:divBdr>
        <w:top w:val="none" w:sz="0" w:space="0" w:color="auto"/>
        <w:left w:val="none" w:sz="0" w:space="0" w:color="auto"/>
        <w:bottom w:val="none" w:sz="0" w:space="0" w:color="auto"/>
        <w:right w:val="none" w:sz="0" w:space="0" w:color="auto"/>
      </w:divBdr>
    </w:div>
    <w:div w:id="20125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CB6C-7531-4A67-8CDD-64416432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639</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 Gold – Evaluatie</vt:lpstr>
    </vt:vector>
  </TitlesOfParts>
  <Company>Bloso</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Gold – Evaluatie</dc:title>
  <dc:creator>Bloso</dc:creator>
  <cp:lastModifiedBy>Nathalie De Keyzer</cp:lastModifiedBy>
  <cp:revision>3</cp:revision>
  <cp:lastPrinted>2014-04-30T15:25:00Z</cp:lastPrinted>
  <dcterms:created xsi:type="dcterms:W3CDTF">2014-05-19T15:12:00Z</dcterms:created>
  <dcterms:modified xsi:type="dcterms:W3CDTF">2014-05-22T06:40:00Z</dcterms:modified>
</cp:coreProperties>
</file>