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93" w:rsidRPr="00A8473D" w:rsidRDefault="00C90793" w:rsidP="00C90793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kris </w:t>
      </w:r>
      <w:proofErr w:type="spellStart"/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peeters</w:t>
      </w:r>
      <w:proofErr w:type="spellEnd"/>
    </w:p>
    <w:p w:rsidR="00C90793" w:rsidRPr="00A8473D" w:rsidRDefault="00C90793" w:rsidP="00C90793">
      <w:pPr>
        <w:jc w:val="both"/>
        <w:rPr>
          <w:smallCaps/>
          <w:sz w:val="22"/>
          <w:szCs w:val="22"/>
          <w:lang w:val="nl-BE"/>
        </w:rPr>
      </w:pPr>
      <w:r w:rsidRPr="00A8473D">
        <w:rPr>
          <w:smallCaps/>
          <w:sz w:val="22"/>
          <w:szCs w:val="22"/>
          <w:lang w:val="nl-BE"/>
        </w:rPr>
        <w:t xml:space="preserve">minister-president van de </w:t>
      </w:r>
      <w:proofErr w:type="spellStart"/>
      <w:r w:rsidRPr="00A8473D">
        <w:rPr>
          <w:smallCaps/>
          <w:sz w:val="22"/>
          <w:szCs w:val="22"/>
          <w:lang w:val="nl-BE"/>
        </w:rPr>
        <w:t>vlaamse</w:t>
      </w:r>
      <w:proofErr w:type="spellEnd"/>
      <w:r w:rsidRPr="00A8473D">
        <w:rPr>
          <w:smallCaps/>
          <w:sz w:val="22"/>
          <w:szCs w:val="22"/>
          <w:lang w:val="nl-BE"/>
        </w:rPr>
        <w:t xml:space="preserve"> regering, </w:t>
      </w:r>
      <w:proofErr w:type="spellStart"/>
      <w:r w:rsidRPr="00A8473D">
        <w:rPr>
          <w:smallCaps/>
          <w:sz w:val="22"/>
          <w:szCs w:val="22"/>
          <w:lang w:val="nl-BE"/>
        </w:rPr>
        <w:t>vlaams</w:t>
      </w:r>
      <w:proofErr w:type="spellEnd"/>
      <w:r w:rsidRPr="00A8473D">
        <w:rPr>
          <w:smallCaps/>
          <w:sz w:val="22"/>
          <w:szCs w:val="22"/>
          <w:lang w:val="nl-BE"/>
        </w:rPr>
        <w:t xml:space="preserve"> minister van economie, buitenlands beleid, landbouw en plattelandsbeleid</w:t>
      </w:r>
    </w:p>
    <w:p w:rsidR="00C90793" w:rsidRPr="00DE405B" w:rsidRDefault="00C90793" w:rsidP="00C90793">
      <w:pPr>
        <w:pStyle w:val="StandaardSV"/>
        <w:pBdr>
          <w:bottom w:val="single" w:sz="4" w:space="1" w:color="auto"/>
        </w:pBdr>
        <w:rPr>
          <w:lang w:val="nl-BE"/>
        </w:rPr>
      </w:pPr>
    </w:p>
    <w:p w:rsidR="00C90793" w:rsidRDefault="00C90793" w:rsidP="00C90793">
      <w:pPr>
        <w:jc w:val="both"/>
        <w:rPr>
          <w:sz w:val="22"/>
        </w:rPr>
      </w:pPr>
    </w:p>
    <w:p w:rsidR="00354B15" w:rsidRPr="00354B15" w:rsidRDefault="00354B15" w:rsidP="00C90793">
      <w:pPr>
        <w:jc w:val="both"/>
        <w:outlineLvl w:val="0"/>
        <w:rPr>
          <w:b/>
          <w:smallCaps/>
          <w:sz w:val="22"/>
        </w:rPr>
      </w:pPr>
      <w:r w:rsidRPr="00354B15">
        <w:rPr>
          <w:b/>
          <w:smallCaps/>
          <w:sz w:val="22"/>
        </w:rPr>
        <w:t>a</w:t>
      </w:r>
      <w:r w:rsidR="00B71FAA" w:rsidRPr="00354B15">
        <w:rPr>
          <w:b/>
          <w:smallCaps/>
          <w:sz w:val="22"/>
        </w:rPr>
        <w:t xml:space="preserve">ntwoord </w:t>
      </w:r>
    </w:p>
    <w:p w:rsidR="00C90793" w:rsidRDefault="00B71FAA" w:rsidP="00354B15">
      <w:pPr>
        <w:jc w:val="both"/>
        <w:outlineLvl w:val="0"/>
        <w:rPr>
          <w:sz w:val="22"/>
        </w:rPr>
      </w:pPr>
      <w:r>
        <w:rPr>
          <w:sz w:val="22"/>
        </w:rPr>
        <w:t>op v</w:t>
      </w:r>
      <w:r w:rsidR="00C90793">
        <w:rPr>
          <w:sz w:val="22"/>
        </w:rPr>
        <w:t>raag nr. 436</w:t>
      </w:r>
      <w:r w:rsidR="00354B15">
        <w:rPr>
          <w:sz w:val="22"/>
        </w:rPr>
        <w:t xml:space="preserve"> </w:t>
      </w:r>
      <w:r w:rsidR="00C90793">
        <w:rPr>
          <w:sz w:val="22"/>
        </w:rPr>
        <w:t>van 7 april 2014</w:t>
      </w:r>
    </w:p>
    <w:p w:rsidR="00C90793" w:rsidRDefault="00C90793" w:rsidP="00C90793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lode</w:t>
      </w:r>
      <w:proofErr w:type="spellEnd"/>
      <w:r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vereeck</w:t>
      </w:r>
      <w:proofErr w:type="spellEnd"/>
    </w:p>
    <w:p w:rsidR="00C90793" w:rsidRDefault="00C90793" w:rsidP="00C90793">
      <w:pPr>
        <w:pBdr>
          <w:bottom w:val="single" w:sz="4" w:space="1" w:color="auto"/>
        </w:pBdr>
        <w:jc w:val="both"/>
        <w:rPr>
          <w:sz w:val="22"/>
        </w:rPr>
      </w:pPr>
    </w:p>
    <w:p w:rsidR="00C90793" w:rsidRDefault="00C90793" w:rsidP="00C90793">
      <w:pPr>
        <w:pStyle w:val="StandaardSV"/>
      </w:pPr>
    </w:p>
    <w:p w:rsidR="00C90793" w:rsidRDefault="00C90793" w:rsidP="00C90793">
      <w:pPr>
        <w:pStyle w:val="StandaardSV"/>
        <w:rPr>
          <w:i/>
        </w:rPr>
      </w:pPr>
    </w:p>
    <w:p w:rsidR="00582A25" w:rsidRPr="00B71FAA" w:rsidRDefault="00582A25" w:rsidP="00B71FAA">
      <w:pPr>
        <w:pStyle w:val="StandaardSV"/>
        <w:numPr>
          <w:ilvl w:val="0"/>
          <w:numId w:val="1"/>
        </w:numPr>
        <w:ind w:left="360"/>
        <w:rPr>
          <w:rFonts w:eastAsia="Calibri"/>
        </w:rPr>
      </w:pPr>
      <w:r w:rsidRPr="00B71FAA">
        <w:rPr>
          <w:rFonts w:eastAsia="Calibri"/>
        </w:rPr>
        <w:t xml:space="preserve">Onderstaand wordt een eerste indicatief overzicht gegeven van de kosten gemaakt </w:t>
      </w:r>
      <w:proofErr w:type="spellStart"/>
      <w:r w:rsidRPr="00B71FAA">
        <w:rPr>
          <w:rFonts w:eastAsia="Calibri"/>
        </w:rPr>
        <w:t>ikv</w:t>
      </w:r>
      <w:proofErr w:type="spellEnd"/>
      <w:r w:rsidRPr="00B71FAA">
        <w:rPr>
          <w:rFonts w:eastAsia="Calibri"/>
        </w:rPr>
        <w:t xml:space="preserve"> het EGF dossier </w:t>
      </w:r>
      <w:proofErr w:type="spellStart"/>
      <w:r w:rsidRPr="00B71FAA">
        <w:rPr>
          <w:rFonts w:eastAsia="Calibri"/>
        </w:rPr>
        <w:t>tav</w:t>
      </w:r>
      <w:proofErr w:type="spellEnd"/>
      <w:r w:rsidRPr="00B71FAA">
        <w:rPr>
          <w:rFonts w:eastAsia="Calibri"/>
        </w:rPr>
        <w:t xml:space="preserve"> Ford tem 31/12/2013.</w:t>
      </w:r>
    </w:p>
    <w:p w:rsidR="00582A25" w:rsidRDefault="00582A25" w:rsidP="00582A25">
      <w:pPr>
        <w:pStyle w:val="StandaardSV"/>
        <w:ind w:left="360"/>
        <w:rPr>
          <w:rFonts w:eastAsia="Calibri"/>
        </w:rPr>
      </w:pP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5740"/>
        <w:gridCol w:w="1640"/>
      </w:tblGrid>
      <w:tr w:rsidR="00582A25" w:rsidRPr="00582A25" w:rsidTr="00582A25">
        <w:trPr>
          <w:trHeight w:val="78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b/>
                <w:bCs/>
                <w:sz w:val="18"/>
                <w:szCs w:val="18"/>
                <w:lang w:val="en-US" w:eastAsia="nl-BE"/>
              </w:rPr>
            </w:pPr>
            <w:r w:rsidRPr="00582A25">
              <w:rPr>
                <w:rFonts w:ascii="Palatino Linotype" w:hAnsi="Palatino Linotype" w:cs="Arial"/>
                <w:b/>
                <w:bCs/>
                <w:sz w:val="18"/>
                <w:szCs w:val="18"/>
                <w:lang w:val="en-US" w:eastAsia="nl-BE"/>
              </w:rPr>
              <w:t>A. Actions (list individual actions planned) (Art. 3.1)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b/>
                <w:bCs/>
                <w:sz w:val="18"/>
                <w:szCs w:val="18"/>
                <w:lang w:val="en-US" w:eastAsia="nl-BE"/>
              </w:rPr>
            </w:pPr>
            <w:r w:rsidRPr="00582A25">
              <w:rPr>
                <w:rFonts w:ascii="Palatino Linotype" w:hAnsi="Palatino Linotype" w:cs="Arial"/>
                <w:b/>
                <w:bCs/>
                <w:sz w:val="18"/>
                <w:szCs w:val="18"/>
                <w:lang w:val="en-US" w:eastAsia="nl-BE"/>
              </w:rPr>
              <w:t>Actions as described in Section F.1 of the application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b/>
                <w:bCs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b/>
                <w:bCs/>
                <w:sz w:val="18"/>
                <w:szCs w:val="18"/>
                <w:lang w:val="en-US" w:eastAsia="nl-BE"/>
              </w:rPr>
              <w:br/>
            </w:r>
            <w:r w:rsidRPr="00582A25">
              <w:rPr>
                <w:rFonts w:ascii="Palatino Linotype" w:hAnsi="Palatino Linotype" w:cs="Arial"/>
                <w:b/>
                <w:bCs/>
                <w:sz w:val="18"/>
                <w:szCs w:val="18"/>
                <w:lang w:val="nl-BE" w:eastAsia="nl-BE"/>
              </w:rPr>
              <w:t xml:space="preserve">Total </w:t>
            </w:r>
            <w:proofErr w:type="spellStart"/>
            <w:r w:rsidRPr="00582A25">
              <w:rPr>
                <w:rFonts w:ascii="Palatino Linotype" w:hAnsi="Palatino Linotype" w:cs="Arial"/>
                <w:b/>
                <w:bCs/>
                <w:sz w:val="18"/>
                <w:szCs w:val="18"/>
                <w:lang w:val="nl-BE" w:eastAsia="nl-BE"/>
              </w:rPr>
              <w:t>cost</w:t>
            </w:r>
            <w:proofErr w:type="spellEnd"/>
          </w:p>
        </w:tc>
      </w:tr>
      <w:tr w:rsidR="00582A25" w:rsidRPr="00582A25" w:rsidTr="00582A25">
        <w:trPr>
          <w:trHeight w:val="25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val="nl-BE" w:eastAsia="nl-BE"/>
              </w:rPr>
              <w:t>Job-search assistance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 </w:t>
            </w:r>
          </w:p>
        </w:tc>
      </w:tr>
      <w:tr w:rsidR="00582A25" w:rsidRPr="00582A25" w:rsidTr="00582A25">
        <w:trPr>
          <w:trHeight w:val="25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 xml:space="preserve">1. </w:t>
            </w:r>
            <w:proofErr w:type="spellStart"/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Launch</w:t>
            </w:r>
            <w:proofErr w:type="spellEnd"/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 xml:space="preserve"> website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 xml:space="preserve">                    -     </w:t>
            </w:r>
          </w:p>
        </w:tc>
      </w:tr>
      <w:tr w:rsidR="00582A25" w:rsidRPr="00582A25" w:rsidTr="00582A25">
        <w:trPr>
          <w:trHeight w:val="25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 xml:space="preserve">2. </w:t>
            </w:r>
            <w:proofErr w:type="spellStart"/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Key</w:t>
            </w:r>
            <w:proofErr w:type="spellEnd"/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 xml:space="preserve"> account manager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 xml:space="preserve">          2.865,00   </w:t>
            </w:r>
          </w:p>
        </w:tc>
      </w:tr>
      <w:tr w:rsidR="00582A25" w:rsidRPr="00582A25" w:rsidTr="00582A25">
        <w:trPr>
          <w:trHeight w:val="25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 xml:space="preserve">3. </w:t>
            </w:r>
            <w:proofErr w:type="spellStart"/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Social</w:t>
            </w:r>
            <w:proofErr w:type="spellEnd"/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Intervention</w:t>
            </w:r>
            <w:proofErr w:type="spellEnd"/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 xml:space="preserve"> Advisor (SIA)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 xml:space="preserve">        56.000,00   </w:t>
            </w:r>
          </w:p>
        </w:tc>
      </w:tr>
      <w:tr w:rsidR="00582A25" w:rsidRPr="00582A25" w:rsidTr="00582A25">
        <w:trPr>
          <w:trHeight w:val="25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en-US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en-US" w:eastAsia="nl-BE"/>
              </w:rPr>
              <w:t>4a. Information on vocational education and training options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en-US" w:eastAsia="nl-BE"/>
              </w:rPr>
              <w:t xml:space="preserve">                    </w:t>
            </w: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 xml:space="preserve">-     </w:t>
            </w:r>
          </w:p>
        </w:tc>
      </w:tr>
      <w:tr w:rsidR="00582A25" w:rsidRPr="00582A25" w:rsidTr="00582A25">
        <w:trPr>
          <w:trHeight w:val="25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en-US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en-US" w:eastAsia="nl-BE"/>
              </w:rPr>
              <w:t>4b. Active job-oriented guidance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en-US" w:eastAsia="nl-BE"/>
              </w:rPr>
              <w:t xml:space="preserve">                    </w:t>
            </w: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 xml:space="preserve">-     </w:t>
            </w:r>
          </w:p>
        </w:tc>
      </w:tr>
      <w:tr w:rsidR="00582A25" w:rsidRPr="00582A25" w:rsidTr="00582A25">
        <w:trPr>
          <w:trHeight w:val="25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5. Job fairs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 xml:space="preserve">                    -     </w:t>
            </w:r>
          </w:p>
        </w:tc>
      </w:tr>
      <w:tr w:rsidR="00582A25" w:rsidRPr="00582A25" w:rsidTr="00582A25">
        <w:trPr>
          <w:trHeight w:val="25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 </w:t>
            </w:r>
          </w:p>
        </w:tc>
      </w:tr>
      <w:tr w:rsidR="00582A25" w:rsidRPr="00582A25" w:rsidTr="00582A25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u w:val="single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u w:val="single"/>
                <w:lang w:val="nl-BE" w:eastAsia="nl-BE"/>
              </w:rPr>
              <w:t xml:space="preserve">        58.865,00   </w:t>
            </w:r>
          </w:p>
        </w:tc>
      </w:tr>
      <w:tr w:rsidR="00582A25" w:rsidRPr="00582A25" w:rsidTr="00582A25">
        <w:trPr>
          <w:trHeight w:val="25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jc w:val="right"/>
              <w:rPr>
                <w:rFonts w:ascii="Palatino Linotype" w:hAnsi="Palatino Linotype" w:cs="Arial"/>
                <w:i/>
                <w:iCs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i/>
                <w:iCs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 </w:t>
            </w:r>
          </w:p>
        </w:tc>
      </w:tr>
      <w:tr w:rsidR="00582A25" w:rsidRPr="00582A25" w:rsidTr="00582A25">
        <w:trPr>
          <w:trHeight w:val="25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 </w:t>
            </w:r>
          </w:p>
        </w:tc>
      </w:tr>
      <w:tr w:rsidR="00582A25" w:rsidRPr="00582A25" w:rsidTr="00582A25">
        <w:trPr>
          <w:trHeight w:val="25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val="nl-BE" w:eastAsia="nl-BE"/>
              </w:rPr>
              <w:t xml:space="preserve">Training </w:t>
            </w:r>
            <w:proofErr w:type="spellStart"/>
            <w:r w:rsidRPr="00582A25"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val="nl-BE" w:eastAsia="nl-BE"/>
              </w:rPr>
              <w:t>and</w:t>
            </w:r>
            <w:proofErr w:type="spellEnd"/>
            <w:r w:rsidRPr="00582A25"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val="nl-BE" w:eastAsia="nl-BE"/>
              </w:rPr>
              <w:t xml:space="preserve"> re-training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 </w:t>
            </w:r>
          </w:p>
        </w:tc>
      </w:tr>
      <w:tr w:rsidR="00582A25" w:rsidRPr="00582A25" w:rsidTr="00582A25">
        <w:trPr>
          <w:trHeight w:val="25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en-US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en-US" w:eastAsia="nl-BE"/>
              </w:rPr>
              <w:t>6.a. In-house training courses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en-US" w:eastAsia="nl-BE"/>
              </w:rPr>
              <w:t xml:space="preserve">        </w:t>
            </w: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 xml:space="preserve">36.680,00   </w:t>
            </w:r>
          </w:p>
        </w:tc>
      </w:tr>
      <w:tr w:rsidR="00582A25" w:rsidRPr="00582A25" w:rsidTr="00582A25">
        <w:trPr>
          <w:trHeight w:val="25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en-US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en-US" w:eastAsia="nl-BE"/>
              </w:rPr>
              <w:t>6.b. Training in outsourcing through tendering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en-US" w:eastAsia="nl-BE"/>
              </w:rPr>
              <w:t xml:space="preserve">       </w:t>
            </w: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 xml:space="preserve">162.395,00   </w:t>
            </w:r>
          </w:p>
        </w:tc>
      </w:tr>
      <w:tr w:rsidR="00582A25" w:rsidRPr="0038286C" w:rsidTr="00582A25">
        <w:trPr>
          <w:trHeight w:val="25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en-US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en-US" w:eastAsia="nl-BE"/>
              </w:rPr>
              <w:t>6.c. Training with mixed financing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en-US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en-US" w:eastAsia="nl-BE"/>
              </w:rPr>
              <w:t> </w:t>
            </w:r>
          </w:p>
        </w:tc>
      </w:tr>
      <w:tr w:rsidR="00582A25" w:rsidRPr="0038286C" w:rsidTr="00582A25">
        <w:trPr>
          <w:trHeight w:val="25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en-US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en-US" w:eastAsia="nl-BE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en-US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en-US" w:eastAsia="nl-BE"/>
              </w:rPr>
              <w:t xml:space="preserve">6.d. Training courses in cooperation with </w:t>
            </w:r>
            <w:proofErr w:type="spellStart"/>
            <w:r w:rsidRPr="00582A25">
              <w:rPr>
                <w:rFonts w:ascii="Palatino Linotype" w:hAnsi="Palatino Linotype" w:cs="Arial"/>
                <w:sz w:val="18"/>
                <w:szCs w:val="18"/>
                <w:lang w:val="en-US" w:eastAsia="nl-BE"/>
              </w:rPr>
              <w:t>sectoral</w:t>
            </w:r>
            <w:proofErr w:type="spellEnd"/>
            <w:r w:rsidRPr="00582A25">
              <w:rPr>
                <w:rFonts w:ascii="Palatino Linotype" w:hAnsi="Palatino Linotype" w:cs="Arial"/>
                <w:sz w:val="18"/>
                <w:szCs w:val="18"/>
                <w:lang w:val="en-US" w:eastAsia="nl-BE"/>
              </w:rPr>
              <w:t xml:space="preserve"> training funds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en-US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en-US" w:eastAsia="nl-BE"/>
              </w:rPr>
              <w:t> </w:t>
            </w:r>
          </w:p>
        </w:tc>
      </w:tr>
      <w:tr w:rsidR="00582A25" w:rsidRPr="00582A25" w:rsidTr="00582A25">
        <w:trPr>
          <w:trHeight w:val="25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en-US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en-US" w:eastAsia="nl-BE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 xml:space="preserve">6.e. </w:t>
            </w:r>
            <w:proofErr w:type="spellStart"/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Internships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 xml:space="preserve">             615,00   </w:t>
            </w:r>
          </w:p>
        </w:tc>
      </w:tr>
      <w:tr w:rsidR="00582A25" w:rsidRPr="00582A25" w:rsidTr="00582A25">
        <w:trPr>
          <w:trHeight w:val="25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en-US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en-US" w:eastAsia="nl-BE"/>
              </w:rPr>
              <w:t>7. Employment through individual vocational training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en-US" w:eastAsia="nl-BE"/>
              </w:rPr>
              <w:t xml:space="preserve">          </w:t>
            </w: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 xml:space="preserve">1.410,00   </w:t>
            </w:r>
          </w:p>
        </w:tc>
      </w:tr>
      <w:tr w:rsidR="00582A25" w:rsidRPr="00582A25" w:rsidTr="00582A25">
        <w:trPr>
          <w:trHeight w:val="25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8. Application training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 </w:t>
            </w:r>
          </w:p>
        </w:tc>
      </w:tr>
      <w:tr w:rsidR="00582A25" w:rsidRPr="0038286C" w:rsidTr="00582A25">
        <w:trPr>
          <w:trHeight w:val="25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en-US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en-US" w:eastAsia="nl-BE"/>
              </w:rPr>
              <w:t>9. Work Empathy for Young People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en-US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en-US" w:eastAsia="nl-BE"/>
              </w:rPr>
              <w:t> </w:t>
            </w:r>
          </w:p>
        </w:tc>
      </w:tr>
      <w:tr w:rsidR="00582A25" w:rsidRPr="0038286C" w:rsidTr="00582A25">
        <w:trPr>
          <w:trHeight w:val="25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en-US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en-US" w:eastAsia="nl-BE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en-US" w:eastAsia="nl-BE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en-US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en-US" w:eastAsia="nl-BE"/>
              </w:rPr>
              <w:t> </w:t>
            </w:r>
          </w:p>
        </w:tc>
      </w:tr>
      <w:tr w:rsidR="00582A25" w:rsidRPr="00582A25" w:rsidTr="00582A25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en-US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en-US" w:eastAsia="nl-BE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en-US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en-US" w:eastAsia="nl-B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u w:val="single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u w:val="single"/>
                <w:lang w:val="en-US" w:eastAsia="nl-BE"/>
              </w:rPr>
              <w:t xml:space="preserve">       </w:t>
            </w:r>
            <w:r w:rsidRPr="00582A25">
              <w:rPr>
                <w:rFonts w:ascii="Palatino Linotype" w:hAnsi="Palatino Linotype" w:cs="Arial"/>
                <w:sz w:val="18"/>
                <w:szCs w:val="18"/>
                <w:u w:val="single"/>
                <w:lang w:val="nl-BE" w:eastAsia="nl-BE"/>
              </w:rPr>
              <w:t xml:space="preserve">201.100,00   </w:t>
            </w:r>
          </w:p>
        </w:tc>
      </w:tr>
      <w:tr w:rsidR="00582A25" w:rsidRPr="00582A25" w:rsidTr="00582A25">
        <w:trPr>
          <w:trHeight w:val="25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jc w:val="right"/>
              <w:rPr>
                <w:rFonts w:ascii="Palatino Linotype" w:hAnsi="Palatino Linotype" w:cs="Arial"/>
                <w:i/>
                <w:iCs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i/>
                <w:iCs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 </w:t>
            </w:r>
          </w:p>
        </w:tc>
      </w:tr>
      <w:tr w:rsidR="00582A25" w:rsidRPr="00582A25" w:rsidTr="00582A25">
        <w:trPr>
          <w:trHeight w:val="25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 </w:t>
            </w:r>
          </w:p>
        </w:tc>
      </w:tr>
      <w:tr w:rsidR="00582A25" w:rsidRPr="00582A25" w:rsidTr="00582A25">
        <w:trPr>
          <w:trHeight w:val="25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val="nl-BE" w:eastAsia="nl-BE"/>
              </w:rPr>
            </w:pPr>
            <w:proofErr w:type="spellStart"/>
            <w:r w:rsidRPr="00582A25"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val="nl-BE" w:eastAsia="nl-BE"/>
              </w:rPr>
              <w:t>Aid</w:t>
            </w:r>
            <w:proofErr w:type="spellEnd"/>
            <w:r w:rsidRPr="00582A25"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582A25"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val="nl-BE" w:eastAsia="nl-BE"/>
              </w:rPr>
              <w:t>for</w:t>
            </w:r>
            <w:proofErr w:type="spellEnd"/>
            <w:r w:rsidRPr="00582A25"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582A25">
              <w:rPr>
                <w:rFonts w:ascii="Palatino Linotype" w:hAnsi="Palatino Linotype" w:cs="Arial"/>
                <w:b/>
                <w:bCs/>
                <w:i/>
                <w:iCs/>
                <w:sz w:val="18"/>
                <w:szCs w:val="18"/>
                <w:lang w:val="nl-BE" w:eastAsia="nl-BE"/>
              </w:rPr>
              <w:t>self-employment</w:t>
            </w:r>
            <w:proofErr w:type="spellEnd"/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 </w:t>
            </w:r>
          </w:p>
        </w:tc>
      </w:tr>
      <w:tr w:rsidR="00582A25" w:rsidRPr="00582A25" w:rsidTr="00582A25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en-US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en-US" w:eastAsia="nl-BE"/>
              </w:rPr>
              <w:t>10. Support for independent professional activity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u w:val="single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u w:val="single"/>
                <w:lang w:val="en-US" w:eastAsia="nl-BE"/>
              </w:rPr>
              <w:t xml:space="preserve">                    </w:t>
            </w:r>
            <w:r w:rsidRPr="00582A25">
              <w:rPr>
                <w:rFonts w:ascii="Palatino Linotype" w:hAnsi="Palatino Linotype" w:cs="Arial"/>
                <w:sz w:val="18"/>
                <w:szCs w:val="18"/>
                <w:u w:val="single"/>
                <w:lang w:val="nl-BE" w:eastAsia="nl-BE"/>
              </w:rPr>
              <w:t xml:space="preserve">-     </w:t>
            </w:r>
          </w:p>
        </w:tc>
      </w:tr>
      <w:tr w:rsidR="00582A25" w:rsidRPr="00582A25" w:rsidTr="00582A25">
        <w:trPr>
          <w:trHeight w:val="255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 </w:t>
            </w:r>
          </w:p>
        </w:tc>
      </w:tr>
      <w:tr w:rsidR="00582A25" w:rsidRPr="00582A25" w:rsidTr="00582A25">
        <w:trPr>
          <w:trHeight w:val="2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 </w:t>
            </w:r>
          </w:p>
        </w:tc>
      </w:tr>
      <w:tr w:rsidR="00582A25" w:rsidRPr="00582A25" w:rsidTr="00582A25">
        <w:trPr>
          <w:trHeight w:val="2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b/>
                <w:bCs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b/>
                <w:bCs/>
                <w:sz w:val="18"/>
                <w:szCs w:val="18"/>
                <w:lang w:val="nl-BE" w:eastAsia="nl-BE"/>
              </w:rPr>
              <w:t>Subtotaal acties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A25" w:rsidRPr="00582A25" w:rsidRDefault="00582A25" w:rsidP="00582A25">
            <w:pPr>
              <w:rPr>
                <w:rFonts w:ascii="Palatino Linotype" w:hAnsi="Palatino Linotype" w:cs="Arial"/>
                <w:b/>
                <w:bCs/>
                <w:sz w:val="18"/>
                <w:szCs w:val="18"/>
                <w:lang w:val="nl-BE" w:eastAsia="nl-BE"/>
              </w:rPr>
            </w:pPr>
            <w:r w:rsidRPr="00582A25">
              <w:rPr>
                <w:rFonts w:ascii="Palatino Linotype" w:hAnsi="Palatino Linotype" w:cs="Arial"/>
                <w:b/>
                <w:bCs/>
                <w:sz w:val="18"/>
                <w:szCs w:val="18"/>
                <w:lang w:val="nl-BE" w:eastAsia="nl-BE"/>
              </w:rPr>
              <w:t xml:space="preserve">       259.965,00   </w:t>
            </w:r>
          </w:p>
        </w:tc>
      </w:tr>
    </w:tbl>
    <w:p w:rsidR="00C90793" w:rsidRPr="00645E93" w:rsidRDefault="00C90793" w:rsidP="00C90793">
      <w:pPr>
        <w:pStyle w:val="StandaardSV"/>
        <w:rPr>
          <w:rFonts w:eastAsia="Calibri"/>
        </w:rPr>
      </w:pPr>
    </w:p>
    <w:p w:rsidR="00F41CE6" w:rsidRDefault="00F41CE6" w:rsidP="00B71FAA">
      <w:pPr>
        <w:pStyle w:val="StandaardSV"/>
        <w:numPr>
          <w:ilvl w:val="0"/>
          <w:numId w:val="1"/>
        </w:numPr>
        <w:ind w:left="360"/>
        <w:rPr>
          <w:rFonts w:eastAsia="Calibri"/>
        </w:rPr>
      </w:pPr>
      <w:r w:rsidRPr="00B71FAA">
        <w:rPr>
          <w:rFonts w:eastAsia="Calibri"/>
        </w:rPr>
        <w:t xml:space="preserve">De Europese Commissie liet weten dat gezien de verkiezingen </w:t>
      </w:r>
      <w:r w:rsidR="00B507BA">
        <w:rPr>
          <w:rFonts w:eastAsia="Calibri"/>
        </w:rPr>
        <w:t xml:space="preserve">van een nieuw Europees Parlement en de aanstelling van de Europese Raad </w:t>
      </w:r>
      <w:r w:rsidRPr="00B71FAA">
        <w:rPr>
          <w:rFonts w:eastAsia="Calibri"/>
        </w:rPr>
        <w:t xml:space="preserve"> geen beslissing meer kan genomen worden in de huidige legislatuur. Ten vroegste in het najaar van 2014 wordt een beslissing verwacht. </w:t>
      </w:r>
    </w:p>
    <w:p w:rsidR="00C90793" w:rsidRPr="00645E93" w:rsidRDefault="00C90793" w:rsidP="00C90793">
      <w:pPr>
        <w:pStyle w:val="StandaardSV"/>
        <w:rPr>
          <w:rFonts w:eastAsia="Calibri"/>
        </w:rPr>
      </w:pPr>
    </w:p>
    <w:p w:rsidR="00BD158A" w:rsidRDefault="00BD158A">
      <w:pPr>
        <w:spacing w:after="200" w:line="276" w:lineRule="auto"/>
        <w:rPr>
          <w:rFonts w:eastAsia="Calibri"/>
          <w:sz w:val="22"/>
        </w:rPr>
      </w:pPr>
      <w:r>
        <w:rPr>
          <w:rFonts w:eastAsia="Calibri"/>
        </w:rPr>
        <w:br w:type="page"/>
      </w:r>
    </w:p>
    <w:p w:rsidR="00C90793" w:rsidRPr="00B71FAA" w:rsidRDefault="00C90793" w:rsidP="00C90793">
      <w:pPr>
        <w:pStyle w:val="StandaardSV"/>
        <w:numPr>
          <w:ilvl w:val="0"/>
          <w:numId w:val="1"/>
        </w:numPr>
        <w:ind w:left="360"/>
        <w:rPr>
          <w:rFonts w:eastAsia="Calibri"/>
        </w:rPr>
      </w:pPr>
    </w:p>
    <w:p w:rsidR="00B71FAA" w:rsidRDefault="00F41CE6" w:rsidP="00B71FAA">
      <w:pPr>
        <w:pStyle w:val="StandaardSV"/>
        <w:numPr>
          <w:ilvl w:val="0"/>
          <w:numId w:val="2"/>
        </w:numPr>
        <w:rPr>
          <w:rFonts w:eastAsia="Calibri"/>
        </w:rPr>
      </w:pPr>
      <w:r w:rsidRPr="00B71FAA">
        <w:rPr>
          <w:rFonts w:eastAsia="Calibri"/>
        </w:rPr>
        <w:t>De situatie bij Ford wordt nauw gemonitord door VDAB. Momenteel zijn er geen concrete aanwijzingen om reeds met een nieuw dossier van start te gaan.</w:t>
      </w:r>
    </w:p>
    <w:p w:rsidR="00B71FAA" w:rsidRDefault="00B71FAA" w:rsidP="00B71FAA">
      <w:pPr>
        <w:pStyle w:val="StandaardSV"/>
        <w:ind w:left="720"/>
        <w:rPr>
          <w:rFonts w:eastAsia="Calibri"/>
        </w:rPr>
      </w:pPr>
    </w:p>
    <w:p w:rsidR="00F41CE6" w:rsidRPr="00B71FAA" w:rsidRDefault="00F41CE6" w:rsidP="00B71FAA">
      <w:pPr>
        <w:pStyle w:val="StandaardSV"/>
        <w:numPr>
          <w:ilvl w:val="0"/>
          <w:numId w:val="2"/>
        </w:numPr>
        <w:rPr>
          <w:rFonts w:eastAsia="Calibri"/>
        </w:rPr>
      </w:pPr>
      <w:r w:rsidRPr="00B71FAA">
        <w:rPr>
          <w:rFonts w:eastAsia="Calibri"/>
        </w:rPr>
        <w:t>Ook voor een vervolgdossier dient opnieuw de drempel van 500 ontslagen behaald te worden. Pas wanneer aan dit criteria wordt voldaan kan een nieuw dossier worden opgesteld.</w:t>
      </w:r>
      <w:bookmarkStart w:id="0" w:name="_GoBack"/>
      <w:bookmarkEnd w:id="0"/>
    </w:p>
    <w:sectPr w:rsidR="00F41CE6" w:rsidRPr="00B71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01E9"/>
    <w:multiLevelType w:val="hybridMultilevel"/>
    <w:tmpl w:val="0288685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8048C"/>
    <w:multiLevelType w:val="hybridMultilevel"/>
    <w:tmpl w:val="9B9C2C5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93"/>
    <w:rsid w:val="001176B2"/>
    <w:rsid w:val="00354B15"/>
    <w:rsid w:val="0038286C"/>
    <w:rsid w:val="00582A25"/>
    <w:rsid w:val="00685BF3"/>
    <w:rsid w:val="00B507BA"/>
    <w:rsid w:val="00B71FAA"/>
    <w:rsid w:val="00BD158A"/>
    <w:rsid w:val="00C80B2E"/>
    <w:rsid w:val="00C90793"/>
    <w:rsid w:val="00F4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07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C90793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0793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C90793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28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286C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07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C90793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C90793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C90793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28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286C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Vlaamse Overheid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Leuven, Isabel</dc:creator>
  <cp:lastModifiedBy>Nathalie De Keyzer</cp:lastModifiedBy>
  <cp:revision>3</cp:revision>
  <cp:lastPrinted>2014-05-09T12:26:00Z</cp:lastPrinted>
  <dcterms:created xsi:type="dcterms:W3CDTF">2014-05-21T12:02:00Z</dcterms:created>
  <dcterms:modified xsi:type="dcterms:W3CDTF">2014-05-21T12:03:00Z</dcterms:modified>
</cp:coreProperties>
</file>