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F0AF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214E8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F0AF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6214E8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F0AF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F0AFD" w:rsidRPr="00326A58">
        <w:rPr>
          <w:b w:val="0"/>
        </w:rPr>
      </w:r>
      <w:r w:rsidR="002F0AFD" w:rsidRPr="00326A58">
        <w:rPr>
          <w:b w:val="0"/>
        </w:rPr>
        <w:fldChar w:fldCharType="separate"/>
      </w:r>
      <w:r w:rsidR="003B47C6">
        <w:rPr>
          <w:b w:val="0"/>
        </w:rPr>
        <w:t>352</w:t>
      </w:r>
      <w:r w:rsidR="002F0AF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F0AFD" w:rsidRPr="004A292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4A292E">
        <w:rPr>
          <w:b w:val="0"/>
        </w:rPr>
        <w:instrText xml:space="preserve"> FORMTEXT </w:instrText>
      </w:r>
      <w:r w:rsidR="002F0AFD" w:rsidRPr="004A292E">
        <w:rPr>
          <w:b w:val="0"/>
        </w:rPr>
      </w:r>
      <w:r w:rsidR="002F0AFD" w:rsidRPr="004A292E">
        <w:rPr>
          <w:b w:val="0"/>
        </w:rPr>
        <w:fldChar w:fldCharType="separate"/>
      </w:r>
      <w:r w:rsidR="003B47C6" w:rsidRPr="004A292E">
        <w:rPr>
          <w:b w:val="0"/>
          <w:smallCaps w:val="0"/>
        </w:rPr>
        <w:t>24</w:t>
      </w:r>
      <w:r w:rsidR="002F0AFD" w:rsidRPr="004A292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F0AF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A292E">
        <w:rPr>
          <w:b w:val="0"/>
        </w:rPr>
      </w:r>
      <w:r w:rsidR="004A292E">
        <w:rPr>
          <w:b w:val="0"/>
        </w:rPr>
        <w:fldChar w:fldCharType="separate"/>
      </w:r>
      <w:r w:rsidR="002F0AF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F0AF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A292E">
        <w:rPr>
          <w:b w:val="0"/>
        </w:rPr>
      </w:r>
      <w:r w:rsidR="004A292E">
        <w:rPr>
          <w:b w:val="0"/>
        </w:rPr>
        <w:fldChar w:fldCharType="separate"/>
      </w:r>
      <w:r w:rsidR="002F0AF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F0AF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F0AFD" w:rsidRPr="009D7043">
        <w:rPr>
          <w:rStyle w:val="AntwoordNaamMinisterChar"/>
        </w:rPr>
      </w:r>
      <w:r w:rsidR="002F0AFD" w:rsidRPr="009D7043">
        <w:rPr>
          <w:rStyle w:val="AntwoordNaamMinisterChar"/>
        </w:rPr>
        <w:fldChar w:fldCharType="separate"/>
      </w:r>
      <w:proofErr w:type="spellStart"/>
      <w:r w:rsidR="004A292E">
        <w:rPr>
          <w:rStyle w:val="AntwoordNaamMinisterChar"/>
        </w:rPr>
        <w:t>p</w:t>
      </w:r>
      <w:r w:rsidR="003B47C6">
        <w:rPr>
          <w:rStyle w:val="AntwoordNaamMinisterChar"/>
        </w:rPr>
        <w:t>atricia</w:t>
      </w:r>
      <w:proofErr w:type="spellEnd"/>
      <w:r w:rsidR="003B47C6">
        <w:rPr>
          <w:rStyle w:val="AntwoordNaamMinisterChar"/>
        </w:rPr>
        <w:t xml:space="preserve"> </w:t>
      </w:r>
      <w:r w:rsidR="004A292E">
        <w:rPr>
          <w:rStyle w:val="AntwoordNaamMinisterChar"/>
        </w:rPr>
        <w:t>d</w:t>
      </w:r>
      <w:r w:rsidR="003B47C6">
        <w:rPr>
          <w:rStyle w:val="AntwoordNaamMinisterChar"/>
        </w:rPr>
        <w:t xml:space="preserve">e </w:t>
      </w:r>
      <w:r w:rsidR="004A292E">
        <w:rPr>
          <w:rStyle w:val="AntwoordNaamMinisterChar"/>
        </w:rPr>
        <w:t>w</w:t>
      </w:r>
      <w:bookmarkStart w:id="6" w:name="_GoBack"/>
      <w:bookmarkEnd w:id="6"/>
      <w:r w:rsidR="003B47C6">
        <w:rPr>
          <w:rStyle w:val="AntwoordNaamMinisterChar"/>
        </w:rPr>
        <w:t>aele</w:t>
      </w:r>
      <w:r w:rsidR="002F0AF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372F" w:rsidRPr="00684076" w:rsidRDefault="008C2CF9" w:rsidP="006009C1">
      <w:pPr>
        <w:numPr>
          <w:ilvl w:val="0"/>
          <w:numId w:val="5"/>
        </w:numPr>
        <w:ind w:left="284" w:hanging="284"/>
        <w:jc w:val="both"/>
        <w:rPr>
          <w:szCs w:val="22"/>
        </w:rPr>
      </w:pPr>
      <w:r w:rsidRPr="00684076">
        <w:lastRenderedPageBreak/>
        <w:t>In 2013 had het VWF 931 achterstallige leningen voor een bedrag van 3.682.258 euro. Wat de VMSW betreft, waren er in 2013 742 achterstallige leningen voor een to</w:t>
      </w:r>
      <w:r w:rsidR="00C11391">
        <w:t>taal bedrag van 1.506.347 euro.</w:t>
      </w:r>
    </w:p>
    <w:p w:rsidR="00CD4866" w:rsidRPr="00661255" w:rsidRDefault="00CD4866" w:rsidP="00823414">
      <w:pPr>
        <w:jc w:val="both"/>
        <w:rPr>
          <w:highlight w:val="yellow"/>
        </w:rPr>
      </w:pPr>
    </w:p>
    <w:p w:rsidR="00502FE2" w:rsidRPr="00585784" w:rsidRDefault="00E47FF4" w:rsidP="008C2CF9">
      <w:pPr>
        <w:numPr>
          <w:ilvl w:val="0"/>
          <w:numId w:val="5"/>
        </w:numPr>
        <w:ind w:left="284" w:hanging="284"/>
        <w:jc w:val="both"/>
        <w:rPr>
          <w:lang w:val="nl"/>
        </w:rPr>
      </w:pPr>
      <w:r w:rsidRPr="00585784">
        <w:t>De</w:t>
      </w:r>
      <w:r w:rsidR="008C2CF9" w:rsidRPr="00585784">
        <w:t xml:space="preserve"> termijn</w:t>
      </w:r>
      <w:r w:rsidRPr="00585784">
        <w:t>en</w:t>
      </w:r>
      <w:r w:rsidR="008C2CF9" w:rsidRPr="00585784">
        <w:t xml:space="preserve"> waarbinnen achterstanden volledig worden terugbetaald</w:t>
      </w:r>
      <w:r w:rsidR="00AF7523">
        <w:t xml:space="preserve"> kunnen</w:t>
      </w:r>
      <w:r w:rsidRPr="00585784">
        <w:t xml:space="preserve"> sterk variëren</w:t>
      </w:r>
      <w:r w:rsidR="008C2CF9" w:rsidRPr="00585784">
        <w:t>, namelijk van binnen de maand tot pas binnen enkele jaren.</w:t>
      </w:r>
      <w:r w:rsidR="006074B3" w:rsidRPr="00585784">
        <w:t xml:space="preserve"> </w:t>
      </w:r>
      <w:r w:rsidR="00AF7523">
        <w:t>De onderstaande tabel geeft de ouderdom van de uitstaande achterstanden weer bij beide organisaties.</w:t>
      </w:r>
    </w:p>
    <w:p w:rsidR="001525C0" w:rsidRPr="00C11391" w:rsidRDefault="001525C0" w:rsidP="00C11391">
      <w:pPr>
        <w:rPr>
          <w:highlight w:val="yellow"/>
          <w:lang w:val="nl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1027"/>
        <w:gridCol w:w="1027"/>
      </w:tblGrid>
      <w:tr w:rsidR="001525C0" w:rsidTr="00970545">
        <w:tc>
          <w:tcPr>
            <w:tcW w:w="2907" w:type="dxa"/>
          </w:tcPr>
          <w:p w:rsidR="001525C0" w:rsidRPr="00E47FF4" w:rsidRDefault="001525C0" w:rsidP="001525C0">
            <w:pPr>
              <w:jc w:val="both"/>
              <w:rPr>
                <w:lang w:val="nl"/>
              </w:rPr>
            </w:pP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VMSW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VWF</w:t>
            </w:r>
          </w:p>
        </w:tc>
      </w:tr>
      <w:tr w:rsidR="001525C0" w:rsidTr="00970545">
        <w:tc>
          <w:tcPr>
            <w:tcW w:w="2907" w:type="dxa"/>
            <w:vAlign w:val="center"/>
          </w:tcPr>
          <w:p w:rsidR="001525C0" w:rsidRPr="00E47FF4" w:rsidRDefault="001525C0" w:rsidP="00970545">
            <w:pPr>
              <w:rPr>
                <w:lang w:val="nl"/>
              </w:rPr>
            </w:pPr>
            <w:r w:rsidRPr="00E47FF4">
              <w:rPr>
                <w:lang w:val="nl"/>
              </w:rPr>
              <w:t>Achterstand &gt; 3 maanden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204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425</w:t>
            </w:r>
          </w:p>
        </w:tc>
      </w:tr>
      <w:tr w:rsidR="001525C0" w:rsidTr="00970545">
        <w:tc>
          <w:tcPr>
            <w:tcW w:w="2907" w:type="dxa"/>
            <w:vAlign w:val="center"/>
          </w:tcPr>
          <w:p w:rsidR="001525C0" w:rsidRPr="00E47FF4" w:rsidRDefault="001525C0" w:rsidP="00970545">
            <w:pPr>
              <w:rPr>
                <w:lang w:val="nl"/>
              </w:rPr>
            </w:pPr>
            <w:r w:rsidRPr="00E47FF4">
              <w:rPr>
                <w:lang w:val="nl"/>
              </w:rPr>
              <w:t xml:space="preserve">Achterstand </w:t>
            </w:r>
            <w:r w:rsidR="00E47FF4" w:rsidRPr="00E47FF4">
              <w:rPr>
                <w:lang w:val="nl"/>
              </w:rPr>
              <w:t>&lt; 3 maanden</w:t>
            </w:r>
          </w:p>
        </w:tc>
        <w:tc>
          <w:tcPr>
            <w:tcW w:w="1027" w:type="dxa"/>
            <w:vAlign w:val="center"/>
          </w:tcPr>
          <w:p w:rsidR="001525C0" w:rsidRPr="00E47FF4" w:rsidRDefault="00E47FF4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538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lang w:val="nl"/>
              </w:rPr>
            </w:pPr>
            <w:r w:rsidRPr="00E47FF4">
              <w:rPr>
                <w:lang w:val="nl"/>
              </w:rPr>
              <w:t>506</w:t>
            </w:r>
          </w:p>
        </w:tc>
      </w:tr>
      <w:tr w:rsidR="001525C0" w:rsidTr="00970545">
        <w:tc>
          <w:tcPr>
            <w:tcW w:w="2907" w:type="dxa"/>
            <w:vAlign w:val="center"/>
          </w:tcPr>
          <w:p w:rsidR="001525C0" w:rsidRPr="00E47FF4" w:rsidRDefault="001525C0" w:rsidP="00970545">
            <w:pPr>
              <w:rPr>
                <w:b/>
                <w:lang w:val="nl"/>
              </w:rPr>
            </w:pPr>
            <w:r w:rsidRPr="00E47FF4">
              <w:rPr>
                <w:b/>
                <w:lang w:val="nl"/>
              </w:rPr>
              <w:t>Totaal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b/>
                <w:lang w:val="nl"/>
              </w:rPr>
            </w:pPr>
            <w:r w:rsidRPr="00E47FF4">
              <w:rPr>
                <w:b/>
                <w:lang w:val="nl"/>
              </w:rPr>
              <w:t>742</w:t>
            </w:r>
          </w:p>
        </w:tc>
        <w:tc>
          <w:tcPr>
            <w:tcW w:w="1027" w:type="dxa"/>
            <w:vAlign w:val="center"/>
          </w:tcPr>
          <w:p w:rsidR="001525C0" w:rsidRPr="00E47FF4" w:rsidRDefault="001525C0" w:rsidP="00970545">
            <w:pPr>
              <w:jc w:val="right"/>
              <w:rPr>
                <w:b/>
                <w:lang w:val="nl"/>
              </w:rPr>
            </w:pPr>
            <w:r w:rsidRPr="00E47FF4">
              <w:rPr>
                <w:b/>
                <w:lang w:val="nl"/>
              </w:rPr>
              <w:t>931</w:t>
            </w:r>
          </w:p>
        </w:tc>
      </w:tr>
    </w:tbl>
    <w:p w:rsidR="00E15308" w:rsidRPr="00C11391" w:rsidRDefault="00E15308" w:rsidP="00C11391">
      <w:pPr>
        <w:rPr>
          <w:highlight w:val="yellow"/>
          <w:lang w:val="nl"/>
        </w:rPr>
      </w:pPr>
    </w:p>
    <w:p w:rsidR="00EF7A00" w:rsidRPr="00021A8C" w:rsidRDefault="00E15308" w:rsidP="00192CA1">
      <w:pPr>
        <w:numPr>
          <w:ilvl w:val="0"/>
          <w:numId w:val="5"/>
        </w:numPr>
        <w:ind w:left="284" w:hanging="284"/>
        <w:jc w:val="both"/>
        <w:rPr>
          <w:lang w:val="nl"/>
        </w:rPr>
      </w:pPr>
      <w:r w:rsidRPr="004022FF">
        <w:rPr>
          <w:lang w:val="nl"/>
        </w:rPr>
        <w:t>Bij het VWF werd in 4 gevallen na openbare verkop</w:t>
      </w:r>
      <w:r w:rsidR="00D84627" w:rsidRPr="004022FF">
        <w:rPr>
          <w:lang w:val="nl"/>
        </w:rPr>
        <w:t>en</w:t>
      </w:r>
      <w:r w:rsidRPr="004022FF">
        <w:rPr>
          <w:lang w:val="nl"/>
        </w:rPr>
        <w:t xml:space="preserve"> de lening niet volledig terugbetaald.</w:t>
      </w:r>
      <w:r w:rsidR="004022FF" w:rsidRPr="004022FF">
        <w:rPr>
          <w:lang w:val="nl"/>
        </w:rPr>
        <w:t xml:space="preserve"> Het totale deficit werd voorlopig bepaald op 147.619 euro. Voor de recuperatie van dit</w:t>
      </w:r>
      <w:r w:rsidRPr="004022FF">
        <w:rPr>
          <w:lang w:val="nl"/>
        </w:rPr>
        <w:t xml:space="preserve"> overblijvende saldo wordt een intensieve opvolging voorzien. </w:t>
      </w:r>
      <w:r w:rsidR="00EF7A00" w:rsidRPr="004022FF">
        <w:rPr>
          <w:lang w:val="nl"/>
        </w:rPr>
        <w:t>Wat</w:t>
      </w:r>
      <w:r w:rsidR="00EF7A00" w:rsidRPr="00021A8C">
        <w:rPr>
          <w:lang w:val="nl"/>
        </w:rPr>
        <w:t xml:space="preserve"> de VMSW betreft</w:t>
      </w:r>
      <w:r w:rsidR="00192CA1" w:rsidRPr="00021A8C">
        <w:rPr>
          <w:lang w:val="nl"/>
        </w:rPr>
        <w:t>, waren er in 2013 2 dossiers waarbij het verschuldigde bedrag ook na een gedwongen verkoop van de woning niet kon worden terugbetaald. Dit leidde tot een rest</w:t>
      </w:r>
      <w:r w:rsidR="00970545">
        <w:rPr>
          <w:lang w:val="nl"/>
        </w:rPr>
        <w:t>erende schuld van 118.662 euro.</w:t>
      </w:r>
    </w:p>
    <w:p w:rsidR="00F2663E" w:rsidRPr="00661255" w:rsidRDefault="00F2663E" w:rsidP="00C11391">
      <w:pPr>
        <w:rPr>
          <w:highlight w:val="yellow"/>
          <w:lang w:val="nl"/>
        </w:rPr>
      </w:pPr>
    </w:p>
    <w:p w:rsidR="00C5515E" w:rsidRPr="00C5515E" w:rsidRDefault="00F2663E" w:rsidP="00C5515E">
      <w:pPr>
        <w:numPr>
          <w:ilvl w:val="0"/>
          <w:numId w:val="5"/>
        </w:numPr>
        <w:ind w:left="284" w:hanging="284"/>
        <w:jc w:val="both"/>
        <w:rPr>
          <w:szCs w:val="22"/>
        </w:rPr>
      </w:pPr>
      <w:r w:rsidRPr="00C5515E">
        <w:rPr>
          <w:lang w:val="nl"/>
        </w:rPr>
        <w:t>De VMSW heeft in 2013 14 keer een procedure uitvoerend beslag opgestart en deze leidde in 4 geva</w:t>
      </w:r>
      <w:r w:rsidR="00C11391">
        <w:rPr>
          <w:lang w:val="nl"/>
        </w:rPr>
        <w:t>llen tot een gedwongen verkoop.</w:t>
      </w:r>
    </w:p>
    <w:p w:rsidR="00F2663E" w:rsidRPr="00C5515E" w:rsidRDefault="00D84627" w:rsidP="00F2663E">
      <w:pPr>
        <w:ind w:left="284"/>
        <w:jc w:val="both"/>
        <w:rPr>
          <w:szCs w:val="22"/>
        </w:rPr>
      </w:pPr>
      <w:r w:rsidRPr="00C5515E">
        <w:rPr>
          <w:szCs w:val="22"/>
        </w:rPr>
        <w:t xml:space="preserve">In 2013 werd </w:t>
      </w:r>
      <w:r w:rsidR="00F2663E" w:rsidRPr="00C5515E">
        <w:rPr>
          <w:szCs w:val="22"/>
        </w:rPr>
        <w:t>in 16 gevallen door het VWF het verzoekschrift</w:t>
      </w:r>
      <w:r w:rsidR="00C5515E" w:rsidRPr="00C5515E">
        <w:rPr>
          <w:szCs w:val="22"/>
        </w:rPr>
        <w:t xml:space="preserve"> tot aanstelling van een notaris in het kader van een procedure van gedwongen verkoop</w:t>
      </w:r>
      <w:r w:rsidR="00F2663E" w:rsidRPr="00C5515E">
        <w:rPr>
          <w:szCs w:val="22"/>
        </w:rPr>
        <w:t xml:space="preserve"> effectief </w:t>
      </w:r>
      <w:r w:rsidR="00C5515E" w:rsidRPr="00C5515E">
        <w:rPr>
          <w:szCs w:val="22"/>
        </w:rPr>
        <w:t xml:space="preserve">neergelegd bij de beslagrechter. </w:t>
      </w:r>
      <w:r w:rsidR="00F2663E" w:rsidRPr="00C5515E">
        <w:rPr>
          <w:szCs w:val="22"/>
        </w:rPr>
        <w:t xml:space="preserve">6 procedures werden gestopt omwille van een tussengekomen regeling. In 8 gevallen ging de openbare verkoop door waarbij in 4 </w:t>
      </w:r>
      <w:r w:rsidR="00F45665">
        <w:rPr>
          <w:szCs w:val="22"/>
        </w:rPr>
        <w:t xml:space="preserve">gevallen de </w:t>
      </w:r>
      <w:proofErr w:type="spellStart"/>
      <w:r w:rsidR="00F45665">
        <w:rPr>
          <w:szCs w:val="22"/>
        </w:rPr>
        <w:t>verkoopsopbrengst</w:t>
      </w:r>
      <w:proofErr w:type="spellEnd"/>
      <w:r w:rsidR="00F45665">
        <w:rPr>
          <w:szCs w:val="22"/>
        </w:rPr>
        <w:t xml:space="preserve"> volstond om het openstaand saldo</w:t>
      </w:r>
      <w:r w:rsidR="00F2663E" w:rsidRPr="00C5515E">
        <w:rPr>
          <w:szCs w:val="22"/>
        </w:rPr>
        <w:t xml:space="preserve"> volledig </w:t>
      </w:r>
      <w:r w:rsidR="00F45665">
        <w:rPr>
          <w:szCs w:val="22"/>
        </w:rPr>
        <w:t>te recupereren</w:t>
      </w:r>
      <w:r w:rsidR="00F2663E" w:rsidRPr="00C5515E">
        <w:rPr>
          <w:szCs w:val="22"/>
        </w:rPr>
        <w:t xml:space="preserve">. </w:t>
      </w:r>
      <w:r w:rsidR="00C5515E" w:rsidRPr="00C5515E">
        <w:rPr>
          <w:szCs w:val="22"/>
        </w:rPr>
        <w:t xml:space="preserve">De </w:t>
      </w:r>
      <w:r w:rsidR="00F45665">
        <w:rPr>
          <w:szCs w:val="22"/>
        </w:rPr>
        <w:t>twee</w:t>
      </w:r>
      <w:r w:rsidR="00F2663E" w:rsidRPr="00C5515E">
        <w:rPr>
          <w:szCs w:val="22"/>
        </w:rPr>
        <w:t xml:space="preserve"> andere procedures zijn nog lopende</w:t>
      </w:r>
      <w:r w:rsidR="00F45665">
        <w:rPr>
          <w:szCs w:val="22"/>
        </w:rPr>
        <w:t xml:space="preserve"> waardoor er nog geen definitief verlies kan worden vastgesteld</w:t>
      </w:r>
      <w:r w:rsidR="00C11391">
        <w:rPr>
          <w:szCs w:val="22"/>
        </w:rPr>
        <w:t>.</w:t>
      </w:r>
    </w:p>
    <w:p w:rsidR="00F2663E" w:rsidRPr="00661255" w:rsidRDefault="00F2663E" w:rsidP="00C11391">
      <w:pPr>
        <w:jc w:val="both"/>
        <w:rPr>
          <w:szCs w:val="22"/>
          <w:highlight w:val="yellow"/>
        </w:rPr>
      </w:pPr>
    </w:p>
    <w:p w:rsidR="005B08F6" w:rsidRPr="005B08F6" w:rsidRDefault="00393198" w:rsidP="00C11391">
      <w:pPr>
        <w:numPr>
          <w:ilvl w:val="0"/>
          <w:numId w:val="5"/>
        </w:numPr>
        <w:ind w:left="284" w:hanging="284"/>
        <w:jc w:val="both"/>
        <w:rPr>
          <w:lang w:val="nl"/>
        </w:rPr>
      </w:pPr>
      <w:r w:rsidRPr="00661255">
        <w:t xml:space="preserve">Zoals u terecht aanhaalt in uw vraag, neemt het aantal gezinnen met een sociale lening toe in vergelijking met 2012. Het aantal achterstallige leningen blijft echter relatief constant. </w:t>
      </w:r>
    </w:p>
    <w:p w:rsidR="00EF7A00" w:rsidRPr="005B08F6" w:rsidRDefault="001A1468" w:rsidP="005B08F6">
      <w:pPr>
        <w:ind w:left="284"/>
        <w:jc w:val="both"/>
        <w:rPr>
          <w:lang w:val="nl"/>
        </w:rPr>
      </w:pPr>
      <w:r w:rsidRPr="005B08F6">
        <w:rPr>
          <w:lang w:val="nl"/>
        </w:rPr>
        <w:t>Er is dus momenteel geen reden om bijkomende instrumenten in te zetten. De bestaande opvolging levert een zeer goed resultaat op. Dit neemt niet weg dat een alerte opvolging moet gehandhaafd blijven.</w:t>
      </w:r>
    </w:p>
    <w:sectPr w:rsidR="00EF7A00" w:rsidRPr="005B08F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51"/>
    <w:multiLevelType w:val="hybridMultilevel"/>
    <w:tmpl w:val="98AA2C2C"/>
    <w:lvl w:ilvl="0" w:tplc="E6946672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F784B"/>
    <w:multiLevelType w:val="hybridMultilevel"/>
    <w:tmpl w:val="1632EA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294"/>
    <w:multiLevelType w:val="hybridMultilevel"/>
    <w:tmpl w:val="1D34B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7E7"/>
    <w:multiLevelType w:val="hybridMultilevel"/>
    <w:tmpl w:val="8B3E5538"/>
    <w:lvl w:ilvl="0" w:tplc="0813000F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7BA00BF3"/>
    <w:multiLevelType w:val="hybridMultilevel"/>
    <w:tmpl w:val="93327A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0029"/>
    <w:rsid w:val="00020E53"/>
    <w:rsid w:val="00021A8C"/>
    <w:rsid w:val="00033AF3"/>
    <w:rsid w:val="00034947"/>
    <w:rsid w:val="00041264"/>
    <w:rsid w:val="000427EC"/>
    <w:rsid w:val="00073541"/>
    <w:rsid w:val="00085000"/>
    <w:rsid w:val="000976E9"/>
    <w:rsid w:val="000C4E8C"/>
    <w:rsid w:val="000F3532"/>
    <w:rsid w:val="001525C0"/>
    <w:rsid w:val="00171D8F"/>
    <w:rsid w:val="001905A8"/>
    <w:rsid w:val="00192CA1"/>
    <w:rsid w:val="00195C7E"/>
    <w:rsid w:val="001A1468"/>
    <w:rsid w:val="001D6816"/>
    <w:rsid w:val="00205778"/>
    <w:rsid w:val="00210C07"/>
    <w:rsid w:val="0022220A"/>
    <w:rsid w:val="00232E18"/>
    <w:rsid w:val="00233C74"/>
    <w:rsid w:val="002843DB"/>
    <w:rsid w:val="00296DB3"/>
    <w:rsid w:val="002A29EE"/>
    <w:rsid w:val="002E7ABF"/>
    <w:rsid w:val="002F0AFD"/>
    <w:rsid w:val="0032374B"/>
    <w:rsid w:val="00325295"/>
    <w:rsid w:val="00326A58"/>
    <w:rsid w:val="00393198"/>
    <w:rsid w:val="003A21E0"/>
    <w:rsid w:val="003B47C6"/>
    <w:rsid w:val="004022FF"/>
    <w:rsid w:val="00415419"/>
    <w:rsid w:val="00425112"/>
    <w:rsid w:val="004457E3"/>
    <w:rsid w:val="00467CA7"/>
    <w:rsid w:val="00493ED1"/>
    <w:rsid w:val="004A292E"/>
    <w:rsid w:val="004D7AF8"/>
    <w:rsid w:val="004E4428"/>
    <w:rsid w:val="00502FE2"/>
    <w:rsid w:val="00510BA1"/>
    <w:rsid w:val="00515011"/>
    <w:rsid w:val="005239D2"/>
    <w:rsid w:val="00561EAD"/>
    <w:rsid w:val="00563957"/>
    <w:rsid w:val="00571190"/>
    <w:rsid w:val="00585784"/>
    <w:rsid w:val="005B08F6"/>
    <w:rsid w:val="005E2CC4"/>
    <w:rsid w:val="005E38CA"/>
    <w:rsid w:val="005E4719"/>
    <w:rsid w:val="005F6B47"/>
    <w:rsid w:val="006009C1"/>
    <w:rsid w:val="006068B5"/>
    <w:rsid w:val="006074B3"/>
    <w:rsid w:val="006214E8"/>
    <w:rsid w:val="00621A60"/>
    <w:rsid w:val="006563FB"/>
    <w:rsid w:val="00661255"/>
    <w:rsid w:val="00661418"/>
    <w:rsid w:val="00684076"/>
    <w:rsid w:val="006E5D7B"/>
    <w:rsid w:val="0071248C"/>
    <w:rsid w:val="007252C7"/>
    <w:rsid w:val="00732B15"/>
    <w:rsid w:val="007E0B3C"/>
    <w:rsid w:val="008110ED"/>
    <w:rsid w:val="00823414"/>
    <w:rsid w:val="008818D8"/>
    <w:rsid w:val="00890F4B"/>
    <w:rsid w:val="008A6D7A"/>
    <w:rsid w:val="008B2E50"/>
    <w:rsid w:val="008C1CA4"/>
    <w:rsid w:val="008C2CF9"/>
    <w:rsid w:val="008D2E09"/>
    <w:rsid w:val="008D5DB4"/>
    <w:rsid w:val="00900C97"/>
    <w:rsid w:val="00904474"/>
    <w:rsid w:val="009347E0"/>
    <w:rsid w:val="009515D8"/>
    <w:rsid w:val="00970545"/>
    <w:rsid w:val="00971BEC"/>
    <w:rsid w:val="0098245A"/>
    <w:rsid w:val="009A2281"/>
    <w:rsid w:val="009A4DF3"/>
    <w:rsid w:val="009C2099"/>
    <w:rsid w:val="009D7043"/>
    <w:rsid w:val="00A1261C"/>
    <w:rsid w:val="00A20698"/>
    <w:rsid w:val="00A33DAF"/>
    <w:rsid w:val="00A54AD8"/>
    <w:rsid w:val="00A762FA"/>
    <w:rsid w:val="00A923C4"/>
    <w:rsid w:val="00AD2177"/>
    <w:rsid w:val="00AE6C62"/>
    <w:rsid w:val="00AF7523"/>
    <w:rsid w:val="00B22070"/>
    <w:rsid w:val="00B32B02"/>
    <w:rsid w:val="00B45EB2"/>
    <w:rsid w:val="00BE425A"/>
    <w:rsid w:val="00C03F62"/>
    <w:rsid w:val="00C11391"/>
    <w:rsid w:val="00C13E44"/>
    <w:rsid w:val="00C30855"/>
    <w:rsid w:val="00C418DA"/>
    <w:rsid w:val="00C46150"/>
    <w:rsid w:val="00C5515E"/>
    <w:rsid w:val="00C76A3D"/>
    <w:rsid w:val="00C91441"/>
    <w:rsid w:val="00C927F1"/>
    <w:rsid w:val="00CA3BA5"/>
    <w:rsid w:val="00CB0D27"/>
    <w:rsid w:val="00CD2445"/>
    <w:rsid w:val="00CD4866"/>
    <w:rsid w:val="00D048BC"/>
    <w:rsid w:val="00D4472F"/>
    <w:rsid w:val="00D47D2D"/>
    <w:rsid w:val="00D556AB"/>
    <w:rsid w:val="00D63009"/>
    <w:rsid w:val="00D71D99"/>
    <w:rsid w:val="00D754F2"/>
    <w:rsid w:val="00D84627"/>
    <w:rsid w:val="00DB41C0"/>
    <w:rsid w:val="00DC4DB6"/>
    <w:rsid w:val="00DE45F0"/>
    <w:rsid w:val="00E07235"/>
    <w:rsid w:val="00E13725"/>
    <w:rsid w:val="00E15308"/>
    <w:rsid w:val="00E47FF4"/>
    <w:rsid w:val="00E55200"/>
    <w:rsid w:val="00E84761"/>
    <w:rsid w:val="00E85C8D"/>
    <w:rsid w:val="00EA3C7B"/>
    <w:rsid w:val="00EA60FD"/>
    <w:rsid w:val="00EF7A00"/>
    <w:rsid w:val="00F02A90"/>
    <w:rsid w:val="00F1275B"/>
    <w:rsid w:val="00F12D77"/>
    <w:rsid w:val="00F2663E"/>
    <w:rsid w:val="00F3214C"/>
    <w:rsid w:val="00F3565F"/>
    <w:rsid w:val="00F45665"/>
    <w:rsid w:val="00F60207"/>
    <w:rsid w:val="00F67D1C"/>
    <w:rsid w:val="00FA29D6"/>
    <w:rsid w:val="00FA7896"/>
    <w:rsid w:val="00FD5BF4"/>
    <w:rsid w:val="00FE1C7B"/>
    <w:rsid w:val="00FE372F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CD4866"/>
    <w:pPr>
      <w:ind w:left="720"/>
      <w:contextualSpacing/>
    </w:pPr>
  </w:style>
  <w:style w:type="paragraph" w:customStyle="1" w:styleId="StandaardSV">
    <w:name w:val="Standaard SV"/>
    <w:basedOn w:val="Standaard"/>
    <w:rsid w:val="00D63009"/>
    <w:pPr>
      <w:jc w:val="both"/>
    </w:pPr>
    <w:rPr>
      <w:szCs w:val="20"/>
    </w:rPr>
  </w:style>
  <w:style w:type="table" w:styleId="Tabelraster">
    <w:name w:val="Table Grid"/>
    <w:basedOn w:val="Standaardtabel"/>
    <w:rsid w:val="0015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CD4866"/>
    <w:pPr>
      <w:ind w:left="720"/>
      <w:contextualSpacing/>
    </w:pPr>
  </w:style>
  <w:style w:type="paragraph" w:customStyle="1" w:styleId="StandaardSV">
    <w:name w:val="Standaard SV"/>
    <w:basedOn w:val="Standaard"/>
    <w:rsid w:val="00D63009"/>
    <w:pPr>
      <w:jc w:val="both"/>
    </w:pPr>
    <w:rPr>
      <w:szCs w:val="20"/>
    </w:rPr>
  </w:style>
  <w:style w:type="table" w:styleId="Tabelraster">
    <w:name w:val="Table Grid"/>
    <w:basedOn w:val="Standaardtabel"/>
    <w:rsid w:val="0015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344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Antwoord op Schriftelijke Vraag</vt:lpstr>
      <vt:lpstr>Antwoord op Schriftelijke Vraag</vt:lpstr>
    </vt:vector>
  </TitlesOfParts>
  <Company>Vlaamse Maatschappij voor Sociaal Wonen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1901-01-01T00:00:00Z</cp:lastPrinted>
  <dcterms:created xsi:type="dcterms:W3CDTF">2014-05-12T13:09:00Z</dcterms:created>
  <dcterms:modified xsi:type="dcterms:W3CDTF">2014-05-15T07:21:00Z</dcterms:modified>
</cp:coreProperties>
</file>