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jo vandeurzen</w:t>
      </w:r>
      <w:bookmarkEnd w:id="1"/>
      <w:r>
        <w:rPr>
          <w:szCs w:val="22"/>
        </w:rPr>
        <w:fldChar w:fldCharType="end"/>
      </w:r>
      <w:bookmarkEnd w:id="0"/>
    </w:p>
    <w:bookmarkStart w:id="2"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2"/>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E2C59">
        <w:rPr>
          <w:b w:val="0"/>
        </w:rPr>
        <w:t>249</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7E2C59">
        <w:rPr>
          <w:b w:val="0"/>
        </w:rPr>
        <w:t>19</w:t>
      </w:r>
      <w:r>
        <w:rPr>
          <w:b w:val="0"/>
        </w:rPr>
        <w:fldChar w:fldCharType="end"/>
      </w:r>
      <w:bookmarkStart w:id="5" w:name="Dropdown2"/>
      <w:bookmarkEnd w:id="4"/>
      <w:r>
        <w:rPr>
          <w:b w:val="0"/>
        </w:rPr>
        <w:t xml:space="preserve"> </w:t>
      </w:r>
      <w:bookmarkEnd w:id="5"/>
      <w:r w:rsidR="00EE4E83">
        <w:rPr>
          <w:b w:val="0"/>
        </w:rPr>
        <w:fldChar w:fldCharType="begin">
          <w:ffData>
            <w:name w:val=""/>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B45231">
        <w:rPr>
          <w:b w:val="0"/>
        </w:rPr>
      </w:r>
      <w:r w:rsidR="00B45231">
        <w:rPr>
          <w:b w:val="0"/>
        </w:rPr>
        <w:fldChar w:fldCharType="separate"/>
      </w:r>
      <w:r w:rsidR="00EE4E83">
        <w:rPr>
          <w:b w:val="0"/>
        </w:rPr>
        <w:fldChar w:fldCharType="end"/>
      </w:r>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B45231">
        <w:rPr>
          <w:b w:val="0"/>
        </w:rPr>
      </w:r>
      <w:r w:rsidR="00B45231">
        <w:rPr>
          <w:b w:val="0"/>
        </w:rPr>
        <w:fldChar w:fldCharType="separate"/>
      </w:r>
      <w:r>
        <w:rPr>
          <w:b w:val="0"/>
        </w:rPr>
        <w:fldChar w:fldCharType="end"/>
      </w:r>
      <w:bookmarkEnd w:id="6"/>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3612C6">
        <w:rPr>
          <w:rStyle w:val="AntwoordNaamMinisterChar"/>
        </w:rPr>
        <w:t>v</w:t>
      </w:r>
      <w:r w:rsidR="007E2C59">
        <w:rPr>
          <w:rStyle w:val="AntwoordNaamMinisterChar"/>
        </w:rPr>
        <w:t xml:space="preserve">era </w:t>
      </w:r>
      <w:r w:rsidR="003612C6">
        <w:rPr>
          <w:rStyle w:val="AntwoordNaamMinisterChar"/>
        </w:rPr>
        <w:t>v</w:t>
      </w:r>
      <w:r w:rsidR="007E2C59">
        <w:rPr>
          <w:rStyle w:val="AntwoordNaamMinisterChar"/>
        </w:rPr>
        <w:t xml:space="preserve">an </w:t>
      </w:r>
      <w:r w:rsidR="003612C6">
        <w:rPr>
          <w:rStyle w:val="AntwoordNaamMinisterChar"/>
        </w:rPr>
        <w:t>d</w:t>
      </w:r>
      <w:r w:rsidR="007E2C59">
        <w:rPr>
          <w:rStyle w:val="AntwoordNaamMinisterChar"/>
        </w:rPr>
        <w:t xml:space="preserve">er </w:t>
      </w:r>
      <w:r w:rsidR="003612C6">
        <w:rPr>
          <w:rStyle w:val="AntwoordNaamMinisterChar"/>
        </w:rPr>
        <w:t>b</w:t>
      </w:r>
      <w:r w:rsidR="007E2C59">
        <w:rPr>
          <w:rStyle w:val="AntwoordNaamMinisterChar"/>
        </w:rPr>
        <w:t>orght</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EA5D30" w:rsidRPr="003612C6" w:rsidRDefault="00484418" w:rsidP="003612C6">
      <w:pPr>
        <w:pStyle w:val="Lijstalinea"/>
        <w:numPr>
          <w:ilvl w:val="0"/>
          <w:numId w:val="5"/>
        </w:numPr>
        <w:ind w:left="426" w:hanging="426"/>
        <w:jc w:val="both"/>
        <w:rPr>
          <w:sz w:val="22"/>
          <w:szCs w:val="22"/>
        </w:rPr>
      </w:pPr>
      <w:r w:rsidRPr="003612C6">
        <w:rPr>
          <w:sz w:val="22"/>
          <w:szCs w:val="22"/>
        </w:rPr>
        <w:lastRenderedPageBreak/>
        <w:t xml:space="preserve">In onderstaande tabel vindt u een overzicht per jaar van de toegekende </w:t>
      </w:r>
      <w:proofErr w:type="spellStart"/>
      <w:r w:rsidRPr="003612C6">
        <w:rPr>
          <w:sz w:val="22"/>
          <w:szCs w:val="22"/>
        </w:rPr>
        <w:t>budgetten</w:t>
      </w:r>
      <w:proofErr w:type="spellEnd"/>
      <w:r w:rsidRPr="003612C6">
        <w:rPr>
          <w:sz w:val="22"/>
          <w:szCs w:val="22"/>
        </w:rPr>
        <w:t xml:space="preserve"> in het kader van het uitbreidingsbeleid voor de sector personen met een handicap in de periode van 2010 tot 2014. </w:t>
      </w:r>
    </w:p>
    <w:p w:rsidR="00B932CA" w:rsidRPr="003612C6" w:rsidRDefault="00B932CA" w:rsidP="00EA5D30">
      <w:pPr>
        <w:ind w:left="720"/>
        <w:jc w:val="both"/>
        <w:rPr>
          <w:szCs w:val="22"/>
        </w:rPr>
      </w:pPr>
    </w:p>
    <w:tbl>
      <w:tblPr>
        <w:tblStyle w:val="Tabelraster"/>
        <w:tblW w:w="9753" w:type="dxa"/>
        <w:tblInd w:w="-34" w:type="dxa"/>
        <w:tblLook w:val="04A0" w:firstRow="1" w:lastRow="0" w:firstColumn="1" w:lastColumn="0" w:noHBand="0" w:noVBand="1"/>
      </w:tblPr>
      <w:tblGrid>
        <w:gridCol w:w="2206"/>
        <w:gridCol w:w="1276"/>
        <w:gridCol w:w="1276"/>
        <w:gridCol w:w="1275"/>
        <w:gridCol w:w="1168"/>
        <w:gridCol w:w="1276"/>
        <w:gridCol w:w="1276"/>
      </w:tblGrid>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sz w:val="18"/>
                <w:szCs w:val="18"/>
                <w:lang w:val="nl-BE" w:eastAsia="en-US"/>
              </w:rPr>
            </w:pPr>
          </w:p>
        </w:tc>
        <w:tc>
          <w:tcPr>
            <w:tcW w:w="1276" w:type="dxa"/>
            <w:noWrap/>
            <w:vAlign w:val="center"/>
            <w:hideMark/>
          </w:tcPr>
          <w:p w:rsidR="00B54E71" w:rsidRPr="003612C6" w:rsidRDefault="00B54E71" w:rsidP="00484418">
            <w:pPr>
              <w:jc w:val="center"/>
              <w:rPr>
                <w:rFonts w:ascii="Times New Roman" w:hAnsi="Times New Roman"/>
                <w:sz w:val="18"/>
                <w:szCs w:val="18"/>
                <w:lang w:val="nl-BE" w:eastAsia="en-US"/>
              </w:rPr>
            </w:pPr>
            <w:r w:rsidRPr="003612C6">
              <w:rPr>
                <w:rFonts w:ascii="Times New Roman" w:hAnsi="Times New Roman"/>
                <w:sz w:val="18"/>
                <w:szCs w:val="18"/>
                <w:lang w:val="nl-BE" w:eastAsia="en-US"/>
              </w:rPr>
              <w:t>2010</w:t>
            </w:r>
          </w:p>
        </w:tc>
        <w:tc>
          <w:tcPr>
            <w:tcW w:w="1276" w:type="dxa"/>
            <w:noWrap/>
            <w:vAlign w:val="center"/>
            <w:hideMark/>
          </w:tcPr>
          <w:p w:rsidR="00B54E71" w:rsidRPr="003612C6" w:rsidRDefault="00B54E71" w:rsidP="00484418">
            <w:pPr>
              <w:jc w:val="center"/>
              <w:rPr>
                <w:rFonts w:ascii="Times New Roman" w:hAnsi="Times New Roman"/>
                <w:sz w:val="18"/>
                <w:szCs w:val="18"/>
                <w:lang w:val="nl-BE" w:eastAsia="en-US"/>
              </w:rPr>
            </w:pPr>
            <w:r w:rsidRPr="003612C6">
              <w:rPr>
                <w:rFonts w:ascii="Times New Roman" w:hAnsi="Times New Roman"/>
                <w:sz w:val="18"/>
                <w:szCs w:val="18"/>
                <w:lang w:val="nl-BE" w:eastAsia="en-US"/>
              </w:rPr>
              <w:t>2011</w:t>
            </w:r>
          </w:p>
        </w:tc>
        <w:tc>
          <w:tcPr>
            <w:tcW w:w="1275" w:type="dxa"/>
            <w:noWrap/>
            <w:vAlign w:val="center"/>
            <w:hideMark/>
          </w:tcPr>
          <w:p w:rsidR="00B54E71" w:rsidRPr="003612C6" w:rsidRDefault="00B54E71" w:rsidP="00484418">
            <w:pPr>
              <w:jc w:val="center"/>
              <w:rPr>
                <w:rFonts w:ascii="Times New Roman" w:hAnsi="Times New Roman"/>
                <w:sz w:val="18"/>
                <w:szCs w:val="18"/>
                <w:lang w:val="nl-BE" w:eastAsia="en-US"/>
              </w:rPr>
            </w:pPr>
            <w:r w:rsidRPr="003612C6">
              <w:rPr>
                <w:rFonts w:ascii="Times New Roman" w:hAnsi="Times New Roman"/>
                <w:sz w:val="18"/>
                <w:szCs w:val="18"/>
                <w:lang w:val="nl-BE" w:eastAsia="en-US"/>
              </w:rPr>
              <w:t>2012</w:t>
            </w:r>
          </w:p>
        </w:tc>
        <w:tc>
          <w:tcPr>
            <w:tcW w:w="1168" w:type="dxa"/>
            <w:noWrap/>
            <w:vAlign w:val="center"/>
            <w:hideMark/>
          </w:tcPr>
          <w:p w:rsidR="00B54E71" w:rsidRPr="003612C6" w:rsidRDefault="00B54E71" w:rsidP="00484418">
            <w:pPr>
              <w:jc w:val="center"/>
              <w:rPr>
                <w:rFonts w:ascii="Times New Roman" w:hAnsi="Times New Roman"/>
                <w:sz w:val="18"/>
                <w:szCs w:val="18"/>
                <w:lang w:val="nl-BE" w:eastAsia="en-US"/>
              </w:rPr>
            </w:pPr>
            <w:r w:rsidRPr="003612C6">
              <w:rPr>
                <w:rFonts w:ascii="Times New Roman" w:hAnsi="Times New Roman"/>
                <w:sz w:val="18"/>
                <w:szCs w:val="18"/>
                <w:lang w:val="nl-BE" w:eastAsia="en-US"/>
              </w:rPr>
              <w:t>2013</w:t>
            </w:r>
          </w:p>
        </w:tc>
        <w:tc>
          <w:tcPr>
            <w:tcW w:w="1276" w:type="dxa"/>
            <w:noWrap/>
            <w:vAlign w:val="center"/>
            <w:hideMark/>
          </w:tcPr>
          <w:p w:rsidR="00B54E71" w:rsidRPr="003612C6" w:rsidRDefault="00B54E71" w:rsidP="00AB023B">
            <w:pPr>
              <w:jc w:val="center"/>
              <w:rPr>
                <w:rFonts w:ascii="Times New Roman" w:hAnsi="Times New Roman"/>
                <w:sz w:val="18"/>
                <w:szCs w:val="18"/>
                <w:lang w:val="nl-BE" w:eastAsia="en-US"/>
              </w:rPr>
            </w:pPr>
            <w:r w:rsidRPr="003612C6">
              <w:rPr>
                <w:rFonts w:ascii="Times New Roman" w:hAnsi="Times New Roman"/>
                <w:sz w:val="18"/>
                <w:szCs w:val="18"/>
                <w:lang w:val="nl-BE" w:eastAsia="en-US"/>
              </w:rPr>
              <w:t>2014</w:t>
            </w:r>
          </w:p>
        </w:tc>
        <w:tc>
          <w:tcPr>
            <w:tcW w:w="1276" w:type="dxa"/>
            <w:noWrap/>
            <w:vAlign w:val="center"/>
            <w:hideMark/>
          </w:tcPr>
          <w:p w:rsidR="00B54E71" w:rsidRPr="003612C6" w:rsidRDefault="00B54E71" w:rsidP="00484418">
            <w:pPr>
              <w:jc w:val="center"/>
              <w:rPr>
                <w:rFonts w:ascii="Times New Roman" w:hAnsi="Times New Roman"/>
                <w:sz w:val="18"/>
                <w:szCs w:val="18"/>
                <w:lang w:val="nl-BE" w:eastAsia="en-US"/>
              </w:rPr>
            </w:pPr>
            <w:r w:rsidRPr="003612C6">
              <w:rPr>
                <w:rFonts w:ascii="Times New Roman" w:hAnsi="Times New Roman"/>
                <w:sz w:val="18"/>
                <w:szCs w:val="18"/>
                <w:lang w:val="nl-BE" w:eastAsia="en-US"/>
              </w:rPr>
              <w:t>TOTAAL</w:t>
            </w:r>
          </w:p>
        </w:tc>
      </w:tr>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b/>
                <w:bCs/>
                <w:sz w:val="18"/>
                <w:szCs w:val="18"/>
                <w:lang w:val="nl-BE" w:eastAsia="en-US"/>
              </w:rPr>
            </w:pPr>
            <w:r w:rsidRPr="003612C6">
              <w:rPr>
                <w:rFonts w:ascii="Times New Roman" w:hAnsi="Times New Roman"/>
                <w:b/>
                <w:bCs/>
                <w:sz w:val="18"/>
                <w:szCs w:val="18"/>
                <w:lang w:val="nl-BE" w:eastAsia="en-US"/>
              </w:rPr>
              <w:t>voorzien budget</w:t>
            </w:r>
          </w:p>
        </w:tc>
        <w:tc>
          <w:tcPr>
            <w:tcW w:w="1276" w:type="dxa"/>
            <w:noWrap/>
            <w:vAlign w:val="bottom"/>
            <w:hideMark/>
          </w:tcPr>
          <w:p w:rsidR="00B54E71" w:rsidRPr="003612C6" w:rsidRDefault="00B54E7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22.500.000 € </w:t>
            </w:r>
          </w:p>
        </w:tc>
        <w:tc>
          <w:tcPr>
            <w:tcW w:w="1276" w:type="dxa"/>
            <w:noWrap/>
            <w:vAlign w:val="bottom"/>
            <w:hideMark/>
          </w:tcPr>
          <w:p w:rsidR="00B54E71" w:rsidRPr="003612C6" w:rsidRDefault="00B54E7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31.300.000 € </w:t>
            </w:r>
          </w:p>
        </w:tc>
        <w:tc>
          <w:tcPr>
            <w:tcW w:w="1275" w:type="dxa"/>
            <w:noWrap/>
            <w:vAlign w:val="bottom"/>
            <w:hideMark/>
          </w:tcPr>
          <w:p w:rsidR="00B54E71" w:rsidRPr="003612C6" w:rsidRDefault="00B54E7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35.000.000 € </w:t>
            </w:r>
          </w:p>
        </w:tc>
        <w:tc>
          <w:tcPr>
            <w:tcW w:w="1168" w:type="dxa"/>
            <w:noWrap/>
            <w:vAlign w:val="bottom"/>
            <w:hideMark/>
          </w:tcPr>
          <w:p w:rsidR="00B54E71" w:rsidRPr="003612C6" w:rsidRDefault="00B54E7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30.000.000 € </w:t>
            </w:r>
          </w:p>
        </w:tc>
        <w:tc>
          <w:tcPr>
            <w:tcW w:w="1276" w:type="dxa"/>
            <w:noWrap/>
            <w:vAlign w:val="bottom"/>
            <w:hideMark/>
          </w:tcPr>
          <w:p w:rsidR="00B54E71" w:rsidRPr="003612C6" w:rsidRDefault="00B54E7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27.240.000 € </w:t>
            </w:r>
          </w:p>
        </w:tc>
        <w:tc>
          <w:tcPr>
            <w:tcW w:w="1276" w:type="dxa"/>
            <w:noWrap/>
            <w:vAlign w:val="bottom"/>
            <w:hideMark/>
          </w:tcPr>
          <w:p w:rsidR="00B54E71" w:rsidRPr="003612C6" w:rsidRDefault="00B54E71" w:rsidP="003612C6">
            <w:pPr>
              <w:jc w:val="center"/>
              <w:rPr>
                <w:rFonts w:ascii="Times New Roman" w:hAnsi="Times New Roman"/>
                <w:sz w:val="18"/>
                <w:szCs w:val="18"/>
                <w:lang w:val="nl-BE" w:eastAsia="en-US"/>
              </w:rPr>
            </w:pPr>
            <w:r w:rsidRPr="003612C6">
              <w:rPr>
                <w:rFonts w:ascii="Times New Roman" w:hAnsi="Times New Roman"/>
                <w:sz w:val="18"/>
                <w:szCs w:val="18"/>
                <w:lang w:val="nl-BE" w:eastAsia="en-US"/>
              </w:rPr>
              <w:t xml:space="preserve">146.040.000 € </w:t>
            </w:r>
          </w:p>
        </w:tc>
      </w:tr>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bijkomende erkende plaatsen</w:t>
            </w:r>
            <w:r w:rsidR="002945A1">
              <w:rPr>
                <w:rFonts w:ascii="Times New Roman" w:hAnsi="Times New Roman"/>
                <w:sz w:val="18"/>
                <w:szCs w:val="18"/>
                <w:lang w:val="nl-BE" w:eastAsia="en-US"/>
              </w:rPr>
              <w:t xml:space="preserve"> </w:t>
            </w:r>
            <w:proofErr w:type="spellStart"/>
            <w:r w:rsidR="002945A1">
              <w:rPr>
                <w:rFonts w:ascii="Times New Roman" w:hAnsi="Times New Roman"/>
                <w:sz w:val="18"/>
                <w:szCs w:val="18"/>
                <w:lang w:val="nl-BE" w:eastAsia="en-US"/>
              </w:rPr>
              <w:t>nRTH</w:t>
            </w:r>
            <w:proofErr w:type="spellEnd"/>
            <w:r w:rsidR="002945A1">
              <w:rPr>
                <w:rFonts w:ascii="Times New Roman" w:hAnsi="Times New Roman"/>
                <w:sz w:val="18"/>
                <w:szCs w:val="18"/>
                <w:lang w:val="nl-BE" w:eastAsia="en-US"/>
              </w:rPr>
              <w:t xml:space="preserve"> </w:t>
            </w:r>
          </w:p>
        </w:tc>
        <w:tc>
          <w:tcPr>
            <w:tcW w:w="1276"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9.</w:t>
            </w:r>
            <w:r w:rsidR="009A1654">
              <w:rPr>
                <w:rFonts w:ascii="Times New Roman" w:hAnsi="Times New Roman"/>
                <w:sz w:val="18"/>
                <w:szCs w:val="18"/>
                <w:lang w:val="nl-BE" w:eastAsia="en-US"/>
              </w:rPr>
              <w:t>217</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598</w:t>
            </w: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1</w:t>
            </w:r>
            <w:r w:rsidR="009A1654">
              <w:rPr>
                <w:rFonts w:ascii="Times New Roman" w:hAnsi="Times New Roman"/>
                <w:sz w:val="18"/>
                <w:szCs w:val="18"/>
                <w:lang w:val="nl-BE" w:eastAsia="en-US"/>
              </w:rPr>
              <w:t>2</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015.868</w:t>
            </w:r>
            <w:r w:rsidRPr="003612C6">
              <w:rPr>
                <w:rFonts w:ascii="Times New Roman" w:hAnsi="Times New Roman"/>
                <w:sz w:val="18"/>
                <w:szCs w:val="18"/>
                <w:lang w:val="nl-BE" w:eastAsia="en-US"/>
              </w:rPr>
              <w:t xml:space="preserve"> € </w:t>
            </w:r>
          </w:p>
        </w:tc>
        <w:tc>
          <w:tcPr>
            <w:tcW w:w="1275" w:type="dxa"/>
            <w:noWrap/>
            <w:vAlign w:val="bottom"/>
            <w:hideMark/>
          </w:tcPr>
          <w:p w:rsidR="00B54E71" w:rsidRPr="003612C6" w:rsidRDefault="009A1654" w:rsidP="009A1654">
            <w:pPr>
              <w:jc w:val="right"/>
              <w:rPr>
                <w:rFonts w:ascii="Times New Roman" w:hAnsi="Times New Roman"/>
                <w:sz w:val="18"/>
                <w:szCs w:val="18"/>
                <w:lang w:val="nl-BE" w:eastAsia="en-US"/>
              </w:rPr>
            </w:pPr>
            <w:r>
              <w:rPr>
                <w:rFonts w:ascii="Times New Roman" w:hAnsi="Times New Roman"/>
                <w:sz w:val="18"/>
                <w:szCs w:val="18"/>
                <w:lang w:val="nl-BE" w:eastAsia="en-US"/>
              </w:rPr>
              <w:t>7</w:t>
            </w:r>
            <w:r w:rsidR="00B54E71" w:rsidRPr="003612C6">
              <w:rPr>
                <w:rFonts w:ascii="Times New Roman" w:hAnsi="Times New Roman"/>
                <w:sz w:val="18"/>
                <w:szCs w:val="18"/>
                <w:lang w:val="nl-BE" w:eastAsia="en-US"/>
              </w:rPr>
              <w:t>.</w:t>
            </w:r>
            <w:r>
              <w:rPr>
                <w:rFonts w:ascii="Times New Roman" w:hAnsi="Times New Roman"/>
                <w:sz w:val="18"/>
                <w:szCs w:val="18"/>
                <w:lang w:val="nl-BE" w:eastAsia="en-US"/>
              </w:rPr>
              <w:t>987</w:t>
            </w:r>
            <w:r w:rsidR="00B54E71" w:rsidRPr="003612C6">
              <w:rPr>
                <w:rFonts w:ascii="Times New Roman" w:hAnsi="Times New Roman"/>
                <w:sz w:val="18"/>
                <w:szCs w:val="18"/>
                <w:lang w:val="nl-BE" w:eastAsia="en-US"/>
              </w:rPr>
              <w:t xml:space="preserve">.314 € </w:t>
            </w:r>
          </w:p>
        </w:tc>
        <w:tc>
          <w:tcPr>
            <w:tcW w:w="1168"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4.</w:t>
            </w:r>
            <w:r w:rsidR="009A1654">
              <w:rPr>
                <w:rFonts w:ascii="Times New Roman" w:hAnsi="Times New Roman"/>
                <w:sz w:val="18"/>
                <w:szCs w:val="18"/>
                <w:lang w:val="nl-BE" w:eastAsia="en-US"/>
              </w:rPr>
              <w:t>304</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845</w:t>
            </w: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AB023B" w:rsidP="00AB023B">
            <w:pPr>
              <w:jc w:val="right"/>
              <w:rPr>
                <w:rFonts w:ascii="Times New Roman" w:hAnsi="Times New Roman"/>
                <w:sz w:val="18"/>
                <w:szCs w:val="18"/>
                <w:lang w:val="nl-BE" w:eastAsia="en-US"/>
              </w:rPr>
            </w:pPr>
            <w:r>
              <w:rPr>
                <w:rFonts w:ascii="Times New Roman" w:hAnsi="Times New Roman"/>
                <w:sz w:val="18"/>
                <w:szCs w:val="18"/>
                <w:lang w:val="nl-BE" w:eastAsia="en-US"/>
              </w:rPr>
              <w:t>6.575.469</w:t>
            </w:r>
            <w:r w:rsidR="00B54E71"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4</w:t>
            </w:r>
            <w:r w:rsidR="009A1654">
              <w:rPr>
                <w:rFonts w:ascii="Times New Roman" w:hAnsi="Times New Roman"/>
                <w:sz w:val="18"/>
                <w:szCs w:val="18"/>
                <w:lang w:val="nl-BE" w:eastAsia="en-US"/>
              </w:rPr>
              <w:t>0</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101</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094</w:t>
            </w:r>
            <w:r w:rsidRPr="003612C6">
              <w:rPr>
                <w:rFonts w:ascii="Times New Roman" w:hAnsi="Times New Roman"/>
                <w:sz w:val="18"/>
                <w:szCs w:val="18"/>
                <w:lang w:val="nl-BE" w:eastAsia="en-US"/>
              </w:rPr>
              <w:t xml:space="preserve"> € </w:t>
            </w:r>
          </w:p>
        </w:tc>
      </w:tr>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PAB</w:t>
            </w:r>
          </w:p>
        </w:tc>
        <w:tc>
          <w:tcPr>
            <w:tcW w:w="1276"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5.700.000 € </w:t>
            </w:r>
          </w:p>
        </w:tc>
        <w:tc>
          <w:tcPr>
            <w:tcW w:w="1276"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5.747.000 € </w:t>
            </w:r>
          </w:p>
        </w:tc>
        <w:tc>
          <w:tcPr>
            <w:tcW w:w="1275"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6.445.684 € </w:t>
            </w:r>
          </w:p>
        </w:tc>
        <w:tc>
          <w:tcPr>
            <w:tcW w:w="1168"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6.887.618 € </w:t>
            </w:r>
          </w:p>
        </w:tc>
        <w:tc>
          <w:tcPr>
            <w:tcW w:w="1276" w:type="dxa"/>
            <w:noWrap/>
            <w:vAlign w:val="bottom"/>
            <w:hideMark/>
          </w:tcPr>
          <w:p w:rsidR="00B54E71" w:rsidRPr="003612C6" w:rsidRDefault="00B54E71" w:rsidP="00AB023B">
            <w:pPr>
              <w:jc w:val="right"/>
              <w:rPr>
                <w:rFonts w:ascii="Times New Roman" w:hAnsi="Times New Roman"/>
                <w:sz w:val="18"/>
                <w:szCs w:val="18"/>
                <w:lang w:val="nl-BE" w:eastAsia="en-US"/>
              </w:rPr>
            </w:pPr>
            <w:r w:rsidRPr="003612C6">
              <w:rPr>
                <w:rFonts w:ascii="Times New Roman" w:hAnsi="Times New Roman"/>
                <w:sz w:val="18"/>
                <w:szCs w:val="18"/>
                <w:lang w:val="nl-BE" w:eastAsia="en-US"/>
              </w:rPr>
              <w:t>4.</w:t>
            </w:r>
            <w:r w:rsidR="00AB023B">
              <w:rPr>
                <w:rFonts w:ascii="Times New Roman" w:hAnsi="Times New Roman"/>
                <w:sz w:val="18"/>
                <w:szCs w:val="18"/>
                <w:lang w:val="nl-BE" w:eastAsia="en-US"/>
              </w:rPr>
              <w:t>930</w:t>
            </w:r>
            <w:r w:rsidRPr="003612C6">
              <w:rPr>
                <w:rFonts w:ascii="Times New Roman" w:hAnsi="Times New Roman"/>
                <w:sz w:val="18"/>
                <w:szCs w:val="18"/>
                <w:lang w:val="nl-BE" w:eastAsia="en-US"/>
              </w:rPr>
              <w:t>.</w:t>
            </w:r>
            <w:r w:rsidR="00AB023B">
              <w:rPr>
                <w:rFonts w:ascii="Times New Roman" w:hAnsi="Times New Roman"/>
                <w:sz w:val="18"/>
                <w:szCs w:val="18"/>
                <w:lang w:val="nl-BE" w:eastAsia="en-US"/>
              </w:rPr>
              <w:t>681</w:t>
            </w: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2</w:t>
            </w:r>
            <w:r w:rsidR="009A1654">
              <w:rPr>
                <w:rFonts w:ascii="Times New Roman" w:hAnsi="Times New Roman"/>
                <w:sz w:val="18"/>
                <w:szCs w:val="18"/>
                <w:lang w:val="nl-BE" w:eastAsia="en-US"/>
              </w:rPr>
              <w:t>9</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710</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98</w:t>
            </w:r>
            <w:r w:rsidRPr="003612C6">
              <w:rPr>
                <w:rFonts w:ascii="Times New Roman" w:hAnsi="Times New Roman"/>
                <w:sz w:val="18"/>
                <w:szCs w:val="18"/>
                <w:lang w:val="nl-BE" w:eastAsia="en-US"/>
              </w:rPr>
              <w:t xml:space="preserve">3 € </w:t>
            </w:r>
          </w:p>
        </w:tc>
      </w:tr>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middelen persoonsvolgende convenants</w:t>
            </w:r>
          </w:p>
        </w:tc>
        <w:tc>
          <w:tcPr>
            <w:tcW w:w="1276" w:type="dxa"/>
            <w:noWrap/>
            <w:vAlign w:val="bottom"/>
            <w:hideMark/>
          </w:tcPr>
          <w:p w:rsidR="00B54E71" w:rsidRPr="003612C6" w:rsidRDefault="00B54E71" w:rsidP="003612C6">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2.121.000 € </w:t>
            </w:r>
          </w:p>
        </w:tc>
        <w:tc>
          <w:tcPr>
            <w:tcW w:w="1276"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900.000 € </w:t>
            </w:r>
          </w:p>
        </w:tc>
        <w:tc>
          <w:tcPr>
            <w:tcW w:w="1275"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6.150.924 € </w:t>
            </w:r>
          </w:p>
        </w:tc>
        <w:tc>
          <w:tcPr>
            <w:tcW w:w="1168"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6.</w:t>
            </w:r>
            <w:r w:rsidR="009A1654">
              <w:rPr>
                <w:rFonts w:ascii="Times New Roman" w:hAnsi="Times New Roman"/>
                <w:sz w:val="18"/>
                <w:szCs w:val="18"/>
                <w:lang w:val="nl-BE" w:eastAsia="en-US"/>
              </w:rPr>
              <w:t>704</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957</w:t>
            </w: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AB023B">
            <w:pPr>
              <w:jc w:val="right"/>
              <w:rPr>
                <w:rFonts w:ascii="Times New Roman" w:hAnsi="Times New Roman"/>
                <w:sz w:val="18"/>
                <w:szCs w:val="18"/>
                <w:lang w:val="nl-BE" w:eastAsia="en-US"/>
              </w:rPr>
            </w:pPr>
            <w:r w:rsidRPr="003612C6">
              <w:rPr>
                <w:rFonts w:ascii="Times New Roman" w:hAnsi="Times New Roman"/>
                <w:sz w:val="18"/>
                <w:szCs w:val="18"/>
                <w:lang w:val="nl-BE" w:eastAsia="en-US"/>
              </w:rPr>
              <w:t>4.2</w:t>
            </w:r>
            <w:r w:rsidR="00AB023B">
              <w:rPr>
                <w:rFonts w:ascii="Times New Roman" w:hAnsi="Times New Roman"/>
                <w:sz w:val="18"/>
                <w:szCs w:val="18"/>
                <w:lang w:val="nl-BE" w:eastAsia="en-US"/>
              </w:rPr>
              <w:t>34</w:t>
            </w:r>
            <w:r w:rsidRPr="003612C6">
              <w:rPr>
                <w:rFonts w:ascii="Times New Roman" w:hAnsi="Times New Roman"/>
                <w:sz w:val="18"/>
                <w:szCs w:val="18"/>
                <w:lang w:val="nl-BE" w:eastAsia="en-US"/>
              </w:rPr>
              <w:t>.</w:t>
            </w:r>
            <w:r w:rsidR="00AB023B">
              <w:rPr>
                <w:rFonts w:ascii="Times New Roman" w:hAnsi="Times New Roman"/>
                <w:sz w:val="18"/>
                <w:szCs w:val="18"/>
                <w:lang w:val="nl-BE" w:eastAsia="en-US"/>
              </w:rPr>
              <w:t>871</w:t>
            </w: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20.</w:t>
            </w:r>
            <w:r w:rsidR="009A1654">
              <w:rPr>
                <w:rFonts w:ascii="Times New Roman" w:hAnsi="Times New Roman"/>
                <w:sz w:val="18"/>
                <w:szCs w:val="18"/>
                <w:lang w:val="nl-BE" w:eastAsia="en-US"/>
              </w:rPr>
              <w:t>111.752</w:t>
            </w:r>
            <w:r w:rsidRPr="003612C6">
              <w:rPr>
                <w:rFonts w:ascii="Times New Roman" w:hAnsi="Times New Roman"/>
                <w:sz w:val="18"/>
                <w:szCs w:val="18"/>
                <w:lang w:val="nl-BE" w:eastAsia="en-US"/>
              </w:rPr>
              <w:t xml:space="preserve"> € </w:t>
            </w:r>
          </w:p>
        </w:tc>
      </w:tr>
      <w:tr w:rsidR="00B54E71" w:rsidRPr="003612C6" w:rsidTr="002945A1">
        <w:trPr>
          <w:trHeight w:val="300"/>
        </w:trPr>
        <w:tc>
          <w:tcPr>
            <w:tcW w:w="2206" w:type="dxa"/>
            <w:noWrap/>
            <w:vAlign w:val="center"/>
            <w:hideMark/>
          </w:tcPr>
          <w:p w:rsidR="00B54E71" w:rsidRPr="003612C6" w:rsidRDefault="00B54E7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Uitbreiding RTH</w:t>
            </w:r>
          </w:p>
        </w:tc>
        <w:tc>
          <w:tcPr>
            <w:tcW w:w="1276"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5"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2.916.078 € </w:t>
            </w:r>
          </w:p>
        </w:tc>
        <w:tc>
          <w:tcPr>
            <w:tcW w:w="1168" w:type="dxa"/>
            <w:noWrap/>
            <w:vAlign w:val="bottom"/>
            <w:hideMark/>
          </w:tcPr>
          <w:p w:rsidR="00B54E71"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3.235.584 € </w:t>
            </w:r>
          </w:p>
        </w:tc>
        <w:tc>
          <w:tcPr>
            <w:tcW w:w="1276" w:type="dxa"/>
            <w:noWrap/>
            <w:vAlign w:val="bottom"/>
            <w:hideMark/>
          </w:tcPr>
          <w:p w:rsidR="00B54E71" w:rsidRPr="003612C6" w:rsidRDefault="00B54E71" w:rsidP="00AB023B">
            <w:pPr>
              <w:jc w:val="right"/>
              <w:rPr>
                <w:rFonts w:ascii="Times New Roman" w:hAnsi="Times New Roman"/>
                <w:sz w:val="18"/>
                <w:szCs w:val="18"/>
                <w:lang w:val="nl-BE" w:eastAsia="en-US"/>
              </w:rPr>
            </w:pPr>
            <w:r w:rsidRPr="003612C6">
              <w:rPr>
                <w:rFonts w:ascii="Times New Roman" w:hAnsi="Times New Roman"/>
                <w:sz w:val="18"/>
                <w:szCs w:val="18"/>
                <w:lang w:val="nl-BE" w:eastAsia="en-US"/>
              </w:rPr>
              <w:t>2.</w:t>
            </w:r>
            <w:r w:rsidR="00AB023B">
              <w:rPr>
                <w:rFonts w:ascii="Times New Roman" w:hAnsi="Times New Roman"/>
                <w:sz w:val="18"/>
                <w:szCs w:val="18"/>
                <w:lang w:val="nl-BE" w:eastAsia="en-US"/>
              </w:rPr>
              <w:t>229</w:t>
            </w:r>
            <w:r w:rsidRPr="003612C6">
              <w:rPr>
                <w:rFonts w:ascii="Times New Roman" w:hAnsi="Times New Roman"/>
                <w:sz w:val="18"/>
                <w:szCs w:val="18"/>
                <w:lang w:val="nl-BE" w:eastAsia="en-US"/>
              </w:rPr>
              <w:t>.</w:t>
            </w:r>
            <w:r w:rsidR="00AB023B">
              <w:rPr>
                <w:rFonts w:ascii="Times New Roman" w:hAnsi="Times New Roman"/>
                <w:sz w:val="18"/>
                <w:szCs w:val="18"/>
                <w:lang w:val="nl-BE" w:eastAsia="en-US"/>
              </w:rPr>
              <w:t>615</w:t>
            </w:r>
            <w:r w:rsidRPr="003612C6">
              <w:rPr>
                <w:rFonts w:ascii="Times New Roman" w:hAnsi="Times New Roman"/>
                <w:sz w:val="18"/>
                <w:szCs w:val="18"/>
                <w:lang w:val="nl-BE" w:eastAsia="en-US"/>
              </w:rPr>
              <w:t xml:space="preserve"> € </w:t>
            </w:r>
          </w:p>
        </w:tc>
        <w:tc>
          <w:tcPr>
            <w:tcW w:w="1276" w:type="dxa"/>
            <w:noWrap/>
            <w:vAlign w:val="bottom"/>
            <w:hideMark/>
          </w:tcPr>
          <w:p w:rsidR="00E808D8" w:rsidRPr="003612C6" w:rsidRDefault="00B54E7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w:t>
            </w:r>
          </w:p>
          <w:p w:rsidR="00B54E71" w:rsidRPr="00E808D8" w:rsidRDefault="00E808D8" w:rsidP="00E808D8">
            <w:pPr>
              <w:jc w:val="right"/>
              <w:rPr>
                <w:sz w:val="18"/>
                <w:szCs w:val="18"/>
                <w:lang w:eastAsia="en-US"/>
              </w:rPr>
            </w:pPr>
            <w:r w:rsidRPr="00E808D8">
              <w:rPr>
                <w:sz w:val="18"/>
                <w:szCs w:val="18"/>
                <w:lang w:eastAsia="en-US"/>
              </w:rPr>
              <w:t>8.381.277 €</w:t>
            </w:r>
          </w:p>
        </w:tc>
      </w:tr>
      <w:tr w:rsidR="002945A1" w:rsidRPr="003612C6" w:rsidTr="002945A1">
        <w:trPr>
          <w:trHeight w:val="300"/>
        </w:trPr>
        <w:tc>
          <w:tcPr>
            <w:tcW w:w="2206" w:type="dxa"/>
            <w:noWrap/>
            <w:vAlign w:val="center"/>
          </w:tcPr>
          <w:p w:rsidR="002945A1" w:rsidRPr="003612C6" w:rsidRDefault="002945A1" w:rsidP="00B54E71">
            <w:pPr>
              <w:jc w:val="center"/>
              <w:rPr>
                <w:sz w:val="18"/>
                <w:szCs w:val="18"/>
                <w:lang w:val="nl-BE" w:eastAsia="en-US"/>
              </w:rPr>
            </w:pPr>
            <w:r>
              <w:rPr>
                <w:sz w:val="18"/>
                <w:szCs w:val="18"/>
                <w:lang w:val="nl-BE" w:eastAsia="en-US"/>
              </w:rPr>
              <w:t xml:space="preserve">Voortraject (DOP) </w:t>
            </w:r>
          </w:p>
        </w:tc>
        <w:tc>
          <w:tcPr>
            <w:tcW w:w="1276" w:type="dxa"/>
            <w:noWrap/>
            <w:vAlign w:val="bottom"/>
          </w:tcPr>
          <w:p w:rsidR="002945A1" w:rsidRPr="00B23DC2" w:rsidRDefault="005516EC" w:rsidP="00B54E71">
            <w:pPr>
              <w:jc w:val="right"/>
              <w:rPr>
                <w:rFonts w:ascii="Times New Roman" w:hAnsi="Times New Roman"/>
                <w:sz w:val="18"/>
                <w:szCs w:val="18"/>
                <w:lang w:val="nl-BE" w:eastAsia="en-US"/>
              </w:rPr>
            </w:pPr>
            <w:r w:rsidRPr="00B23DC2">
              <w:rPr>
                <w:rFonts w:ascii="Times New Roman" w:hAnsi="Times New Roman"/>
                <w:sz w:val="18"/>
                <w:szCs w:val="18"/>
                <w:lang w:val="nl-BE" w:eastAsia="en-US"/>
              </w:rPr>
              <w:t>-   €</w:t>
            </w:r>
          </w:p>
        </w:tc>
        <w:tc>
          <w:tcPr>
            <w:tcW w:w="1276" w:type="dxa"/>
            <w:noWrap/>
            <w:vAlign w:val="bottom"/>
          </w:tcPr>
          <w:p w:rsidR="002945A1" w:rsidRPr="00B23DC2" w:rsidRDefault="002945A1" w:rsidP="00B54E71">
            <w:pPr>
              <w:jc w:val="right"/>
              <w:rPr>
                <w:rFonts w:ascii="Times New Roman" w:hAnsi="Times New Roman"/>
                <w:sz w:val="18"/>
                <w:szCs w:val="18"/>
                <w:lang w:val="nl-BE" w:eastAsia="en-US"/>
              </w:rPr>
            </w:pPr>
            <w:r w:rsidRPr="00B23DC2">
              <w:rPr>
                <w:rFonts w:ascii="Times New Roman" w:hAnsi="Times New Roman"/>
                <w:sz w:val="18"/>
                <w:szCs w:val="18"/>
                <w:lang w:val="nl-BE" w:eastAsia="en-US"/>
              </w:rPr>
              <w:t>4.089.000 €</w:t>
            </w:r>
          </w:p>
        </w:tc>
        <w:tc>
          <w:tcPr>
            <w:tcW w:w="1275" w:type="dxa"/>
            <w:noWrap/>
            <w:vAlign w:val="bottom"/>
          </w:tcPr>
          <w:p w:rsidR="002945A1" w:rsidRPr="00B23DC2"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168" w:type="dxa"/>
            <w:noWrap/>
            <w:vAlign w:val="bottom"/>
          </w:tcPr>
          <w:p w:rsidR="002945A1" w:rsidRPr="00B23DC2"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5516EC" w:rsidP="00AB023B">
            <w:pPr>
              <w:jc w:val="right"/>
              <w:rPr>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3C721A" w:rsidP="00B54E71">
            <w:pPr>
              <w:jc w:val="right"/>
              <w:rPr>
                <w:sz w:val="18"/>
                <w:szCs w:val="18"/>
                <w:lang w:val="nl-BE" w:eastAsia="en-US"/>
              </w:rPr>
            </w:pPr>
            <w:r>
              <w:rPr>
                <w:sz w:val="18"/>
                <w:szCs w:val="18"/>
                <w:lang w:val="nl-BE" w:eastAsia="en-US"/>
              </w:rPr>
              <w:t>4.089</w:t>
            </w:r>
            <w:r w:rsidR="009A1654">
              <w:rPr>
                <w:sz w:val="18"/>
                <w:szCs w:val="18"/>
                <w:lang w:val="nl-BE" w:eastAsia="en-US"/>
              </w:rPr>
              <w:t>.000 €</w:t>
            </w:r>
          </w:p>
        </w:tc>
      </w:tr>
      <w:tr w:rsidR="002945A1" w:rsidRPr="003612C6" w:rsidTr="002945A1">
        <w:trPr>
          <w:trHeight w:val="300"/>
        </w:trPr>
        <w:tc>
          <w:tcPr>
            <w:tcW w:w="2206" w:type="dxa"/>
            <w:noWrap/>
            <w:vAlign w:val="center"/>
          </w:tcPr>
          <w:p w:rsidR="002945A1" w:rsidRDefault="002945A1" w:rsidP="00B54E71">
            <w:pPr>
              <w:jc w:val="center"/>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5" w:type="dxa"/>
            <w:noWrap/>
            <w:vAlign w:val="bottom"/>
          </w:tcPr>
          <w:p w:rsidR="002945A1" w:rsidRPr="003612C6" w:rsidRDefault="002945A1" w:rsidP="00B54E71">
            <w:pPr>
              <w:jc w:val="right"/>
              <w:rPr>
                <w:sz w:val="18"/>
                <w:szCs w:val="18"/>
                <w:lang w:val="nl-BE" w:eastAsia="en-US"/>
              </w:rPr>
            </w:pPr>
          </w:p>
        </w:tc>
        <w:tc>
          <w:tcPr>
            <w:tcW w:w="1168"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AB023B">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r>
      <w:tr w:rsidR="002945A1" w:rsidRPr="003612C6" w:rsidTr="002945A1">
        <w:trPr>
          <w:trHeight w:val="300"/>
        </w:trPr>
        <w:tc>
          <w:tcPr>
            <w:tcW w:w="2206" w:type="dxa"/>
            <w:noWrap/>
            <w:vAlign w:val="center"/>
          </w:tcPr>
          <w:p w:rsidR="002945A1" w:rsidRDefault="002945A1" w:rsidP="00B54E71">
            <w:pPr>
              <w:jc w:val="center"/>
              <w:rPr>
                <w:sz w:val="18"/>
                <w:szCs w:val="18"/>
                <w:lang w:val="nl-BE" w:eastAsia="en-US"/>
              </w:rPr>
            </w:pPr>
            <w:r>
              <w:rPr>
                <w:sz w:val="18"/>
                <w:szCs w:val="18"/>
                <w:lang w:val="nl-BE" w:eastAsia="en-US"/>
              </w:rPr>
              <w:t xml:space="preserve">Verhoging kwaliteit </w:t>
            </w:r>
          </w:p>
        </w:tc>
        <w:tc>
          <w:tcPr>
            <w:tcW w:w="1276" w:type="dxa"/>
            <w:noWrap/>
            <w:vAlign w:val="bottom"/>
          </w:tcPr>
          <w:p w:rsidR="002945A1" w:rsidRPr="003612C6" w:rsidRDefault="009A1654" w:rsidP="009A1654">
            <w:pPr>
              <w:jc w:val="right"/>
              <w:rPr>
                <w:rFonts w:ascii="Times New Roman" w:hAnsi="Times New Roman"/>
                <w:sz w:val="18"/>
                <w:szCs w:val="18"/>
                <w:lang w:val="nl-BE" w:eastAsia="en-US"/>
              </w:rPr>
            </w:pPr>
            <w:r>
              <w:rPr>
                <w:rFonts w:ascii="Times New Roman" w:hAnsi="Times New Roman"/>
                <w:sz w:val="18"/>
                <w:szCs w:val="18"/>
                <w:lang w:val="nl-BE" w:eastAsia="en-US"/>
              </w:rPr>
              <w:t>1.515.400</w:t>
            </w:r>
            <w:r w:rsidR="002945A1" w:rsidRPr="003612C6">
              <w:rPr>
                <w:rFonts w:ascii="Times New Roman" w:hAnsi="Times New Roman"/>
                <w:sz w:val="18"/>
                <w:szCs w:val="18"/>
                <w:lang w:val="nl-BE" w:eastAsia="en-US"/>
              </w:rPr>
              <w:t xml:space="preserve">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4.089.000 € </w:t>
            </w:r>
          </w:p>
        </w:tc>
        <w:tc>
          <w:tcPr>
            <w:tcW w:w="1275"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7.750.000 € </w:t>
            </w:r>
          </w:p>
        </w:tc>
        <w:tc>
          <w:tcPr>
            <w:tcW w:w="1168"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7.750.000 €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9.000.000 € </w:t>
            </w:r>
          </w:p>
        </w:tc>
        <w:tc>
          <w:tcPr>
            <w:tcW w:w="1276" w:type="dxa"/>
            <w:noWrap/>
            <w:vAlign w:val="bottom"/>
          </w:tcPr>
          <w:p w:rsidR="002945A1" w:rsidRPr="003612C6" w:rsidRDefault="002945A1" w:rsidP="003C721A">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w:t>
            </w:r>
            <w:r w:rsidR="003C721A">
              <w:rPr>
                <w:rFonts w:ascii="Times New Roman" w:hAnsi="Times New Roman"/>
                <w:sz w:val="18"/>
                <w:szCs w:val="18"/>
                <w:lang w:val="nl-BE" w:eastAsia="en-US"/>
              </w:rPr>
              <w:t>30</w:t>
            </w:r>
            <w:r w:rsidRPr="003612C6">
              <w:rPr>
                <w:rFonts w:ascii="Times New Roman" w:hAnsi="Times New Roman"/>
                <w:sz w:val="18"/>
                <w:szCs w:val="18"/>
                <w:lang w:val="nl-BE" w:eastAsia="en-US"/>
              </w:rPr>
              <w:t>.</w:t>
            </w:r>
            <w:r w:rsidR="003C721A">
              <w:rPr>
                <w:rFonts w:ascii="Times New Roman" w:hAnsi="Times New Roman"/>
                <w:sz w:val="18"/>
                <w:szCs w:val="18"/>
                <w:lang w:val="nl-BE" w:eastAsia="en-US"/>
              </w:rPr>
              <w:t>10</w:t>
            </w:r>
            <w:r w:rsidRPr="003612C6">
              <w:rPr>
                <w:rFonts w:ascii="Times New Roman" w:hAnsi="Times New Roman"/>
                <w:sz w:val="18"/>
                <w:szCs w:val="18"/>
                <w:lang w:val="nl-BE" w:eastAsia="en-US"/>
              </w:rPr>
              <w:t>4.</w:t>
            </w:r>
            <w:r w:rsidR="003C721A">
              <w:rPr>
                <w:rFonts w:ascii="Times New Roman" w:hAnsi="Times New Roman"/>
                <w:sz w:val="18"/>
                <w:szCs w:val="18"/>
                <w:lang w:val="nl-BE" w:eastAsia="en-US"/>
              </w:rPr>
              <w:t>4</w:t>
            </w:r>
            <w:r w:rsidRPr="003612C6">
              <w:rPr>
                <w:rFonts w:ascii="Times New Roman" w:hAnsi="Times New Roman"/>
                <w:sz w:val="18"/>
                <w:szCs w:val="18"/>
                <w:lang w:val="nl-BE" w:eastAsia="en-US"/>
              </w:rPr>
              <w:t xml:space="preserve">00 € </w:t>
            </w:r>
          </w:p>
        </w:tc>
      </w:tr>
      <w:tr w:rsidR="002945A1" w:rsidRPr="003612C6" w:rsidTr="002945A1">
        <w:trPr>
          <w:trHeight w:val="300"/>
        </w:trPr>
        <w:tc>
          <w:tcPr>
            <w:tcW w:w="2206" w:type="dxa"/>
            <w:noWrap/>
            <w:vAlign w:val="center"/>
          </w:tcPr>
          <w:p w:rsidR="002945A1" w:rsidRDefault="002945A1" w:rsidP="00B54E71">
            <w:pPr>
              <w:jc w:val="center"/>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5" w:type="dxa"/>
            <w:noWrap/>
            <w:vAlign w:val="bottom"/>
          </w:tcPr>
          <w:p w:rsidR="002945A1" w:rsidRPr="003612C6" w:rsidRDefault="002945A1" w:rsidP="00B54E71">
            <w:pPr>
              <w:jc w:val="right"/>
              <w:rPr>
                <w:sz w:val="18"/>
                <w:szCs w:val="18"/>
                <w:lang w:val="nl-BE" w:eastAsia="en-US"/>
              </w:rPr>
            </w:pPr>
          </w:p>
        </w:tc>
        <w:tc>
          <w:tcPr>
            <w:tcW w:w="1168"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AB023B">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r>
      <w:tr w:rsidR="002945A1" w:rsidRPr="003612C6" w:rsidTr="002945A1">
        <w:trPr>
          <w:trHeight w:val="300"/>
        </w:trPr>
        <w:tc>
          <w:tcPr>
            <w:tcW w:w="2206" w:type="dxa"/>
            <w:noWrap/>
            <w:vAlign w:val="center"/>
          </w:tcPr>
          <w:p w:rsidR="002945A1" w:rsidRPr="003612C6" w:rsidRDefault="002945A1" w:rsidP="00B54E71">
            <w:pPr>
              <w:jc w:val="center"/>
              <w:rPr>
                <w:sz w:val="18"/>
                <w:szCs w:val="18"/>
                <w:lang w:val="nl-BE" w:eastAsia="en-US"/>
              </w:rPr>
            </w:pPr>
            <w:r>
              <w:rPr>
                <w:sz w:val="18"/>
                <w:szCs w:val="18"/>
                <w:lang w:val="nl-BE" w:eastAsia="en-US"/>
              </w:rPr>
              <w:t xml:space="preserve">Vervolgondersteuning </w:t>
            </w:r>
            <w:proofErr w:type="spellStart"/>
            <w:r>
              <w:rPr>
                <w:sz w:val="18"/>
                <w:szCs w:val="18"/>
                <w:lang w:val="nl-BE" w:eastAsia="en-US"/>
              </w:rPr>
              <w:t>jongvolwasssen</w:t>
            </w:r>
            <w:proofErr w:type="spellEnd"/>
          </w:p>
        </w:tc>
        <w:tc>
          <w:tcPr>
            <w:tcW w:w="1276" w:type="dxa"/>
            <w:noWrap/>
            <w:vAlign w:val="bottom"/>
          </w:tcPr>
          <w:p w:rsidR="002945A1" w:rsidRPr="003612C6" w:rsidRDefault="005516EC" w:rsidP="00B54E71">
            <w:pPr>
              <w:jc w:val="right"/>
              <w:rPr>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5516EC" w:rsidP="00B54E71">
            <w:pPr>
              <w:jc w:val="right"/>
              <w:rPr>
                <w:sz w:val="18"/>
                <w:szCs w:val="18"/>
                <w:lang w:val="nl-BE" w:eastAsia="en-US"/>
              </w:rPr>
            </w:pPr>
            <w:r w:rsidRPr="003612C6">
              <w:rPr>
                <w:rFonts w:ascii="Times New Roman" w:hAnsi="Times New Roman"/>
                <w:sz w:val="18"/>
                <w:szCs w:val="18"/>
                <w:lang w:val="nl-BE" w:eastAsia="en-US"/>
              </w:rPr>
              <w:t>-   €</w:t>
            </w:r>
          </w:p>
        </w:tc>
        <w:tc>
          <w:tcPr>
            <w:tcW w:w="1275" w:type="dxa"/>
            <w:noWrap/>
            <w:vAlign w:val="bottom"/>
          </w:tcPr>
          <w:p w:rsidR="002945A1" w:rsidRPr="003612C6" w:rsidRDefault="009A1654" w:rsidP="00B54E71">
            <w:pPr>
              <w:jc w:val="right"/>
              <w:rPr>
                <w:sz w:val="18"/>
                <w:szCs w:val="18"/>
                <w:lang w:val="nl-BE" w:eastAsia="en-US"/>
              </w:rPr>
            </w:pPr>
            <w:r w:rsidRPr="002C5834">
              <w:rPr>
                <w:rFonts w:ascii="Times New Roman" w:hAnsi="Times New Roman"/>
                <w:sz w:val="18"/>
                <w:szCs w:val="18"/>
                <w:lang w:val="nl-BE" w:eastAsia="en-US"/>
              </w:rPr>
              <w:t>750</w:t>
            </w:r>
            <w:r>
              <w:rPr>
                <w:sz w:val="18"/>
                <w:szCs w:val="18"/>
                <w:lang w:val="nl-BE" w:eastAsia="en-US"/>
              </w:rPr>
              <w:t>.000 €</w:t>
            </w:r>
          </w:p>
        </w:tc>
        <w:tc>
          <w:tcPr>
            <w:tcW w:w="1168" w:type="dxa"/>
            <w:noWrap/>
            <w:vAlign w:val="bottom"/>
          </w:tcPr>
          <w:p w:rsidR="002945A1" w:rsidRPr="003612C6" w:rsidRDefault="005516EC" w:rsidP="00B54E71">
            <w:pPr>
              <w:jc w:val="right"/>
              <w:rPr>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5516EC" w:rsidP="00B54E71">
            <w:pPr>
              <w:jc w:val="right"/>
              <w:rPr>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3C721A" w:rsidP="00B54E71">
            <w:pPr>
              <w:jc w:val="right"/>
              <w:rPr>
                <w:sz w:val="18"/>
                <w:szCs w:val="18"/>
                <w:lang w:val="nl-BE" w:eastAsia="en-US"/>
              </w:rPr>
            </w:pPr>
            <w:r>
              <w:rPr>
                <w:sz w:val="18"/>
                <w:szCs w:val="18"/>
                <w:lang w:val="nl-BE" w:eastAsia="en-US"/>
              </w:rPr>
              <w:t>750.000 €</w:t>
            </w: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sz w:val="18"/>
                <w:szCs w:val="18"/>
                <w:lang w:val="nl-BE" w:eastAsia="en-US"/>
              </w:rPr>
            </w:pPr>
            <w:r>
              <w:rPr>
                <w:rFonts w:ascii="Times New Roman" w:hAnsi="Times New Roman"/>
                <w:sz w:val="18"/>
                <w:szCs w:val="18"/>
                <w:lang w:val="nl-BE" w:eastAsia="en-US"/>
              </w:rPr>
              <w:t xml:space="preserve">Zorgvernieuwingsprojecten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1.245.000 €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5" w:type="dxa"/>
            <w:noWrap/>
            <w:vAlign w:val="bottom"/>
          </w:tcPr>
          <w:p w:rsidR="002945A1" w:rsidRPr="003612C6" w:rsidRDefault="009A1654" w:rsidP="00B54E71">
            <w:pPr>
              <w:jc w:val="right"/>
              <w:rPr>
                <w:rFonts w:ascii="Times New Roman" w:hAnsi="Times New Roman"/>
                <w:sz w:val="18"/>
                <w:szCs w:val="18"/>
                <w:lang w:val="nl-BE" w:eastAsia="en-US"/>
              </w:rPr>
            </w:pPr>
            <w:r>
              <w:rPr>
                <w:rFonts w:ascii="Times New Roman" w:hAnsi="Times New Roman"/>
                <w:sz w:val="18"/>
                <w:szCs w:val="18"/>
                <w:lang w:val="nl-BE" w:eastAsia="en-US"/>
              </w:rPr>
              <w:t>- €</w:t>
            </w:r>
          </w:p>
        </w:tc>
        <w:tc>
          <w:tcPr>
            <w:tcW w:w="1168"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3C721A">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w:t>
            </w:r>
            <w:r w:rsidR="003C721A">
              <w:rPr>
                <w:rFonts w:ascii="Times New Roman" w:hAnsi="Times New Roman"/>
                <w:sz w:val="18"/>
                <w:szCs w:val="18"/>
                <w:lang w:val="nl-BE" w:eastAsia="en-US"/>
              </w:rPr>
              <w:t>24</w:t>
            </w:r>
            <w:r w:rsidRPr="003612C6">
              <w:rPr>
                <w:rFonts w:ascii="Times New Roman" w:hAnsi="Times New Roman"/>
                <w:sz w:val="18"/>
                <w:szCs w:val="18"/>
                <w:lang w:val="nl-BE" w:eastAsia="en-US"/>
              </w:rPr>
              <w:t xml:space="preserve">5.000 € </w:t>
            </w:r>
          </w:p>
        </w:tc>
      </w:tr>
      <w:tr w:rsidR="002945A1" w:rsidRPr="003612C6" w:rsidTr="002945A1">
        <w:trPr>
          <w:trHeight w:val="300"/>
        </w:trPr>
        <w:tc>
          <w:tcPr>
            <w:tcW w:w="2206" w:type="dxa"/>
            <w:noWrap/>
            <w:vAlign w:val="center"/>
            <w:hideMark/>
          </w:tcPr>
          <w:p w:rsidR="002945A1" w:rsidRPr="003612C6" w:rsidRDefault="002945A1" w:rsidP="00467F23">
            <w:pPr>
              <w:jc w:val="center"/>
              <w:rPr>
                <w:rFonts w:ascii="Times New Roman" w:hAnsi="Times New Roman"/>
                <w:sz w:val="18"/>
                <w:szCs w:val="18"/>
                <w:lang w:val="nl-BE" w:eastAsia="en-US"/>
              </w:rPr>
            </w:pPr>
            <w:r w:rsidRPr="003612C6">
              <w:rPr>
                <w:rFonts w:ascii="Times New Roman" w:hAnsi="Times New Roman"/>
                <w:sz w:val="18"/>
                <w:szCs w:val="18"/>
                <w:lang w:val="nl-BE" w:eastAsia="en-US"/>
              </w:rPr>
              <w:t>hulpmiddelen en woningaanpassingen</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2.300.000 € </w:t>
            </w:r>
          </w:p>
        </w:tc>
        <w:tc>
          <w:tcPr>
            <w:tcW w:w="1275"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1.000.000 € </w:t>
            </w:r>
          </w:p>
        </w:tc>
        <w:tc>
          <w:tcPr>
            <w:tcW w:w="1168"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3.300.000 € </w:t>
            </w:r>
          </w:p>
        </w:tc>
      </w:tr>
      <w:tr w:rsidR="002945A1" w:rsidRPr="003612C6" w:rsidTr="002945A1">
        <w:trPr>
          <w:trHeight w:val="300"/>
        </w:trPr>
        <w:tc>
          <w:tcPr>
            <w:tcW w:w="2206" w:type="dxa"/>
            <w:noWrap/>
            <w:vAlign w:val="center"/>
          </w:tcPr>
          <w:p w:rsidR="002945A1" w:rsidRPr="003612C6" w:rsidRDefault="002945A1" w:rsidP="00B54E71">
            <w:pPr>
              <w:jc w:val="center"/>
              <w:rPr>
                <w:sz w:val="18"/>
                <w:szCs w:val="18"/>
                <w:lang w:val="nl-BE" w:eastAsia="en-US"/>
              </w:rPr>
            </w:pPr>
            <w:r>
              <w:rPr>
                <w:sz w:val="18"/>
                <w:szCs w:val="18"/>
                <w:lang w:val="nl-BE" w:eastAsia="en-US"/>
              </w:rPr>
              <w:t>Sociaal ondernemerschap</w:t>
            </w:r>
          </w:p>
        </w:tc>
        <w:tc>
          <w:tcPr>
            <w:tcW w:w="1276"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5"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260.000 € </w:t>
            </w:r>
          </w:p>
        </w:tc>
        <w:tc>
          <w:tcPr>
            <w:tcW w:w="1168"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2945A1" w:rsidP="00B54E71">
            <w:pPr>
              <w:jc w:val="right"/>
              <w:rPr>
                <w:sz w:val="18"/>
                <w:szCs w:val="18"/>
                <w:lang w:val="nl-BE" w:eastAsia="en-US"/>
              </w:rPr>
            </w:pPr>
          </w:p>
        </w:tc>
        <w:tc>
          <w:tcPr>
            <w:tcW w:w="1276" w:type="dxa"/>
            <w:noWrap/>
            <w:vAlign w:val="bottom"/>
          </w:tcPr>
          <w:p w:rsidR="002945A1" w:rsidRPr="003612C6" w:rsidRDefault="005516EC" w:rsidP="00B54E71">
            <w:pPr>
              <w:jc w:val="right"/>
              <w:rPr>
                <w:sz w:val="18"/>
                <w:szCs w:val="18"/>
                <w:lang w:val="nl-BE" w:eastAsia="en-US"/>
              </w:rPr>
            </w:pPr>
            <w:r>
              <w:rPr>
                <w:sz w:val="18"/>
                <w:szCs w:val="18"/>
                <w:lang w:val="nl-BE" w:eastAsia="en-US"/>
              </w:rPr>
              <w:t>260.000 €</w:t>
            </w:r>
          </w:p>
        </w:tc>
      </w:tr>
      <w:tr w:rsidR="002945A1" w:rsidRPr="003612C6" w:rsidTr="00467F23">
        <w:trPr>
          <w:trHeight w:val="300"/>
        </w:trPr>
        <w:tc>
          <w:tcPr>
            <w:tcW w:w="2206" w:type="dxa"/>
            <w:noWrap/>
            <w:vAlign w:val="center"/>
            <w:hideMark/>
          </w:tcPr>
          <w:p w:rsidR="002945A1" w:rsidRPr="003612C6" w:rsidRDefault="002945A1" w:rsidP="00467F23">
            <w:pPr>
              <w:jc w:val="center"/>
              <w:rPr>
                <w:rFonts w:ascii="Times New Roman" w:hAnsi="Times New Roman"/>
                <w:sz w:val="18"/>
                <w:szCs w:val="18"/>
                <w:lang w:val="nl-BE" w:eastAsia="en-US"/>
              </w:rPr>
            </w:pPr>
            <w:r w:rsidRPr="003612C6">
              <w:rPr>
                <w:rFonts w:ascii="Times New Roman" w:hAnsi="Times New Roman"/>
                <w:sz w:val="18"/>
                <w:szCs w:val="18"/>
                <w:lang w:val="nl-BE" w:eastAsia="en-US"/>
              </w:rPr>
              <w:t>SEN &amp; consulentenwerking</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125.000 € </w:t>
            </w:r>
          </w:p>
        </w:tc>
        <w:tc>
          <w:tcPr>
            <w:tcW w:w="1275"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168"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125.000 € </w:t>
            </w: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Middelen in functie van inclusieve dienstverlening in andere sectoren</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185.000 € </w:t>
            </w:r>
          </w:p>
        </w:tc>
        <w:tc>
          <w:tcPr>
            <w:tcW w:w="1275"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500.000 € </w:t>
            </w:r>
          </w:p>
        </w:tc>
        <w:tc>
          <w:tcPr>
            <w:tcW w:w="1168"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1.000.000 €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1.685.000 € </w:t>
            </w:r>
          </w:p>
        </w:tc>
      </w:tr>
      <w:tr w:rsidR="002945A1" w:rsidRPr="003612C6" w:rsidTr="002945A1">
        <w:trPr>
          <w:trHeight w:val="300"/>
        </w:trPr>
        <w:tc>
          <w:tcPr>
            <w:tcW w:w="2206" w:type="dxa"/>
            <w:noWrap/>
            <w:vAlign w:val="center"/>
          </w:tcPr>
          <w:p w:rsidR="002945A1" w:rsidRPr="003612C6" w:rsidRDefault="002945A1" w:rsidP="00467F23">
            <w:pPr>
              <w:jc w:val="center"/>
              <w:rPr>
                <w:rFonts w:ascii="Times New Roman" w:hAnsi="Times New Roman"/>
                <w:sz w:val="18"/>
                <w:szCs w:val="18"/>
                <w:lang w:val="nl-BE" w:eastAsia="en-US"/>
              </w:rPr>
            </w:pPr>
            <w:r w:rsidRPr="003612C6">
              <w:rPr>
                <w:rFonts w:ascii="Times New Roman" w:hAnsi="Times New Roman"/>
                <w:sz w:val="18"/>
                <w:szCs w:val="18"/>
                <w:lang w:val="nl-BE" w:eastAsia="en-US"/>
              </w:rPr>
              <w:t>Vrijetijdsorganisaties</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5"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650.000 € </w:t>
            </w:r>
          </w:p>
        </w:tc>
        <w:tc>
          <w:tcPr>
            <w:tcW w:w="1168"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650.000 € </w:t>
            </w:r>
          </w:p>
        </w:tc>
      </w:tr>
      <w:tr w:rsidR="002945A1" w:rsidRPr="003612C6" w:rsidTr="00467F23">
        <w:trPr>
          <w:trHeight w:val="300"/>
        </w:trPr>
        <w:tc>
          <w:tcPr>
            <w:tcW w:w="2206" w:type="dxa"/>
            <w:noWrap/>
            <w:vAlign w:val="center"/>
            <w:hideMark/>
          </w:tcPr>
          <w:p w:rsidR="002945A1" w:rsidRPr="003612C6" w:rsidRDefault="002945A1" w:rsidP="00467F23">
            <w:pPr>
              <w:jc w:val="center"/>
              <w:rPr>
                <w:rFonts w:ascii="Times New Roman" w:hAnsi="Times New Roman"/>
                <w:sz w:val="18"/>
                <w:szCs w:val="18"/>
                <w:lang w:val="nl-BE" w:eastAsia="en-US"/>
              </w:rPr>
            </w:pPr>
            <w:r>
              <w:rPr>
                <w:rFonts w:ascii="Times New Roman" w:hAnsi="Times New Roman"/>
                <w:sz w:val="18"/>
                <w:szCs w:val="18"/>
                <w:lang w:val="nl-BE" w:eastAsia="en-US"/>
              </w:rPr>
              <w:t xml:space="preserve">Integrale jeugdhulp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700.000 €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5"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168" w:type="dxa"/>
            <w:noWrap/>
            <w:vAlign w:val="bottom"/>
            <w:hideMark/>
          </w:tcPr>
          <w:p w:rsidR="002945A1" w:rsidRPr="003612C6" w:rsidRDefault="002945A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w:t>
            </w:r>
            <w:r w:rsidR="009A1654">
              <w:rPr>
                <w:rFonts w:ascii="Times New Roman" w:hAnsi="Times New Roman"/>
                <w:sz w:val="18"/>
                <w:szCs w:val="18"/>
                <w:lang w:val="nl-BE" w:eastAsia="en-US"/>
              </w:rPr>
              <w:t>117.000</w:t>
            </w: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250.000 € </w:t>
            </w:r>
          </w:p>
        </w:tc>
        <w:tc>
          <w:tcPr>
            <w:tcW w:w="1276" w:type="dxa"/>
            <w:noWrap/>
            <w:vAlign w:val="bottom"/>
            <w:hideMark/>
          </w:tcPr>
          <w:p w:rsidR="002945A1" w:rsidRPr="003612C6" w:rsidRDefault="002945A1" w:rsidP="005516EC">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w:t>
            </w:r>
            <w:r w:rsidR="005516EC">
              <w:rPr>
                <w:rFonts w:ascii="Times New Roman" w:hAnsi="Times New Roman"/>
                <w:sz w:val="18"/>
                <w:szCs w:val="18"/>
                <w:lang w:val="nl-BE" w:eastAsia="en-US"/>
              </w:rPr>
              <w:t>1.067</w:t>
            </w:r>
            <w:r w:rsidRPr="003612C6">
              <w:rPr>
                <w:rFonts w:ascii="Times New Roman" w:hAnsi="Times New Roman"/>
                <w:sz w:val="18"/>
                <w:szCs w:val="18"/>
                <w:lang w:val="nl-BE" w:eastAsia="en-US"/>
              </w:rPr>
              <w:t xml:space="preserve">.000 € </w:t>
            </w: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 xml:space="preserve">werking </w:t>
            </w:r>
            <w:proofErr w:type="spellStart"/>
            <w:r w:rsidRPr="003612C6">
              <w:rPr>
                <w:rFonts w:ascii="Times New Roman" w:hAnsi="Times New Roman"/>
                <w:sz w:val="18"/>
                <w:szCs w:val="18"/>
                <w:lang w:val="nl-BE" w:eastAsia="en-US"/>
              </w:rPr>
              <w:t>MDT's</w:t>
            </w:r>
            <w:proofErr w:type="spellEnd"/>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1.000.000 €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650.000 € </w:t>
            </w:r>
          </w:p>
        </w:tc>
        <w:tc>
          <w:tcPr>
            <w:tcW w:w="1275"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168"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1.650.000 € </w:t>
            </w:r>
          </w:p>
        </w:tc>
      </w:tr>
      <w:tr w:rsidR="002945A1" w:rsidRPr="003612C6" w:rsidTr="00467F23">
        <w:trPr>
          <w:trHeight w:val="300"/>
        </w:trPr>
        <w:tc>
          <w:tcPr>
            <w:tcW w:w="2206" w:type="dxa"/>
            <w:noWrap/>
            <w:vAlign w:val="center"/>
            <w:hideMark/>
          </w:tcPr>
          <w:p w:rsidR="002945A1" w:rsidRPr="003612C6" w:rsidRDefault="002945A1" w:rsidP="00467F23">
            <w:pPr>
              <w:jc w:val="center"/>
              <w:rPr>
                <w:rFonts w:ascii="Times New Roman" w:hAnsi="Times New Roman"/>
                <w:sz w:val="18"/>
                <w:szCs w:val="18"/>
                <w:lang w:val="nl-BE" w:eastAsia="en-US"/>
              </w:rPr>
            </w:pPr>
            <w:r w:rsidRPr="003612C6">
              <w:rPr>
                <w:rFonts w:ascii="Times New Roman" w:hAnsi="Times New Roman"/>
                <w:sz w:val="18"/>
                <w:szCs w:val="18"/>
                <w:lang w:val="nl-BE" w:eastAsia="en-US"/>
              </w:rPr>
              <w:t>COS</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189.000 € </w:t>
            </w:r>
          </w:p>
        </w:tc>
        <w:tc>
          <w:tcPr>
            <w:tcW w:w="1275"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402.000 € </w:t>
            </w:r>
          </w:p>
        </w:tc>
        <w:tc>
          <w:tcPr>
            <w:tcW w:w="1168"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467F23">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591.000 € </w:t>
            </w: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tolken Vlaamse gebarentaal</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412DE9">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35.000 € </w:t>
            </w:r>
          </w:p>
        </w:tc>
        <w:tc>
          <w:tcPr>
            <w:tcW w:w="1275"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63.000 € </w:t>
            </w:r>
          </w:p>
        </w:tc>
        <w:tc>
          <w:tcPr>
            <w:tcW w:w="1168"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20.000 €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118.000 € </w:t>
            </w: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sz w:val="18"/>
                <w:szCs w:val="18"/>
                <w:lang w:val="nl-BE" w:eastAsia="en-US"/>
              </w:rPr>
            </w:pPr>
            <w:r w:rsidRPr="003612C6">
              <w:rPr>
                <w:rFonts w:ascii="Times New Roman" w:hAnsi="Times New Roman"/>
                <w:sz w:val="18"/>
                <w:szCs w:val="18"/>
                <w:lang w:val="nl-BE" w:eastAsia="en-US"/>
              </w:rPr>
              <w:t>Zorgregie</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1.000.000 €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700.000 € </w:t>
            </w:r>
          </w:p>
        </w:tc>
        <w:tc>
          <w:tcPr>
            <w:tcW w:w="1275"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125.000 € </w:t>
            </w:r>
          </w:p>
        </w:tc>
        <w:tc>
          <w:tcPr>
            <w:tcW w:w="1168"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   € </w:t>
            </w:r>
          </w:p>
        </w:tc>
        <w:tc>
          <w:tcPr>
            <w:tcW w:w="1276"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                 1.825.000 € </w:t>
            </w:r>
          </w:p>
        </w:tc>
      </w:tr>
      <w:tr w:rsidR="002945A1" w:rsidRPr="003612C6" w:rsidTr="002945A1">
        <w:trPr>
          <w:trHeight w:val="300"/>
        </w:trPr>
        <w:tc>
          <w:tcPr>
            <w:tcW w:w="2206" w:type="dxa"/>
            <w:noWrap/>
            <w:vAlign w:val="center"/>
          </w:tcPr>
          <w:p w:rsidR="002945A1" w:rsidRPr="003612C6" w:rsidRDefault="009A1654" w:rsidP="00B54E71">
            <w:pPr>
              <w:jc w:val="center"/>
              <w:rPr>
                <w:rFonts w:ascii="Times New Roman" w:hAnsi="Times New Roman"/>
                <w:sz w:val="18"/>
                <w:szCs w:val="18"/>
                <w:lang w:val="nl-BE" w:eastAsia="en-US"/>
              </w:rPr>
            </w:pPr>
            <w:r>
              <w:rPr>
                <w:rFonts w:ascii="Times New Roman" w:hAnsi="Times New Roman"/>
                <w:sz w:val="18"/>
                <w:szCs w:val="18"/>
                <w:lang w:val="nl-BE" w:eastAsia="en-US"/>
              </w:rPr>
              <w:t>Ondersteuning bij dagbesteding van geïnterneerden in de gevangenis</w:t>
            </w:r>
          </w:p>
        </w:tc>
        <w:tc>
          <w:tcPr>
            <w:tcW w:w="1276" w:type="dxa"/>
            <w:noWrap/>
            <w:vAlign w:val="bottom"/>
          </w:tcPr>
          <w:p w:rsidR="002945A1" w:rsidRPr="003612C6"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9A1654" w:rsidP="00B54E71">
            <w:pPr>
              <w:jc w:val="right"/>
              <w:rPr>
                <w:rFonts w:ascii="Times New Roman" w:hAnsi="Times New Roman"/>
                <w:sz w:val="18"/>
                <w:szCs w:val="18"/>
                <w:lang w:val="nl-BE" w:eastAsia="en-US"/>
              </w:rPr>
            </w:pPr>
            <w:r>
              <w:rPr>
                <w:rFonts w:ascii="Times New Roman" w:hAnsi="Times New Roman"/>
                <w:sz w:val="18"/>
                <w:szCs w:val="18"/>
                <w:lang w:val="nl-BE" w:eastAsia="en-US"/>
              </w:rPr>
              <w:t xml:space="preserve">322.000€ </w:t>
            </w:r>
          </w:p>
        </w:tc>
        <w:tc>
          <w:tcPr>
            <w:tcW w:w="1275" w:type="dxa"/>
            <w:noWrap/>
            <w:vAlign w:val="bottom"/>
          </w:tcPr>
          <w:p w:rsidR="002945A1" w:rsidRPr="003612C6"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168" w:type="dxa"/>
            <w:noWrap/>
            <w:vAlign w:val="bottom"/>
          </w:tcPr>
          <w:p w:rsidR="002945A1" w:rsidRPr="003612C6"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5516EC"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w:t>
            </w:r>
          </w:p>
        </w:tc>
        <w:tc>
          <w:tcPr>
            <w:tcW w:w="1276" w:type="dxa"/>
            <w:noWrap/>
            <w:vAlign w:val="bottom"/>
          </w:tcPr>
          <w:p w:rsidR="002945A1" w:rsidRPr="003612C6" w:rsidRDefault="009A1654" w:rsidP="00B54E71">
            <w:pPr>
              <w:jc w:val="right"/>
              <w:rPr>
                <w:rFonts w:ascii="Times New Roman" w:hAnsi="Times New Roman"/>
                <w:sz w:val="18"/>
                <w:szCs w:val="18"/>
                <w:lang w:val="nl-BE" w:eastAsia="en-US"/>
              </w:rPr>
            </w:pPr>
            <w:r>
              <w:rPr>
                <w:rFonts w:ascii="Times New Roman" w:hAnsi="Times New Roman"/>
                <w:sz w:val="18"/>
                <w:szCs w:val="18"/>
                <w:lang w:val="nl-BE" w:eastAsia="en-US"/>
              </w:rPr>
              <w:t>322.000 €</w:t>
            </w:r>
          </w:p>
        </w:tc>
      </w:tr>
      <w:tr w:rsidR="002945A1" w:rsidRPr="003612C6" w:rsidTr="002945A1">
        <w:trPr>
          <w:trHeight w:val="300"/>
        </w:trPr>
        <w:tc>
          <w:tcPr>
            <w:tcW w:w="2206" w:type="dxa"/>
            <w:noWrap/>
            <w:vAlign w:val="center"/>
          </w:tcPr>
          <w:p w:rsidR="002945A1" w:rsidRPr="003612C6" w:rsidRDefault="002945A1" w:rsidP="00B54E71">
            <w:pPr>
              <w:jc w:val="center"/>
              <w:rPr>
                <w:rFonts w:ascii="Times New Roman" w:hAnsi="Times New Roman"/>
                <w:sz w:val="18"/>
                <w:szCs w:val="18"/>
                <w:lang w:val="nl-BE" w:eastAsia="en-US"/>
              </w:rPr>
            </w:pPr>
          </w:p>
        </w:tc>
        <w:tc>
          <w:tcPr>
            <w:tcW w:w="1276" w:type="dxa"/>
            <w:noWrap/>
            <w:vAlign w:val="bottom"/>
          </w:tcPr>
          <w:p w:rsidR="002945A1" w:rsidRPr="003612C6" w:rsidRDefault="002945A1" w:rsidP="00B54E71">
            <w:pPr>
              <w:jc w:val="right"/>
              <w:rPr>
                <w:rFonts w:ascii="Times New Roman" w:hAnsi="Times New Roman"/>
                <w:sz w:val="18"/>
                <w:szCs w:val="18"/>
                <w:lang w:val="nl-BE" w:eastAsia="en-US"/>
              </w:rPr>
            </w:pPr>
          </w:p>
        </w:tc>
        <w:tc>
          <w:tcPr>
            <w:tcW w:w="1276" w:type="dxa"/>
            <w:noWrap/>
            <w:vAlign w:val="bottom"/>
          </w:tcPr>
          <w:p w:rsidR="002945A1" w:rsidRPr="003612C6" w:rsidRDefault="002945A1" w:rsidP="00B54E71">
            <w:pPr>
              <w:jc w:val="right"/>
              <w:rPr>
                <w:rFonts w:ascii="Times New Roman" w:hAnsi="Times New Roman"/>
                <w:sz w:val="18"/>
                <w:szCs w:val="18"/>
                <w:lang w:val="nl-BE" w:eastAsia="en-US"/>
              </w:rPr>
            </w:pPr>
          </w:p>
        </w:tc>
        <w:tc>
          <w:tcPr>
            <w:tcW w:w="1275" w:type="dxa"/>
            <w:noWrap/>
            <w:vAlign w:val="bottom"/>
          </w:tcPr>
          <w:p w:rsidR="002945A1" w:rsidRPr="003612C6" w:rsidRDefault="002945A1" w:rsidP="00B54E71">
            <w:pPr>
              <w:jc w:val="right"/>
              <w:rPr>
                <w:rFonts w:ascii="Times New Roman" w:hAnsi="Times New Roman"/>
                <w:sz w:val="18"/>
                <w:szCs w:val="18"/>
                <w:lang w:val="nl-BE" w:eastAsia="en-US"/>
              </w:rPr>
            </w:pPr>
          </w:p>
        </w:tc>
        <w:tc>
          <w:tcPr>
            <w:tcW w:w="1168" w:type="dxa"/>
            <w:noWrap/>
            <w:vAlign w:val="bottom"/>
          </w:tcPr>
          <w:p w:rsidR="002945A1" w:rsidRPr="003612C6" w:rsidRDefault="002945A1" w:rsidP="00B54E71">
            <w:pPr>
              <w:jc w:val="right"/>
              <w:rPr>
                <w:rFonts w:ascii="Times New Roman" w:hAnsi="Times New Roman"/>
                <w:sz w:val="18"/>
                <w:szCs w:val="18"/>
                <w:lang w:val="nl-BE" w:eastAsia="en-US"/>
              </w:rPr>
            </w:pPr>
          </w:p>
        </w:tc>
        <w:tc>
          <w:tcPr>
            <w:tcW w:w="1276" w:type="dxa"/>
            <w:noWrap/>
            <w:vAlign w:val="bottom"/>
          </w:tcPr>
          <w:p w:rsidR="002945A1" w:rsidRPr="003612C6" w:rsidRDefault="002945A1" w:rsidP="00B54E71">
            <w:pPr>
              <w:jc w:val="right"/>
              <w:rPr>
                <w:rFonts w:ascii="Times New Roman" w:hAnsi="Times New Roman"/>
                <w:sz w:val="18"/>
                <w:szCs w:val="18"/>
                <w:lang w:val="nl-BE" w:eastAsia="en-US"/>
              </w:rPr>
            </w:pPr>
          </w:p>
        </w:tc>
        <w:tc>
          <w:tcPr>
            <w:tcW w:w="1276" w:type="dxa"/>
            <w:noWrap/>
            <w:vAlign w:val="bottom"/>
          </w:tcPr>
          <w:p w:rsidR="002945A1" w:rsidRPr="003612C6" w:rsidRDefault="002945A1" w:rsidP="00B54E71">
            <w:pPr>
              <w:jc w:val="right"/>
              <w:rPr>
                <w:rFonts w:ascii="Times New Roman" w:hAnsi="Times New Roman"/>
                <w:sz w:val="18"/>
                <w:szCs w:val="18"/>
                <w:lang w:val="nl-BE" w:eastAsia="en-US"/>
              </w:rPr>
            </w:pPr>
          </w:p>
        </w:tc>
      </w:tr>
      <w:tr w:rsidR="002945A1" w:rsidRPr="003612C6" w:rsidTr="002945A1">
        <w:trPr>
          <w:trHeight w:val="300"/>
        </w:trPr>
        <w:tc>
          <w:tcPr>
            <w:tcW w:w="2206" w:type="dxa"/>
            <w:noWrap/>
            <w:vAlign w:val="center"/>
            <w:hideMark/>
          </w:tcPr>
          <w:p w:rsidR="002945A1" w:rsidRPr="003612C6" w:rsidRDefault="002945A1" w:rsidP="00B54E71">
            <w:pPr>
              <w:jc w:val="center"/>
              <w:rPr>
                <w:rFonts w:ascii="Times New Roman" w:hAnsi="Times New Roman"/>
                <w:b/>
                <w:bCs/>
                <w:sz w:val="18"/>
                <w:szCs w:val="18"/>
                <w:lang w:val="nl-BE" w:eastAsia="en-US"/>
              </w:rPr>
            </w:pPr>
            <w:r w:rsidRPr="003612C6">
              <w:rPr>
                <w:rFonts w:ascii="Times New Roman" w:hAnsi="Times New Roman"/>
                <w:b/>
                <w:bCs/>
                <w:sz w:val="18"/>
                <w:szCs w:val="18"/>
                <w:lang w:val="nl-BE" w:eastAsia="en-US"/>
              </w:rPr>
              <w:t>toegekend budget</w:t>
            </w:r>
          </w:p>
        </w:tc>
        <w:tc>
          <w:tcPr>
            <w:tcW w:w="1276" w:type="dxa"/>
            <w:noWrap/>
            <w:vAlign w:val="bottom"/>
            <w:hideMark/>
          </w:tcPr>
          <w:p w:rsidR="002945A1" w:rsidRPr="003612C6" w:rsidRDefault="002945A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22.</w:t>
            </w:r>
            <w:r w:rsidR="009A1654">
              <w:rPr>
                <w:rFonts w:ascii="Times New Roman" w:hAnsi="Times New Roman"/>
                <w:sz w:val="18"/>
                <w:szCs w:val="18"/>
                <w:lang w:val="nl-BE" w:eastAsia="en-US"/>
              </w:rPr>
              <w:t>498</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998</w:t>
            </w: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5516EC">
            <w:pPr>
              <w:jc w:val="right"/>
              <w:rPr>
                <w:rFonts w:ascii="Times New Roman" w:hAnsi="Times New Roman"/>
                <w:sz w:val="18"/>
                <w:szCs w:val="18"/>
                <w:lang w:val="nl-BE" w:eastAsia="en-US"/>
              </w:rPr>
            </w:pPr>
            <w:r w:rsidRPr="003612C6">
              <w:rPr>
                <w:rFonts w:ascii="Times New Roman" w:hAnsi="Times New Roman"/>
                <w:sz w:val="18"/>
                <w:szCs w:val="18"/>
                <w:lang w:val="nl-BE" w:eastAsia="en-US"/>
              </w:rPr>
              <w:t>31.3</w:t>
            </w:r>
            <w:r w:rsidR="005516EC">
              <w:rPr>
                <w:rFonts w:ascii="Times New Roman" w:hAnsi="Times New Roman"/>
                <w:sz w:val="18"/>
                <w:szCs w:val="18"/>
                <w:lang w:val="nl-BE" w:eastAsia="en-US"/>
              </w:rPr>
              <w:t>46</w:t>
            </w:r>
            <w:r w:rsidRPr="003612C6">
              <w:rPr>
                <w:rFonts w:ascii="Times New Roman" w:hAnsi="Times New Roman"/>
                <w:sz w:val="18"/>
                <w:szCs w:val="18"/>
                <w:lang w:val="nl-BE" w:eastAsia="en-US"/>
              </w:rPr>
              <w:t>.</w:t>
            </w:r>
            <w:r w:rsidR="009A1654">
              <w:rPr>
                <w:rFonts w:ascii="Times New Roman" w:hAnsi="Times New Roman"/>
                <w:sz w:val="18"/>
                <w:szCs w:val="18"/>
                <w:lang w:val="nl-BE" w:eastAsia="en-US"/>
              </w:rPr>
              <w:t>868</w:t>
            </w:r>
            <w:r w:rsidRPr="003612C6">
              <w:rPr>
                <w:rFonts w:ascii="Times New Roman" w:hAnsi="Times New Roman"/>
                <w:sz w:val="18"/>
                <w:szCs w:val="18"/>
                <w:lang w:val="nl-BE" w:eastAsia="en-US"/>
              </w:rPr>
              <w:t xml:space="preserve"> € </w:t>
            </w:r>
          </w:p>
        </w:tc>
        <w:tc>
          <w:tcPr>
            <w:tcW w:w="1275" w:type="dxa"/>
            <w:noWrap/>
            <w:vAlign w:val="bottom"/>
            <w:hideMark/>
          </w:tcPr>
          <w:p w:rsidR="002945A1" w:rsidRPr="003612C6" w:rsidRDefault="002945A1" w:rsidP="00B54E71">
            <w:pPr>
              <w:jc w:val="right"/>
              <w:rPr>
                <w:rFonts w:ascii="Times New Roman" w:hAnsi="Times New Roman"/>
                <w:sz w:val="18"/>
                <w:szCs w:val="18"/>
                <w:lang w:val="nl-BE" w:eastAsia="en-US"/>
              </w:rPr>
            </w:pPr>
            <w:r w:rsidRPr="003612C6">
              <w:rPr>
                <w:rFonts w:ascii="Times New Roman" w:hAnsi="Times New Roman"/>
                <w:sz w:val="18"/>
                <w:szCs w:val="18"/>
                <w:lang w:val="nl-BE" w:eastAsia="en-US"/>
              </w:rPr>
              <w:t xml:space="preserve">35.000.000 € </w:t>
            </w:r>
          </w:p>
        </w:tc>
        <w:tc>
          <w:tcPr>
            <w:tcW w:w="1168" w:type="dxa"/>
            <w:noWrap/>
            <w:vAlign w:val="bottom"/>
            <w:hideMark/>
          </w:tcPr>
          <w:p w:rsidR="002945A1" w:rsidRPr="003612C6" w:rsidRDefault="002945A1" w:rsidP="009A1654">
            <w:pPr>
              <w:jc w:val="right"/>
              <w:rPr>
                <w:rFonts w:ascii="Times New Roman" w:hAnsi="Times New Roman"/>
                <w:sz w:val="18"/>
                <w:szCs w:val="18"/>
                <w:lang w:val="nl-BE" w:eastAsia="en-US"/>
              </w:rPr>
            </w:pPr>
            <w:r w:rsidRPr="003612C6">
              <w:rPr>
                <w:rFonts w:ascii="Times New Roman" w:hAnsi="Times New Roman"/>
                <w:sz w:val="18"/>
                <w:szCs w:val="18"/>
                <w:lang w:val="nl-BE" w:eastAsia="en-US"/>
              </w:rPr>
              <w:t>30.000.00</w:t>
            </w:r>
            <w:r w:rsidR="009A1654">
              <w:rPr>
                <w:rFonts w:ascii="Times New Roman" w:hAnsi="Times New Roman"/>
                <w:sz w:val="18"/>
                <w:szCs w:val="18"/>
                <w:lang w:val="nl-BE" w:eastAsia="en-US"/>
              </w:rPr>
              <w:t>4</w:t>
            </w: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2945A1" w:rsidP="00AB023B">
            <w:pPr>
              <w:jc w:val="right"/>
              <w:rPr>
                <w:rFonts w:ascii="Times New Roman" w:hAnsi="Times New Roman"/>
                <w:sz w:val="18"/>
                <w:szCs w:val="18"/>
                <w:lang w:val="nl-BE" w:eastAsia="en-US"/>
              </w:rPr>
            </w:pPr>
            <w:r w:rsidRPr="003612C6">
              <w:rPr>
                <w:rFonts w:ascii="Times New Roman" w:hAnsi="Times New Roman"/>
                <w:sz w:val="18"/>
                <w:szCs w:val="18"/>
                <w:lang w:val="nl-BE" w:eastAsia="en-US"/>
              </w:rPr>
              <w:t>27.2</w:t>
            </w:r>
            <w:r>
              <w:rPr>
                <w:rFonts w:ascii="Times New Roman" w:hAnsi="Times New Roman"/>
                <w:sz w:val="18"/>
                <w:szCs w:val="18"/>
                <w:lang w:val="nl-BE" w:eastAsia="en-US"/>
              </w:rPr>
              <w:t>40</w:t>
            </w:r>
            <w:r w:rsidRPr="003612C6">
              <w:rPr>
                <w:rFonts w:ascii="Times New Roman" w:hAnsi="Times New Roman"/>
                <w:sz w:val="18"/>
                <w:szCs w:val="18"/>
                <w:lang w:val="nl-BE" w:eastAsia="en-US"/>
              </w:rPr>
              <w:t>.</w:t>
            </w:r>
            <w:r>
              <w:rPr>
                <w:rFonts w:ascii="Times New Roman" w:hAnsi="Times New Roman"/>
                <w:sz w:val="18"/>
                <w:szCs w:val="18"/>
                <w:lang w:val="nl-BE" w:eastAsia="en-US"/>
              </w:rPr>
              <w:t>636</w:t>
            </w:r>
            <w:r w:rsidRPr="003612C6">
              <w:rPr>
                <w:rFonts w:ascii="Times New Roman" w:hAnsi="Times New Roman"/>
                <w:sz w:val="18"/>
                <w:szCs w:val="18"/>
                <w:lang w:val="nl-BE" w:eastAsia="en-US"/>
              </w:rPr>
              <w:t xml:space="preserve"> € </w:t>
            </w:r>
          </w:p>
        </w:tc>
        <w:tc>
          <w:tcPr>
            <w:tcW w:w="1276" w:type="dxa"/>
            <w:noWrap/>
            <w:vAlign w:val="bottom"/>
            <w:hideMark/>
          </w:tcPr>
          <w:p w:rsidR="002945A1" w:rsidRPr="003612C6" w:rsidRDefault="005516EC" w:rsidP="005516EC">
            <w:pPr>
              <w:jc w:val="right"/>
              <w:rPr>
                <w:rFonts w:ascii="Times New Roman" w:hAnsi="Times New Roman"/>
                <w:sz w:val="18"/>
                <w:szCs w:val="18"/>
                <w:lang w:val="nl-BE" w:eastAsia="en-US"/>
              </w:rPr>
            </w:pPr>
            <w:r w:rsidRPr="005516EC">
              <w:rPr>
                <w:sz w:val="18"/>
                <w:szCs w:val="18"/>
                <w:lang w:eastAsia="en-US"/>
              </w:rPr>
              <w:t>146.086.506 €</w:t>
            </w:r>
            <w:r w:rsidR="002945A1" w:rsidRPr="003612C6">
              <w:rPr>
                <w:rFonts w:ascii="Times New Roman" w:hAnsi="Times New Roman"/>
                <w:sz w:val="18"/>
                <w:szCs w:val="18"/>
                <w:lang w:val="nl-BE" w:eastAsia="en-US"/>
              </w:rPr>
              <w:t xml:space="preserve"> </w:t>
            </w:r>
          </w:p>
        </w:tc>
      </w:tr>
    </w:tbl>
    <w:p w:rsidR="002E650D" w:rsidRPr="003612C6" w:rsidRDefault="002E650D" w:rsidP="00CD6BAA">
      <w:pPr>
        <w:jc w:val="both"/>
        <w:rPr>
          <w:i/>
          <w:smallCaps/>
          <w:szCs w:val="22"/>
        </w:rPr>
      </w:pPr>
    </w:p>
    <w:p w:rsidR="00E5796C" w:rsidRPr="003612C6" w:rsidRDefault="000E499C" w:rsidP="003612C6">
      <w:pPr>
        <w:ind w:left="426"/>
        <w:jc w:val="both"/>
        <w:rPr>
          <w:szCs w:val="22"/>
        </w:rPr>
      </w:pPr>
      <w:r w:rsidRPr="003612C6">
        <w:rPr>
          <w:szCs w:val="22"/>
        </w:rPr>
        <w:t>Uit deze tabel blijkt duidelijk dat vanaf het uitbreidingsbeleid van 2012 maximaal geïnvesteerd werd in persoonsvolgende middelen in de vorm van persoonsvolgende convenants en persoonlijke-</w:t>
      </w:r>
      <w:proofErr w:type="spellStart"/>
      <w:r w:rsidRPr="003612C6">
        <w:rPr>
          <w:szCs w:val="22"/>
        </w:rPr>
        <w:t>assistentiebudgetten</w:t>
      </w:r>
      <w:proofErr w:type="spellEnd"/>
      <w:r w:rsidRPr="003612C6">
        <w:rPr>
          <w:szCs w:val="22"/>
        </w:rPr>
        <w:t>. De investeringen in bijkomende erkende plaatsen binnen de diensten en voorzieningen van het VAPH werden vanaf 2012 beperkt tot de uitvoering van engagementen uit het verleden en specifieke ac</w:t>
      </w:r>
      <w:r w:rsidR="00E5796C" w:rsidRPr="003612C6">
        <w:rPr>
          <w:szCs w:val="22"/>
        </w:rPr>
        <w:t xml:space="preserve">ties gericht op het faciliteren van opnames van mensen met complexe ondersteuningsvragen omwille ernstige gedrags- of medische problemen. </w:t>
      </w:r>
    </w:p>
    <w:p w:rsidR="007E7EF7" w:rsidRDefault="007E7EF7" w:rsidP="003612C6">
      <w:pPr>
        <w:ind w:left="426"/>
        <w:jc w:val="both"/>
        <w:rPr>
          <w:szCs w:val="22"/>
        </w:rPr>
      </w:pPr>
    </w:p>
    <w:p w:rsidR="00995541" w:rsidRPr="003612C6" w:rsidRDefault="00995541" w:rsidP="003612C6">
      <w:pPr>
        <w:ind w:left="426"/>
        <w:jc w:val="both"/>
        <w:rPr>
          <w:szCs w:val="22"/>
        </w:rPr>
      </w:pPr>
    </w:p>
    <w:p w:rsidR="002E650D" w:rsidRPr="003612C6" w:rsidRDefault="002E650D" w:rsidP="003612C6">
      <w:pPr>
        <w:ind w:left="426"/>
        <w:jc w:val="both"/>
        <w:rPr>
          <w:szCs w:val="22"/>
        </w:rPr>
      </w:pPr>
      <w:r w:rsidRPr="003612C6">
        <w:rPr>
          <w:szCs w:val="22"/>
        </w:rPr>
        <w:t>In tabel</w:t>
      </w:r>
      <w:r w:rsidR="007E2C59" w:rsidRPr="003612C6">
        <w:rPr>
          <w:szCs w:val="22"/>
        </w:rPr>
        <w:t xml:space="preserve"> 2</w:t>
      </w:r>
      <w:r w:rsidRPr="003612C6">
        <w:rPr>
          <w:szCs w:val="22"/>
        </w:rPr>
        <w:t xml:space="preserve"> geven we per jaar weer hoeveel plaatsen per zorgvorm binnen de VAPH-voorzieningen bijkomend erkend werden in het k</w:t>
      </w:r>
      <w:r w:rsidR="00995541">
        <w:rPr>
          <w:szCs w:val="22"/>
        </w:rPr>
        <w:t xml:space="preserve">ader van het uitbreidingsbeleid voor niet-rechtstreeks toegankelijke hulpverlening </w:t>
      </w:r>
      <w:r w:rsidRPr="003612C6">
        <w:rPr>
          <w:szCs w:val="22"/>
        </w:rPr>
        <w:t xml:space="preserve"> </w:t>
      </w:r>
    </w:p>
    <w:p w:rsidR="00411AD9" w:rsidRPr="003612C6" w:rsidRDefault="00411AD9" w:rsidP="003612C6">
      <w:pPr>
        <w:jc w:val="both"/>
        <w:rPr>
          <w:szCs w:val="22"/>
        </w:rPr>
      </w:pPr>
    </w:p>
    <w:tbl>
      <w:tblPr>
        <w:tblStyle w:val="Tabelraster"/>
        <w:tblW w:w="0" w:type="auto"/>
        <w:tblInd w:w="534" w:type="dxa"/>
        <w:tblLook w:val="04A0" w:firstRow="1" w:lastRow="0" w:firstColumn="1" w:lastColumn="0" w:noHBand="0" w:noVBand="1"/>
      </w:tblPr>
      <w:tblGrid>
        <w:gridCol w:w="2575"/>
        <w:gridCol w:w="960"/>
        <w:gridCol w:w="960"/>
        <w:gridCol w:w="960"/>
        <w:gridCol w:w="960"/>
        <w:gridCol w:w="960"/>
      </w:tblGrid>
      <w:tr w:rsidR="00563678" w:rsidRPr="003612C6" w:rsidTr="00665D62">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 Zorgvorm</w:t>
            </w:r>
          </w:p>
        </w:tc>
        <w:tc>
          <w:tcPr>
            <w:tcW w:w="960"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2010</w:t>
            </w:r>
          </w:p>
        </w:tc>
        <w:tc>
          <w:tcPr>
            <w:tcW w:w="960"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2011</w:t>
            </w:r>
          </w:p>
        </w:tc>
        <w:tc>
          <w:tcPr>
            <w:tcW w:w="960"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2012</w:t>
            </w:r>
          </w:p>
        </w:tc>
        <w:tc>
          <w:tcPr>
            <w:tcW w:w="960"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2013</w:t>
            </w:r>
          </w:p>
        </w:tc>
        <w:tc>
          <w:tcPr>
            <w:tcW w:w="960" w:type="dxa"/>
          </w:tcPr>
          <w:p w:rsidR="00563678" w:rsidRPr="00563678" w:rsidRDefault="00563678" w:rsidP="00411AD9">
            <w:pPr>
              <w:rPr>
                <w:rFonts w:ascii="Times New Roman" w:hAnsi="Times New Roman"/>
                <w:szCs w:val="22"/>
              </w:rPr>
            </w:pPr>
            <w:r w:rsidRPr="00563678">
              <w:rPr>
                <w:rFonts w:ascii="Times New Roman" w:hAnsi="Times New Roman"/>
                <w:szCs w:val="22"/>
              </w:rPr>
              <w:t>2014</w:t>
            </w:r>
          </w:p>
        </w:tc>
      </w:tr>
      <w:tr w:rsidR="00563678" w:rsidRPr="003612C6" w:rsidTr="00563678">
        <w:trPr>
          <w:trHeight w:val="300"/>
        </w:trPr>
        <w:tc>
          <w:tcPr>
            <w:tcW w:w="2575"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Internaat</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3</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7</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4</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2</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Semi-internaat  schoolgaanden</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6</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Semi-int.  Niet-</w:t>
            </w:r>
            <w:proofErr w:type="spellStart"/>
            <w:r w:rsidRPr="003612C6">
              <w:rPr>
                <w:rFonts w:ascii="Times New Roman" w:hAnsi="Times New Roman"/>
                <w:szCs w:val="22"/>
              </w:rPr>
              <w:t>schoolg</w:t>
            </w:r>
            <w:proofErr w:type="spellEnd"/>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8</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6</w:t>
            </w:r>
          </w:p>
        </w:tc>
      </w:tr>
      <w:tr w:rsidR="00563678" w:rsidRPr="003612C6" w:rsidTr="00563678">
        <w:trPr>
          <w:trHeight w:val="300"/>
        </w:trPr>
        <w:tc>
          <w:tcPr>
            <w:tcW w:w="2575" w:type="dxa"/>
            <w:noWrap/>
            <w:hideMark/>
          </w:tcPr>
          <w:p w:rsidR="00563678" w:rsidRPr="003612C6" w:rsidRDefault="00563678" w:rsidP="00411AD9">
            <w:pPr>
              <w:rPr>
                <w:rFonts w:ascii="Times New Roman" w:hAnsi="Times New Roman"/>
                <w:szCs w:val="22"/>
              </w:rPr>
            </w:pPr>
            <w:r w:rsidRPr="003612C6">
              <w:rPr>
                <w:rFonts w:ascii="Times New Roman" w:hAnsi="Times New Roman"/>
                <w:szCs w:val="22"/>
              </w:rPr>
              <w:t>Dagcentrum</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3</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7</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22</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5</w:t>
            </w:r>
          </w:p>
        </w:tc>
        <w:tc>
          <w:tcPr>
            <w:tcW w:w="960" w:type="dxa"/>
            <w:vAlign w:val="center"/>
          </w:tcPr>
          <w:p w:rsidR="00563678" w:rsidRPr="00563678" w:rsidRDefault="002945A1" w:rsidP="00563678">
            <w:pPr>
              <w:jc w:val="right"/>
              <w:rPr>
                <w:rFonts w:ascii="Times New Roman" w:hAnsi="Times New Roman"/>
                <w:szCs w:val="22"/>
              </w:rPr>
            </w:pPr>
            <w:r>
              <w:rPr>
                <w:rFonts w:ascii="Times New Roman" w:hAnsi="Times New Roman"/>
                <w:szCs w:val="22"/>
              </w:rPr>
              <w:t>6</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Observatiecentra</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Tehuizen werkenden</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Bezigheidstehuis</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37</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9</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44</w:t>
            </w:r>
          </w:p>
        </w:tc>
        <w:tc>
          <w:tcPr>
            <w:tcW w:w="960" w:type="dxa"/>
            <w:noWrap/>
            <w:vAlign w:val="center"/>
            <w:hideMark/>
          </w:tcPr>
          <w:p w:rsidR="00563678" w:rsidRPr="003612C6" w:rsidRDefault="00995541" w:rsidP="007E7EF7">
            <w:pPr>
              <w:jc w:val="right"/>
              <w:rPr>
                <w:rFonts w:ascii="Times New Roman" w:hAnsi="Times New Roman"/>
                <w:szCs w:val="22"/>
              </w:rPr>
            </w:pPr>
            <w:r>
              <w:rPr>
                <w:rFonts w:ascii="Times New Roman" w:hAnsi="Times New Roman"/>
                <w:szCs w:val="22"/>
              </w:rPr>
              <w:t>21</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24</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proofErr w:type="spellStart"/>
            <w:r w:rsidRPr="003612C6">
              <w:rPr>
                <w:rFonts w:ascii="Times New Roman" w:hAnsi="Times New Roman"/>
                <w:szCs w:val="22"/>
              </w:rPr>
              <w:t>Nursingtehuis</w:t>
            </w:r>
            <w:proofErr w:type="spellEnd"/>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49</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26</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63</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32</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41</w:t>
            </w:r>
          </w:p>
        </w:tc>
      </w:tr>
      <w:tr w:rsidR="00563678" w:rsidRPr="003612C6" w:rsidTr="00563678">
        <w:trPr>
          <w:trHeight w:val="300"/>
        </w:trPr>
        <w:tc>
          <w:tcPr>
            <w:tcW w:w="2575" w:type="dxa"/>
            <w:noWrap/>
          </w:tcPr>
          <w:p w:rsidR="00563678" w:rsidRPr="00563678" w:rsidRDefault="00563678" w:rsidP="00563678">
            <w:pPr>
              <w:rPr>
                <w:rFonts w:ascii="Times New Roman" w:hAnsi="Times New Roman"/>
                <w:szCs w:val="22"/>
              </w:rPr>
            </w:pPr>
            <w:r w:rsidRPr="00563678">
              <w:rPr>
                <w:rFonts w:ascii="Times New Roman" w:hAnsi="Times New Roman"/>
                <w:szCs w:val="22"/>
              </w:rPr>
              <w:t xml:space="preserve">Tehuis geïnterneerden </w:t>
            </w:r>
          </w:p>
        </w:tc>
        <w:tc>
          <w:tcPr>
            <w:tcW w:w="960" w:type="dxa"/>
            <w:noWrap/>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c>
          <w:tcPr>
            <w:tcW w:w="960" w:type="dxa"/>
            <w:noWrap/>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c>
          <w:tcPr>
            <w:tcW w:w="960" w:type="dxa"/>
            <w:noWrap/>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c>
          <w:tcPr>
            <w:tcW w:w="960" w:type="dxa"/>
            <w:noWrap/>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10</w:t>
            </w:r>
          </w:p>
        </w:tc>
      </w:tr>
      <w:tr w:rsidR="00563678" w:rsidRPr="003612C6" w:rsidTr="00563678">
        <w:trPr>
          <w:trHeight w:val="300"/>
        </w:trPr>
        <w:tc>
          <w:tcPr>
            <w:tcW w:w="2575" w:type="dxa"/>
            <w:noWrap/>
            <w:hideMark/>
          </w:tcPr>
          <w:p w:rsidR="00563678" w:rsidRPr="003612C6" w:rsidRDefault="00563678" w:rsidP="00995541">
            <w:pPr>
              <w:rPr>
                <w:rFonts w:ascii="Times New Roman" w:hAnsi="Times New Roman"/>
                <w:szCs w:val="22"/>
              </w:rPr>
            </w:pPr>
            <w:r w:rsidRPr="003612C6">
              <w:rPr>
                <w:rFonts w:ascii="Times New Roman" w:hAnsi="Times New Roman"/>
                <w:szCs w:val="22"/>
              </w:rPr>
              <w:t>Kortverblijf</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995541" w:rsidP="007E7EF7">
            <w:pPr>
              <w:jc w:val="right"/>
              <w:rPr>
                <w:rFonts w:ascii="Times New Roman" w:hAnsi="Times New Roman"/>
                <w:szCs w:val="22"/>
              </w:rPr>
            </w:pPr>
            <w:r>
              <w:rPr>
                <w:rFonts w:ascii="Times New Roman" w:hAnsi="Times New Roman"/>
                <w:szCs w:val="22"/>
              </w:rPr>
              <w:t>2</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4</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5</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Plaatsing in gezin</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6</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19</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WOP</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2</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31</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w:t>
            </w:r>
          </w:p>
        </w:tc>
      </w:tr>
      <w:tr w:rsidR="00563678" w:rsidRPr="003612C6" w:rsidTr="00563678">
        <w:trPr>
          <w:trHeight w:val="300"/>
        </w:trPr>
        <w:tc>
          <w:tcPr>
            <w:tcW w:w="2575" w:type="dxa"/>
            <w:noWrap/>
            <w:hideMark/>
          </w:tcPr>
          <w:p w:rsidR="00563678" w:rsidRPr="003612C6" w:rsidRDefault="00563678" w:rsidP="00995541">
            <w:pPr>
              <w:rPr>
                <w:rFonts w:ascii="Times New Roman" w:hAnsi="Times New Roman"/>
                <w:szCs w:val="22"/>
              </w:rPr>
            </w:pPr>
            <w:r w:rsidRPr="003612C6">
              <w:rPr>
                <w:rFonts w:ascii="Times New Roman" w:hAnsi="Times New Roman"/>
                <w:szCs w:val="22"/>
              </w:rPr>
              <w:t>Thuisbegeleiding (*)</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5.585</w:t>
            </w:r>
          </w:p>
        </w:tc>
        <w:tc>
          <w:tcPr>
            <w:tcW w:w="960" w:type="dxa"/>
            <w:noWrap/>
            <w:vAlign w:val="center"/>
            <w:hideMark/>
          </w:tcPr>
          <w:p w:rsidR="00563678" w:rsidRPr="003612C6" w:rsidRDefault="00563678" w:rsidP="00995541">
            <w:pPr>
              <w:jc w:val="right"/>
              <w:rPr>
                <w:rFonts w:ascii="Times New Roman" w:hAnsi="Times New Roman"/>
                <w:szCs w:val="22"/>
              </w:rPr>
            </w:pPr>
            <w:r w:rsidRPr="003612C6">
              <w:rPr>
                <w:rFonts w:ascii="Times New Roman" w:hAnsi="Times New Roman"/>
                <w:szCs w:val="22"/>
              </w:rPr>
              <w:t>1</w:t>
            </w:r>
            <w:r w:rsidR="00995541">
              <w:rPr>
                <w:rFonts w:ascii="Times New Roman" w:hAnsi="Times New Roman"/>
                <w:szCs w:val="22"/>
              </w:rPr>
              <w:t>2.129</w:t>
            </w:r>
          </w:p>
        </w:tc>
        <w:tc>
          <w:tcPr>
            <w:tcW w:w="960" w:type="dxa"/>
            <w:noWrap/>
            <w:vAlign w:val="center"/>
            <w:hideMark/>
          </w:tcPr>
          <w:p w:rsidR="00563678" w:rsidRPr="003612C6" w:rsidRDefault="00995541" w:rsidP="00995541">
            <w:pPr>
              <w:jc w:val="right"/>
              <w:rPr>
                <w:rFonts w:ascii="Times New Roman" w:hAnsi="Times New Roman"/>
                <w:szCs w:val="22"/>
              </w:rPr>
            </w:pPr>
            <w:r>
              <w:rPr>
                <w:rFonts w:ascii="Times New Roman" w:hAnsi="Times New Roman"/>
                <w:szCs w:val="22"/>
              </w:rPr>
              <w:t>2.766</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1.762</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726</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 xml:space="preserve">Begeleid wonen </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91</w:t>
            </w:r>
          </w:p>
        </w:tc>
        <w:tc>
          <w:tcPr>
            <w:tcW w:w="960" w:type="dxa"/>
            <w:noWrap/>
            <w:vAlign w:val="center"/>
            <w:hideMark/>
          </w:tcPr>
          <w:p w:rsidR="00563678" w:rsidRPr="003612C6" w:rsidRDefault="00995541" w:rsidP="00995541">
            <w:pPr>
              <w:jc w:val="right"/>
              <w:rPr>
                <w:rFonts w:ascii="Times New Roman" w:hAnsi="Times New Roman"/>
                <w:szCs w:val="22"/>
              </w:rPr>
            </w:pPr>
            <w:r>
              <w:rPr>
                <w:rFonts w:ascii="Times New Roman" w:hAnsi="Times New Roman"/>
                <w:szCs w:val="22"/>
              </w:rPr>
              <w:t>364</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Diensten inclusieve ondersteuning</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66</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Geïntegreerd wonen</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77</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0</w:t>
            </w:r>
          </w:p>
        </w:tc>
      </w:tr>
      <w:tr w:rsidR="00563678" w:rsidRPr="003612C6" w:rsidTr="00563678">
        <w:trPr>
          <w:trHeight w:val="300"/>
        </w:trPr>
        <w:tc>
          <w:tcPr>
            <w:tcW w:w="2575" w:type="dxa"/>
            <w:noWrap/>
            <w:hideMark/>
          </w:tcPr>
          <w:p w:rsidR="00563678" w:rsidRPr="003612C6" w:rsidRDefault="00563678">
            <w:pPr>
              <w:rPr>
                <w:rFonts w:ascii="Times New Roman" w:hAnsi="Times New Roman"/>
                <w:szCs w:val="22"/>
              </w:rPr>
            </w:pPr>
            <w:r w:rsidRPr="003612C6">
              <w:rPr>
                <w:rFonts w:ascii="Times New Roman" w:hAnsi="Times New Roman"/>
                <w:szCs w:val="22"/>
              </w:rPr>
              <w:t>Zelfstandig wonen</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12</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noWrap/>
            <w:vAlign w:val="center"/>
            <w:hideMark/>
          </w:tcPr>
          <w:p w:rsidR="00563678" w:rsidRPr="003612C6" w:rsidRDefault="00563678" w:rsidP="007E7EF7">
            <w:pPr>
              <w:jc w:val="right"/>
              <w:rPr>
                <w:rFonts w:ascii="Times New Roman" w:hAnsi="Times New Roman"/>
                <w:szCs w:val="22"/>
              </w:rPr>
            </w:pPr>
            <w:r w:rsidRPr="003612C6">
              <w:rPr>
                <w:rFonts w:ascii="Times New Roman" w:hAnsi="Times New Roman"/>
                <w:szCs w:val="22"/>
              </w:rPr>
              <w:t>0</w:t>
            </w:r>
          </w:p>
        </w:tc>
        <w:tc>
          <w:tcPr>
            <w:tcW w:w="960" w:type="dxa"/>
            <w:vAlign w:val="center"/>
          </w:tcPr>
          <w:p w:rsidR="00563678" w:rsidRPr="00563678" w:rsidRDefault="00563678" w:rsidP="00563678">
            <w:pPr>
              <w:jc w:val="right"/>
              <w:rPr>
                <w:rFonts w:ascii="Times New Roman" w:hAnsi="Times New Roman"/>
                <w:szCs w:val="22"/>
              </w:rPr>
            </w:pPr>
            <w:r w:rsidRPr="00563678">
              <w:rPr>
                <w:rFonts w:ascii="Times New Roman" w:hAnsi="Times New Roman"/>
                <w:szCs w:val="22"/>
              </w:rPr>
              <w:t>12</w:t>
            </w:r>
          </w:p>
        </w:tc>
      </w:tr>
    </w:tbl>
    <w:p w:rsidR="00411AD9" w:rsidRPr="003612C6" w:rsidRDefault="00411AD9" w:rsidP="003612C6">
      <w:pPr>
        <w:ind w:left="708" w:firstLine="1"/>
        <w:rPr>
          <w:i/>
          <w:sz w:val="18"/>
          <w:szCs w:val="18"/>
        </w:rPr>
      </w:pPr>
      <w:r w:rsidRPr="003612C6">
        <w:rPr>
          <w:i/>
          <w:sz w:val="18"/>
          <w:szCs w:val="18"/>
        </w:rPr>
        <w:t>*voor thuisbegeleiding</w:t>
      </w:r>
      <w:r w:rsidR="007E7EF7" w:rsidRPr="003612C6">
        <w:rPr>
          <w:i/>
          <w:sz w:val="18"/>
          <w:szCs w:val="18"/>
        </w:rPr>
        <w:t xml:space="preserve"> </w:t>
      </w:r>
      <w:r w:rsidRPr="003612C6">
        <w:rPr>
          <w:i/>
          <w:sz w:val="18"/>
          <w:szCs w:val="18"/>
        </w:rPr>
        <w:t xml:space="preserve"> word</w:t>
      </w:r>
      <w:r w:rsidR="00995541">
        <w:rPr>
          <w:i/>
          <w:sz w:val="18"/>
          <w:szCs w:val="18"/>
        </w:rPr>
        <w:t>t</w:t>
      </w:r>
      <w:r w:rsidRPr="003612C6">
        <w:rPr>
          <w:i/>
          <w:sz w:val="18"/>
          <w:szCs w:val="18"/>
        </w:rPr>
        <w:t xml:space="preserve"> het aantal bijkomend erkende begeleidingsmomenten weergegeven. </w:t>
      </w:r>
      <w:r w:rsidR="00E5796C" w:rsidRPr="003612C6">
        <w:rPr>
          <w:i/>
          <w:sz w:val="18"/>
          <w:szCs w:val="18"/>
        </w:rPr>
        <w:t xml:space="preserve">Voor de andere zorgvormen in deze tabel het aantal erkende plaatsen. </w:t>
      </w:r>
    </w:p>
    <w:p w:rsidR="002E650D" w:rsidRPr="003612C6" w:rsidRDefault="002E650D" w:rsidP="002E650D">
      <w:pPr>
        <w:rPr>
          <w:szCs w:val="22"/>
        </w:rPr>
      </w:pPr>
    </w:p>
    <w:p w:rsidR="002E650D" w:rsidRPr="003612C6" w:rsidRDefault="002E650D" w:rsidP="003612C6">
      <w:pPr>
        <w:ind w:left="426"/>
        <w:jc w:val="both"/>
        <w:rPr>
          <w:szCs w:val="22"/>
        </w:rPr>
      </w:pPr>
      <w:r w:rsidRPr="003612C6">
        <w:rPr>
          <w:szCs w:val="22"/>
        </w:rPr>
        <w:t>In tabel</w:t>
      </w:r>
      <w:r w:rsidR="007E2C59" w:rsidRPr="003612C6">
        <w:rPr>
          <w:szCs w:val="22"/>
        </w:rPr>
        <w:t xml:space="preserve"> 3</w:t>
      </w:r>
      <w:r w:rsidRPr="003612C6">
        <w:rPr>
          <w:szCs w:val="22"/>
        </w:rPr>
        <w:t xml:space="preserve"> geven we per jaar weer hoeveel mensen op 30 juni genoten van een </w:t>
      </w:r>
      <w:r w:rsidR="00411AD9" w:rsidRPr="003612C6">
        <w:rPr>
          <w:szCs w:val="22"/>
        </w:rPr>
        <w:t>VAPH-ondersteuning, opgesplitst in ondersteuning vanuit een erkende zorgaanbieder en vanuit een persoonlijke-assistentiebudget (</w:t>
      </w:r>
      <w:r w:rsidRPr="003612C6">
        <w:rPr>
          <w:szCs w:val="22"/>
        </w:rPr>
        <w:t>PAB</w:t>
      </w:r>
      <w:r w:rsidR="00411AD9" w:rsidRPr="003612C6">
        <w:rPr>
          <w:szCs w:val="22"/>
        </w:rPr>
        <w:t xml:space="preserve">). </w:t>
      </w:r>
      <w:r w:rsidRPr="003612C6">
        <w:rPr>
          <w:szCs w:val="22"/>
        </w:rPr>
        <w:t xml:space="preserve"> </w:t>
      </w:r>
    </w:p>
    <w:p w:rsidR="00411AD9" w:rsidRPr="003612C6" w:rsidRDefault="00411AD9" w:rsidP="00411AD9">
      <w:pPr>
        <w:rPr>
          <w:b/>
          <w:szCs w:val="22"/>
        </w:rPr>
      </w:pPr>
    </w:p>
    <w:tbl>
      <w:tblPr>
        <w:tblW w:w="6839" w:type="dxa"/>
        <w:tblInd w:w="496" w:type="dxa"/>
        <w:tblCellMar>
          <w:left w:w="70" w:type="dxa"/>
          <w:right w:w="70" w:type="dxa"/>
        </w:tblCellMar>
        <w:tblLook w:val="04A0" w:firstRow="1" w:lastRow="0" w:firstColumn="1" w:lastColumn="0" w:noHBand="0" w:noVBand="1"/>
      </w:tblPr>
      <w:tblGrid>
        <w:gridCol w:w="2039"/>
        <w:gridCol w:w="960"/>
        <w:gridCol w:w="960"/>
        <w:gridCol w:w="960"/>
        <w:gridCol w:w="960"/>
        <w:gridCol w:w="960"/>
      </w:tblGrid>
      <w:tr w:rsidR="00411AD9" w:rsidRPr="003612C6" w:rsidTr="003612C6">
        <w:trPr>
          <w:trHeight w:val="315"/>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AD9" w:rsidRPr="003612C6" w:rsidRDefault="00411AD9" w:rsidP="00411AD9">
            <w:pPr>
              <w:rPr>
                <w:szCs w:val="22"/>
                <w:lang w:val="nl-BE"/>
              </w:rPr>
            </w:pPr>
            <w:r w:rsidRPr="003612C6">
              <w:rPr>
                <w:szCs w:val="22"/>
                <w:lang w:val="nl-BE"/>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1AD9" w:rsidRPr="003612C6" w:rsidRDefault="00411AD9" w:rsidP="00E5796C">
            <w:pPr>
              <w:jc w:val="center"/>
              <w:rPr>
                <w:szCs w:val="22"/>
                <w:lang w:val="nl-BE"/>
              </w:rPr>
            </w:pPr>
            <w:r w:rsidRPr="003612C6">
              <w:rPr>
                <w:szCs w:val="22"/>
                <w:lang w:val="nl-BE"/>
              </w:rPr>
              <w:t>2009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1AD9" w:rsidRPr="003612C6" w:rsidRDefault="00411AD9" w:rsidP="00E5796C">
            <w:pPr>
              <w:jc w:val="center"/>
              <w:rPr>
                <w:szCs w:val="22"/>
                <w:lang w:val="nl-BE"/>
              </w:rPr>
            </w:pPr>
            <w:r w:rsidRPr="003612C6">
              <w:rPr>
                <w:szCs w:val="22"/>
                <w:lang w:val="nl-BE"/>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1AD9" w:rsidRPr="003612C6" w:rsidRDefault="00411AD9" w:rsidP="00E5796C">
            <w:pPr>
              <w:jc w:val="center"/>
              <w:rPr>
                <w:szCs w:val="22"/>
                <w:lang w:val="nl-BE"/>
              </w:rPr>
            </w:pPr>
            <w:r w:rsidRPr="003612C6">
              <w:rPr>
                <w:szCs w:val="22"/>
                <w:lang w:val="nl-BE"/>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1AD9" w:rsidRPr="003612C6" w:rsidRDefault="00411AD9" w:rsidP="00E5796C">
            <w:pPr>
              <w:jc w:val="center"/>
              <w:rPr>
                <w:szCs w:val="22"/>
                <w:lang w:val="nl-BE"/>
              </w:rPr>
            </w:pPr>
            <w:r w:rsidRPr="003612C6">
              <w:rPr>
                <w:szCs w:val="22"/>
                <w:lang w:val="nl-BE"/>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1AD9" w:rsidRPr="003612C6" w:rsidRDefault="00411AD9" w:rsidP="00E5796C">
            <w:pPr>
              <w:jc w:val="center"/>
              <w:rPr>
                <w:szCs w:val="22"/>
                <w:lang w:val="nl-BE"/>
              </w:rPr>
            </w:pPr>
            <w:r w:rsidRPr="003612C6">
              <w:rPr>
                <w:szCs w:val="22"/>
                <w:lang w:val="nl-BE"/>
              </w:rPr>
              <w:t>2013</w:t>
            </w:r>
          </w:p>
        </w:tc>
      </w:tr>
      <w:tr w:rsidR="00411AD9" w:rsidRPr="003612C6" w:rsidTr="003612C6">
        <w:trPr>
          <w:trHeight w:val="315"/>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411AD9" w:rsidRPr="003612C6" w:rsidRDefault="00411AD9" w:rsidP="00411AD9">
            <w:pPr>
              <w:rPr>
                <w:szCs w:val="22"/>
                <w:lang w:val="nl-BE"/>
              </w:rPr>
            </w:pPr>
            <w:r w:rsidRPr="003612C6">
              <w:rPr>
                <w:szCs w:val="22"/>
                <w:lang w:val="nl-BE"/>
              </w:rPr>
              <w:t>Cliënten in zorg in natura</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34.256</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36.009</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37.907</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39.321</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41.126</w:t>
            </w:r>
          </w:p>
        </w:tc>
      </w:tr>
      <w:tr w:rsidR="00411AD9" w:rsidRPr="003612C6" w:rsidTr="003612C6">
        <w:trPr>
          <w:trHeight w:val="315"/>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411AD9" w:rsidRPr="003612C6" w:rsidRDefault="00411AD9" w:rsidP="00411AD9">
            <w:pPr>
              <w:rPr>
                <w:szCs w:val="22"/>
                <w:lang w:val="nl-BE"/>
              </w:rPr>
            </w:pPr>
            <w:r w:rsidRPr="003612C6">
              <w:rPr>
                <w:szCs w:val="22"/>
                <w:lang w:val="nl-BE"/>
              </w:rPr>
              <w:t>PAB-budgethouders</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1.728</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1.830</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1.895</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2.075</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2.263</w:t>
            </w:r>
          </w:p>
        </w:tc>
      </w:tr>
      <w:tr w:rsidR="00411AD9" w:rsidRPr="003612C6" w:rsidTr="003612C6">
        <w:trPr>
          <w:trHeight w:val="315"/>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411AD9" w:rsidRPr="003612C6" w:rsidRDefault="00411AD9" w:rsidP="00411AD9">
            <w:pPr>
              <w:rPr>
                <w:szCs w:val="22"/>
                <w:lang w:val="nl-BE"/>
              </w:rPr>
            </w:pPr>
            <w:r w:rsidRPr="003612C6">
              <w:rPr>
                <w:szCs w:val="22"/>
                <w:lang w:val="nl-BE"/>
              </w:rPr>
              <w:t xml:space="preserve">Totaal </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35.984</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37.839</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39.802</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41.396</w:t>
            </w:r>
          </w:p>
        </w:tc>
        <w:tc>
          <w:tcPr>
            <w:tcW w:w="960" w:type="dxa"/>
            <w:tcBorders>
              <w:top w:val="nil"/>
              <w:left w:val="nil"/>
              <w:bottom w:val="single" w:sz="4" w:space="0" w:color="auto"/>
              <w:right w:val="single" w:sz="4" w:space="0" w:color="auto"/>
            </w:tcBorders>
            <w:shd w:val="clear" w:color="auto" w:fill="auto"/>
            <w:noWrap/>
            <w:vAlign w:val="center"/>
            <w:hideMark/>
          </w:tcPr>
          <w:p w:rsidR="00411AD9" w:rsidRPr="003612C6" w:rsidRDefault="00411AD9" w:rsidP="00E5796C">
            <w:pPr>
              <w:jc w:val="right"/>
              <w:rPr>
                <w:szCs w:val="22"/>
                <w:lang w:val="nl-BE"/>
              </w:rPr>
            </w:pPr>
            <w:r w:rsidRPr="003612C6">
              <w:rPr>
                <w:szCs w:val="22"/>
                <w:lang w:val="nl-BE"/>
              </w:rPr>
              <w:t>43.389</w:t>
            </w:r>
          </w:p>
        </w:tc>
      </w:tr>
    </w:tbl>
    <w:p w:rsidR="00411AD9" w:rsidRPr="003612C6" w:rsidRDefault="00411AD9" w:rsidP="002E650D">
      <w:pPr>
        <w:rPr>
          <w:szCs w:val="22"/>
        </w:rPr>
      </w:pPr>
    </w:p>
    <w:p w:rsidR="00411AD9" w:rsidRPr="003612C6" w:rsidRDefault="00411AD9" w:rsidP="003612C6">
      <w:pPr>
        <w:ind w:left="426"/>
        <w:jc w:val="both"/>
        <w:rPr>
          <w:szCs w:val="22"/>
        </w:rPr>
      </w:pPr>
      <w:r w:rsidRPr="003612C6">
        <w:rPr>
          <w:szCs w:val="22"/>
        </w:rPr>
        <w:t xml:space="preserve">Uit deze tabel blijkt dat het aantal cliënten de laatste jaren gevoelig stijgt. </w:t>
      </w:r>
      <w:r w:rsidR="00E5796C" w:rsidRPr="003612C6">
        <w:rPr>
          <w:szCs w:val="22"/>
        </w:rPr>
        <w:t xml:space="preserve">De </w:t>
      </w:r>
      <w:r w:rsidR="00A3263F" w:rsidRPr="003612C6">
        <w:rPr>
          <w:szCs w:val="22"/>
        </w:rPr>
        <w:t xml:space="preserve">belangrijkste verklarende factor hiervoor </w:t>
      </w:r>
      <w:r w:rsidR="00E5796C" w:rsidRPr="003612C6">
        <w:rPr>
          <w:szCs w:val="22"/>
        </w:rPr>
        <w:t xml:space="preserve">is </w:t>
      </w:r>
      <w:r w:rsidR="00A3263F" w:rsidRPr="003612C6">
        <w:rPr>
          <w:szCs w:val="22"/>
        </w:rPr>
        <w:t xml:space="preserve">de bijkomende investeringen in de sector. </w:t>
      </w:r>
    </w:p>
    <w:p w:rsidR="00411AD9" w:rsidRPr="003612C6" w:rsidRDefault="00411AD9" w:rsidP="002E650D">
      <w:pPr>
        <w:rPr>
          <w:szCs w:val="22"/>
        </w:rPr>
      </w:pPr>
    </w:p>
    <w:p w:rsidR="002E650D" w:rsidRPr="003612C6" w:rsidRDefault="002E650D" w:rsidP="003612C6">
      <w:pPr>
        <w:pStyle w:val="Lijstalinea"/>
        <w:numPr>
          <w:ilvl w:val="0"/>
          <w:numId w:val="5"/>
        </w:numPr>
        <w:ind w:left="426" w:hanging="426"/>
        <w:jc w:val="both"/>
        <w:rPr>
          <w:sz w:val="22"/>
          <w:szCs w:val="22"/>
        </w:rPr>
      </w:pPr>
      <w:r w:rsidRPr="003612C6">
        <w:rPr>
          <w:sz w:val="22"/>
          <w:szCs w:val="22"/>
        </w:rPr>
        <w:t xml:space="preserve">In de eerste tabel gaven we onder de titel </w:t>
      </w:r>
      <w:r w:rsidR="00E5796C" w:rsidRPr="003612C6">
        <w:rPr>
          <w:sz w:val="22"/>
          <w:szCs w:val="22"/>
        </w:rPr>
        <w:t>“</w:t>
      </w:r>
      <w:r w:rsidRPr="003612C6">
        <w:rPr>
          <w:sz w:val="22"/>
          <w:szCs w:val="22"/>
        </w:rPr>
        <w:t>verhoging kwaliteit</w:t>
      </w:r>
      <w:r w:rsidR="00E5796C" w:rsidRPr="003612C6">
        <w:rPr>
          <w:sz w:val="22"/>
          <w:szCs w:val="22"/>
        </w:rPr>
        <w:t>”</w:t>
      </w:r>
      <w:r w:rsidRPr="003612C6">
        <w:rPr>
          <w:sz w:val="22"/>
          <w:szCs w:val="22"/>
        </w:rPr>
        <w:t xml:space="preserve"> weer hoeveel middelen jaarlijks ingezet werden in functie van het verbeteren van de kwaliteit van de dienstverlening door het </w:t>
      </w:r>
      <w:r w:rsidRPr="003612C6">
        <w:rPr>
          <w:sz w:val="22"/>
          <w:szCs w:val="22"/>
        </w:rPr>
        <w:lastRenderedPageBreak/>
        <w:t xml:space="preserve">inzetten van bijkomend personeel. Het gaat hier onder meer om de uitvoering van het protocolakkoord tussen de minister, de werkgevers en de vakorganisaties en over het uitvoeren van bepaalde elementen uit het VIA 4-akkoord. </w:t>
      </w:r>
    </w:p>
    <w:p w:rsidR="00036013" w:rsidRPr="003612C6" w:rsidRDefault="00036013" w:rsidP="003612C6">
      <w:pPr>
        <w:pStyle w:val="Lijstalinea"/>
        <w:ind w:left="426" w:hanging="426"/>
        <w:jc w:val="both"/>
        <w:rPr>
          <w:sz w:val="22"/>
          <w:szCs w:val="22"/>
        </w:rPr>
      </w:pPr>
    </w:p>
    <w:p w:rsidR="00036013" w:rsidRPr="003612C6" w:rsidRDefault="00036013" w:rsidP="003612C6">
      <w:pPr>
        <w:pStyle w:val="Lijstalinea"/>
        <w:ind w:left="426"/>
        <w:jc w:val="both"/>
        <w:rPr>
          <w:sz w:val="22"/>
          <w:szCs w:val="22"/>
        </w:rPr>
      </w:pPr>
      <w:r w:rsidRPr="003612C6">
        <w:rPr>
          <w:sz w:val="22"/>
          <w:szCs w:val="22"/>
        </w:rPr>
        <w:t xml:space="preserve">In navolging van het protocolakkoord van 21 februari 2011 wordt voorzien in 500 bijkomende jobs in de periode 2011 – 2014. De toekenning gebeurde in twee fasen. In een eerste fase was in het uitbreidingsbeleid 2011 reeds 4 miljoen euro voorzien (84 voltijdse equivalenten). </w:t>
      </w:r>
    </w:p>
    <w:p w:rsidR="007A2AF1" w:rsidRPr="003612C6" w:rsidRDefault="00036013" w:rsidP="003612C6">
      <w:pPr>
        <w:pStyle w:val="Lijstalinea"/>
        <w:ind w:left="426"/>
        <w:jc w:val="both"/>
        <w:rPr>
          <w:sz w:val="22"/>
          <w:szCs w:val="22"/>
        </w:rPr>
      </w:pPr>
      <w:r w:rsidRPr="003612C6">
        <w:rPr>
          <w:sz w:val="22"/>
          <w:szCs w:val="22"/>
        </w:rPr>
        <w:t xml:space="preserve">De inzet van het resterende budget van 21 miljoen euro (ongeveer 416 voltijdse equivalenten) gebeurt, gelijkmatig verdeeld, tijdens de periode 2012– 2014 (7 </w:t>
      </w:r>
      <w:proofErr w:type="spellStart"/>
      <w:r w:rsidRPr="003612C6">
        <w:rPr>
          <w:sz w:val="22"/>
          <w:szCs w:val="22"/>
        </w:rPr>
        <w:t>mio</w:t>
      </w:r>
      <w:proofErr w:type="spellEnd"/>
      <w:r w:rsidRPr="003612C6">
        <w:rPr>
          <w:sz w:val="22"/>
          <w:szCs w:val="22"/>
        </w:rPr>
        <w:t xml:space="preserve"> per jaar).  De verdeling van de 416 voltijdse equivalenten werd benut voor het optrekken van de invulling van de personeelsnorm voor die voorzieningen die voldeden aan de afgesproken criteria.  Naast een lage personeelsinvulling werden immers ook elementen van zorgzwaarte meegenomen.  Er werd geopteerd, in samenspraak met de sociale partners, om de invulling van de personeelsnorm op te trekken. Voor de voorzieningen die minderjarigen ondersteunen werd de personeelsinvulling opgetrokken tot minimaal 88,94%, bij de voorzieningen die meerderjarigen ondersteunen 82,93%. Al deze personeelsuitbreidingen werden toegekend aan de voorzieningen. De aanwervingen kunnen door de voorzieningen worden uitgevoerd.</w:t>
      </w:r>
    </w:p>
    <w:p w:rsidR="00BD6AE0" w:rsidRPr="003612C6" w:rsidRDefault="00BD6AE0" w:rsidP="003612C6">
      <w:pPr>
        <w:pStyle w:val="Lijstalinea"/>
        <w:ind w:left="426" w:hanging="426"/>
        <w:jc w:val="both"/>
        <w:rPr>
          <w:sz w:val="22"/>
          <w:szCs w:val="22"/>
        </w:rPr>
      </w:pPr>
    </w:p>
    <w:p w:rsidR="00995541" w:rsidRPr="00995541" w:rsidRDefault="00036013" w:rsidP="00995541">
      <w:pPr>
        <w:pStyle w:val="Lijstalinea"/>
        <w:numPr>
          <w:ilvl w:val="0"/>
          <w:numId w:val="5"/>
        </w:numPr>
        <w:ind w:left="426" w:hanging="426"/>
        <w:jc w:val="both"/>
        <w:rPr>
          <w:szCs w:val="22"/>
          <w:lang w:val="nl-BE"/>
        </w:rPr>
      </w:pPr>
      <w:r w:rsidRPr="003612C6">
        <w:rPr>
          <w:sz w:val="22"/>
          <w:szCs w:val="22"/>
        </w:rPr>
        <w:t xml:space="preserve">In </w:t>
      </w:r>
      <w:r w:rsidR="002E650D" w:rsidRPr="003612C6">
        <w:rPr>
          <w:sz w:val="22"/>
          <w:szCs w:val="22"/>
        </w:rPr>
        <w:t xml:space="preserve">tabel één vindt u per jaar de toegekende </w:t>
      </w:r>
      <w:proofErr w:type="spellStart"/>
      <w:r w:rsidR="002E650D" w:rsidRPr="003612C6">
        <w:rPr>
          <w:sz w:val="22"/>
          <w:szCs w:val="22"/>
        </w:rPr>
        <w:t>budgetten</w:t>
      </w:r>
      <w:proofErr w:type="spellEnd"/>
      <w:r w:rsidR="002E650D" w:rsidRPr="003612C6">
        <w:rPr>
          <w:sz w:val="22"/>
          <w:szCs w:val="22"/>
        </w:rPr>
        <w:t xml:space="preserve"> onder verschillende </w:t>
      </w:r>
      <w:r w:rsidR="007A2AF1" w:rsidRPr="003612C6">
        <w:rPr>
          <w:sz w:val="22"/>
          <w:szCs w:val="22"/>
        </w:rPr>
        <w:t>rubrieken</w:t>
      </w:r>
      <w:r w:rsidR="002E650D" w:rsidRPr="003612C6">
        <w:rPr>
          <w:sz w:val="22"/>
          <w:szCs w:val="22"/>
        </w:rPr>
        <w:t xml:space="preserve"> terug. We beschrijven hier kort de doelstellingen die we met de inzet van deze </w:t>
      </w:r>
      <w:proofErr w:type="spellStart"/>
      <w:r w:rsidR="002E650D" w:rsidRPr="003612C6">
        <w:rPr>
          <w:sz w:val="22"/>
          <w:szCs w:val="22"/>
        </w:rPr>
        <w:t>budgetten</w:t>
      </w:r>
      <w:proofErr w:type="spellEnd"/>
      <w:r w:rsidR="002E650D" w:rsidRPr="003612C6">
        <w:rPr>
          <w:sz w:val="22"/>
          <w:szCs w:val="22"/>
        </w:rPr>
        <w:t xml:space="preserve"> gerealiseerd hebben. </w:t>
      </w:r>
    </w:p>
    <w:p w:rsidR="00995541" w:rsidRDefault="00995541" w:rsidP="00995541">
      <w:pPr>
        <w:pStyle w:val="Lijstalinea"/>
        <w:ind w:left="426"/>
        <w:jc w:val="both"/>
        <w:rPr>
          <w:szCs w:val="22"/>
          <w:lang w:val="nl-BE"/>
        </w:rPr>
      </w:pPr>
    </w:p>
    <w:p w:rsidR="00995541" w:rsidRPr="002C5834" w:rsidRDefault="00995541" w:rsidP="00995541">
      <w:pPr>
        <w:pStyle w:val="Lijstalinea"/>
        <w:ind w:left="426"/>
        <w:jc w:val="both"/>
        <w:rPr>
          <w:sz w:val="22"/>
          <w:szCs w:val="22"/>
        </w:rPr>
      </w:pPr>
      <w:r w:rsidRPr="002C5834">
        <w:rPr>
          <w:sz w:val="22"/>
          <w:szCs w:val="22"/>
        </w:rPr>
        <w:t xml:space="preserve">In 2012 werden een aantal maatregelen genomen om de breuklijn tussen ondersteuning in de minderjarigenzorg en de </w:t>
      </w:r>
      <w:proofErr w:type="spellStart"/>
      <w:r w:rsidRPr="002C5834">
        <w:rPr>
          <w:sz w:val="22"/>
          <w:szCs w:val="22"/>
        </w:rPr>
        <w:t>meederjarigenzorg</w:t>
      </w:r>
      <w:proofErr w:type="spellEnd"/>
      <w:r w:rsidRPr="002C5834">
        <w:rPr>
          <w:sz w:val="22"/>
          <w:szCs w:val="22"/>
        </w:rPr>
        <w:t xml:space="preserve">  vloeiender te laten verlopen. In een aantal gevallen kan de residentiële opvang binnen de minderjarigenzorg verdergezet worden tot 25 jaar. Ook ambulante of mobiele ondersteuning vanuit de gekende voorziening is mogelijk tot 25 jaar. Om die bijkomende ondersteuning te kunnen aanbieden, werd 750.000 euro geïnvesteerd. </w:t>
      </w:r>
    </w:p>
    <w:p w:rsidR="00995541" w:rsidRPr="002C5834" w:rsidRDefault="00995541" w:rsidP="00995541">
      <w:pPr>
        <w:pStyle w:val="Lijstalinea"/>
        <w:ind w:left="426"/>
        <w:jc w:val="both"/>
        <w:rPr>
          <w:sz w:val="22"/>
          <w:szCs w:val="22"/>
        </w:rPr>
      </w:pPr>
    </w:p>
    <w:p w:rsidR="00995541" w:rsidRPr="002C5834" w:rsidRDefault="00995541" w:rsidP="00995541">
      <w:pPr>
        <w:pStyle w:val="Lijstalinea"/>
        <w:ind w:left="426"/>
        <w:jc w:val="both"/>
        <w:rPr>
          <w:sz w:val="22"/>
          <w:szCs w:val="22"/>
        </w:rPr>
      </w:pPr>
      <w:r w:rsidRPr="002C5834">
        <w:rPr>
          <w:sz w:val="22"/>
          <w:szCs w:val="22"/>
        </w:rPr>
        <w:t xml:space="preserve">De bijkomende middelen voor hulpmiddelen en woningaanpassingen worden ingezet om tegemoet te komen aan de vragen naar </w:t>
      </w:r>
      <w:proofErr w:type="spellStart"/>
      <w:r w:rsidRPr="002C5834">
        <w:rPr>
          <w:sz w:val="22"/>
          <w:szCs w:val="22"/>
        </w:rPr>
        <w:t>handicapspecifieke</w:t>
      </w:r>
      <w:proofErr w:type="spellEnd"/>
      <w:r w:rsidRPr="002C5834">
        <w:rPr>
          <w:sz w:val="22"/>
          <w:szCs w:val="22"/>
        </w:rPr>
        <w:t xml:space="preserve"> hulpmiddelen en aanpassingen aan de woning van personen met een handicap. Daardoor kunnen mensen langer in hun vertrouwde omgeving blijven wonen. </w:t>
      </w:r>
    </w:p>
    <w:p w:rsidR="00995541" w:rsidRPr="002C5834" w:rsidRDefault="00995541" w:rsidP="00995541">
      <w:pPr>
        <w:pStyle w:val="Lijstalinea"/>
        <w:ind w:left="426"/>
        <w:jc w:val="both"/>
        <w:rPr>
          <w:sz w:val="22"/>
          <w:szCs w:val="22"/>
        </w:rPr>
      </w:pPr>
    </w:p>
    <w:p w:rsidR="00995541" w:rsidRPr="002C5834" w:rsidRDefault="00995541" w:rsidP="00995541">
      <w:pPr>
        <w:pStyle w:val="Lijstalinea"/>
        <w:ind w:left="426"/>
        <w:jc w:val="both"/>
        <w:rPr>
          <w:sz w:val="22"/>
          <w:szCs w:val="22"/>
        </w:rPr>
      </w:pPr>
      <w:r w:rsidRPr="002C5834">
        <w:rPr>
          <w:sz w:val="22"/>
          <w:szCs w:val="22"/>
        </w:rPr>
        <w:t xml:space="preserve">In het kader van de ‘voorbereiding Perspectief Plan 2020’ werden in 2010 middelen voorzien voor het opzetten van experimenten in het kader van de zorgvernieuwing. In 2012 voor het geven van incentives voor sociaal ondernemerschap bij de zorgaanbieders. </w:t>
      </w:r>
    </w:p>
    <w:p w:rsidR="00995541" w:rsidRPr="002C5834" w:rsidRDefault="00995541" w:rsidP="00995541">
      <w:pPr>
        <w:pStyle w:val="Lijstalinea"/>
        <w:ind w:left="426"/>
        <w:jc w:val="both"/>
        <w:rPr>
          <w:sz w:val="22"/>
          <w:szCs w:val="22"/>
        </w:rPr>
      </w:pPr>
    </w:p>
    <w:p w:rsidR="00995541" w:rsidRPr="002C5834" w:rsidRDefault="00995541" w:rsidP="00995541">
      <w:pPr>
        <w:pStyle w:val="Lijstalinea"/>
        <w:ind w:left="426"/>
        <w:jc w:val="both"/>
        <w:rPr>
          <w:sz w:val="22"/>
          <w:szCs w:val="22"/>
        </w:rPr>
      </w:pPr>
      <w:r w:rsidRPr="002C5834">
        <w:rPr>
          <w:sz w:val="22"/>
          <w:szCs w:val="22"/>
        </w:rPr>
        <w:t xml:space="preserve">Verschillende keren werden middelen ter beschikking gesteld van reguliere sectoren. Telkens met de bedoeling hen in staat te stellen meer te investeren in ondersteuning van personen met een handicap om een meer inclusieve dienstverlening uit te bouwen. Zowel in de thuiszorg, het algemeen welzijnswerk als in de kinderopvang werden daartoe gerichte acties ondernomen. </w:t>
      </w:r>
    </w:p>
    <w:p w:rsidR="00995541" w:rsidRPr="002C5834" w:rsidRDefault="00995541"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Verder ontvangen de multidisciplinaire teams (</w:t>
      </w:r>
      <w:proofErr w:type="spellStart"/>
      <w:r w:rsidRPr="002C5834">
        <w:rPr>
          <w:sz w:val="22"/>
          <w:szCs w:val="22"/>
        </w:rPr>
        <w:t>MDT’s</w:t>
      </w:r>
      <w:proofErr w:type="spellEnd"/>
      <w:r w:rsidRPr="002C5834">
        <w:rPr>
          <w:sz w:val="22"/>
          <w:szCs w:val="22"/>
        </w:rPr>
        <w:t xml:space="preserve">) een hogere vergoeding voor hun multidisciplinaire verslagen. </w:t>
      </w:r>
      <w:r w:rsidR="00703232">
        <w:rPr>
          <w:sz w:val="22"/>
          <w:szCs w:val="22"/>
        </w:rPr>
        <w:t xml:space="preserve">Hierbij zijn afspraken gemaakt i.v.m. kwaliteitsindicatoren. </w:t>
      </w:r>
    </w:p>
    <w:p w:rsidR="00995541" w:rsidRPr="002C5834" w:rsidRDefault="00995541" w:rsidP="00964FD2">
      <w:pPr>
        <w:jc w:val="both"/>
        <w:rPr>
          <w:szCs w:val="22"/>
        </w:rPr>
      </w:pPr>
    </w:p>
    <w:p w:rsidR="00995541" w:rsidRPr="002C5834" w:rsidRDefault="00995541" w:rsidP="00964FD2">
      <w:pPr>
        <w:pStyle w:val="Lijstalinea"/>
        <w:ind w:left="426"/>
        <w:jc w:val="both"/>
        <w:rPr>
          <w:sz w:val="22"/>
          <w:szCs w:val="22"/>
        </w:rPr>
      </w:pPr>
      <w:r w:rsidRPr="002C5834">
        <w:rPr>
          <w:sz w:val="22"/>
          <w:szCs w:val="22"/>
        </w:rPr>
        <w:t xml:space="preserve">Om tegemoet te komen aan de stijgende vraag naar tussenkomst voor de tolken Vlaamse Gebarentaal, wordt het budget jaarlijks bekeken en indien nodig verhoogd. Het gaat daarbij vooral om een stijging van het aantal </w:t>
      </w:r>
      <w:proofErr w:type="spellStart"/>
      <w:r w:rsidRPr="002C5834">
        <w:rPr>
          <w:sz w:val="22"/>
          <w:szCs w:val="22"/>
        </w:rPr>
        <w:t>tolkuren</w:t>
      </w:r>
      <w:proofErr w:type="spellEnd"/>
      <w:r w:rsidRPr="002C5834">
        <w:rPr>
          <w:sz w:val="22"/>
          <w:szCs w:val="22"/>
        </w:rPr>
        <w:t xml:space="preserve"> en in mindere mate om een verhoging van het uurloon van de tolken. </w:t>
      </w:r>
    </w:p>
    <w:p w:rsidR="00964FD2" w:rsidRPr="002C5834" w:rsidRDefault="00964FD2"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 xml:space="preserve">Er werd een groeipad voorzien voor de centra van ontwikkelingsstoornissen. Enerzijds werd het voorziene subsidiebedrag per onderzoek verhoogd. Anderzijds werd ook het aantal kinderen waarvoor een onderzoek bij een COS kan gebeuren, gevoelig opgetrokken. </w:t>
      </w:r>
    </w:p>
    <w:p w:rsidR="00964FD2" w:rsidRPr="002C5834" w:rsidRDefault="00964FD2"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lastRenderedPageBreak/>
        <w:t xml:space="preserve">In het kader van de zorgregie wordt een vergoeding voorzien voor de taken die contactorganisaties opnemen in de belangenbehartiging van zorgvragers die nog geen VAPH-ondersteuning genieten. Ook werden de middelen voor de provinciale coördinatiepunten opgetrokken met 25.000 euro per provincie. </w:t>
      </w:r>
    </w:p>
    <w:p w:rsidR="00964FD2" w:rsidRPr="002C5834" w:rsidRDefault="00964FD2"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 xml:space="preserve">Als voorbereiding op de implementatie van de intersectorale toegangspoort binnen de Integrale Jeugdhulp werd een experiment uitgevoerd. In dat experiment krijgen jongeren met een complexe problematiek en dus een ondersteuningsbehoefte die de mogelijkheden van het gebruikelijke aanbod overstijgt, bijkomende persoonsvolgende middelen om de bijkomende ondersteuning (vaak intersectoraal) te krijgen. Daarnaast werd ook geïnvesteerd in de uitbouw van de crisisnetwerken voor minderjarigen. </w:t>
      </w:r>
    </w:p>
    <w:p w:rsidR="00964FD2" w:rsidRPr="002C5834" w:rsidRDefault="00964FD2"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 xml:space="preserve">De erkende vrijetijdsorganisaties kregen extra middelen om meer inclusieve vrijetijdstrajecten te kunnen opzetten. </w:t>
      </w:r>
    </w:p>
    <w:p w:rsidR="00964FD2" w:rsidRPr="002C5834" w:rsidRDefault="00964FD2"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 xml:space="preserve">Er werden ook middelen voorzien in functie van de verknoping van de Steunpunten Expertise Netwerken (SEN) en de consulentenwerking. </w:t>
      </w:r>
    </w:p>
    <w:p w:rsidR="00995541" w:rsidRPr="002C5834" w:rsidRDefault="00995541" w:rsidP="00964FD2">
      <w:pPr>
        <w:pStyle w:val="Lijstalinea"/>
        <w:ind w:left="426"/>
        <w:jc w:val="both"/>
        <w:rPr>
          <w:sz w:val="22"/>
          <w:szCs w:val="22"/>
        </w:rPr>
      </w:pPr>
    </w:p>
    <w:p w:rsidR="00995541" w:rsidRPr="002C5834" w:rsidRDefault="00995541" w:rsidP="00964FD2">
      <w:pPr>
        <w:pStyle w:val="Lijstalinea"/>
        <w:ind w:left="426"/>
        <w:jc w:val="both"/>
        <w:rPr>
          <w:sz w:val="22"/>
          <w:szCs w:val="22"/>
        </w:rPr>
      </w:pPr>
      <w:r w:rsidRPr="002C5834">
        <w:rPr>
          <w:sz w:val="22"/>
          <w:szCs w:val="22"/>
        </w:rPr>
        <w:t xml:space="preserve">Tot slot werd in 2011 ruim 320.000 euro voorzien voor de verdere uitbouw van de diensten die binnen de muren van de gevangenissen een zinvolle dagbesteding uitbouwen voor geïnterneerde personen met een verstandelijke handicap. </w:t>
      </w:r>
    </w:p>
    <w:sectPr w:rsidR="00995541" w:rsidRPr="002C5834"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81" w:rsidRDefault="00CA3881">
      <w:r>
        <w:separator/>
      </w:r>
    </w:p>
  </w:endnote>
  <w:endnote w:type="continuationSeparator" w:id="0">
    <w:p w:rsidR="00CA3881" w:rsidRDefault="00CA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81" w:rsidRDefault="00CA3881">
      <w:r>
        <w:separator/>
      </w:r>
    </w:p>
  </w:footnote>
  <w:footnote w:type="continuationSeparator" w:id="0">
    <w:p w:rsidR="00CA3881" w:rsidRDefault="00CA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173"/>
    <w:multiLevelType w:val="hybridMultilevel"/>
    <w:tmpl w:val="876A9156"/>
    <w:lvl w:ilvl="0" w:tplc="E01C4A16">
      <w:start w:val="118"/>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EB3D89"/>
    <w:multiLevelType w:val="hybridMultilevel"/>
    <w:tmpl w:val="FDDC7D42"/>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
    <w:nsid w:val="3216381C"/>
    <w:multiLevelType w:val="hybridMultilevel"/>
    <w:tmpl w:val="6D9C8BD0"/>
    <w:lvl w:ilvl="0" w:tplc="C19AAC8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492F63B8"/>
    <w:multiLevelType w:val="hybridMultilevel"/>
    <w:tmpl w:val="4BD24AAE"/>
    <w:lvl w:ilvl="0" w:tplc="12AA84F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1F61C87"/>
    <w:multiLevelType w:val="hybridMultilevel"/>
    <w:tmpl w:val="38266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E44222"/>
    <w:multiLevelType w:val="hybridMultilevel"/>
    <w:tmpl w:val="40383110"/>
    <w:lvl w:ilvl="0" w:tplc="90EAF54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36013"/>
    <w:rsid w:val="000E499C"/>
    <w:rsid w:val="001119C8"/>
    <w:rsid w:val="00152B45"/>
    <w:rsid w:val="001F634F"/>
    <w:rsid w:val="002945A1"/>
    <w:rsid w:val="002C5834"/>
    <w:rsid w:val="002E650D"/>
    <w:rsid w:val="0030749E"/>
    <w:rsid w:val="003612C6"/>
    <w:rsid w:val="003B3111"/>
    <w:rsid w:val="003C721A"/>
    <w:rsid w:val="003E56E5"/>
    <w:rsid w:val="003F7D4F"/>
    <w:rsid w:val="00411AD9"/>
    <w:rsid w:val="00412DE9"/>
    <w:rsid w:val="00484418"/>
    <w:rsid w:val="005516EC"/>
    <w:rsid w:val="00563678"/>
    <w:rsid w:val="005A5DF7"/>
    <w:rsid w:val="006359E3"/>
    <w:rsid w:val="00656255"/>
    <w:rsid w:val="006D00E9"/>
    <w:rsid w:val="006F4096"/>
    <w:rsid w:val="00703232"/>
    <w:rsid w:val="00712571"/>
    <w:rsid w:val="007175CD"/>
    <w:rsid w:val="00790511"/>
    <w:rsid w:val="007A2AF1"/>
    <w:rsid w:val="007E2C59"/>
    <w:rsid w:val="007E7EF7"/>
    <w:rsid w:val="007F5A15"/>
    <w:rsid w:val="00883F10"/>
    <w:rsid w:val="008D5B00"/>
    <w:rsid w:val="00964FD2"/>
    <w:rsid w:val="00995541"/>
    <w:rsid w:val="009A1654"/>
    <w:rsid w:val="009A214E"/>
    <w:rsid w:val="00A3263F"/>
    <w:rsid w:val="00A32C9E"/>
    <w:rsid w:val="00A50EF2"/>
    <w:rsid w:val="00A73E5E"/>
    <w:rsid w:val="00AB023B"/>
    <w:rsid w:val="00B23DC2"/>
    <w:rsid w:val="00B45231"/>
    <w:rsid w:val="00B54E71"/>
    <w:rsid w:val="00B932CA"/>
    <w:rsid w:val="00BA58E3"/>
    <w:rsid w:val="00BD6AE0"/>
    <w:rsid w:val="00C33DC6"/>
    <w:rsid w:val="00C47871"/>
    <w:rsid w:val="00C52929"/>
    <w:rsid w:val="00CA3881"/>
    <w:rsid w:val="00CC176F"/>
    <w:rsid w:val="00CD6BAA"/>
    <w:rsid w:val="00CF6F78"/>
    <w:rsid w:val="00E57728"/>
    <w:rsid w:val="00E5796C"/>
    <w:rsid w:val="00E808D8"/>
    <w:rsid w:val="00EA5D30"/>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table" w:styleId="Tabelraster">
    <w:name w:val="Table Grid"/>
    <w:basedOn w:val="Standaardtabel"/>
    <w:uiPriority w:val="59"/>
    <w:rsid w:val="00B54E7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3612C6"/>
    <w:rPr>
      <w:rFonts w:ascii="Tahoma" w:hAnsi="Tahoma" w:cs="Tahoma"/>
      <w:sz w:val="16"/>
      <w:szCs w:val="16"/>
    </w:rPr>
  </w:style>
  <w:style w:type="character" w:customStyle="1" w:styleId="BallontekstChar">
    <w:name w:val="Ballontekst Char"/>
    <w:basedOn w:val="Standaardalinea-lettertype"/>
    <w:link w:val="Ballontekst"/>
    <w:rsid w:val="003612C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table" w:styleId="Tabelraster">
    <w:name w:val="Table Grid"/>
    <w:basedOn w:val="Standaardtabel"/>
    <w:uiPriority w:val="59"/>
    <w:rsid w:val="00B54E7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3612C6"/>
    <w:rPr>
      <w:rFonts w:ascii="Tahoma" w:hAnsi="Tahoma" w:cs="Tahoma"/>
      <w:sz w:val="16"/>
      <w:szCs w:val="16"/>
    </w:rPr>
  </w:style>
  <w:style w:type="character" w:customStyle="1" w:styleId="BallontekstChar">
    <w:name w:val="Ballontekst Char"/>
    <w:basedOn w:val="Standaardalinea-lettertype"/>
    <w:link w:val="Ballontekst"/>
    <w:rsid w:val="003612C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6">
      <w:bodyDiv w:val="1"/>
      <w:marLeft w:val="0"/>
      <w:marRight w:val="0"/>
      <w:marTop w:val="0"/>
      <w:marBottom w:val="0"/>
      <w:divBdr>
        <w:top w:val="none" w:sz="0" w:space="0" w:color="auto"/>
        <w:left w:val="none" w:sz="0" w:space="0" w:color="auto"/>
        <w:bottom w:val="none" w:sz="0" w:space="0" w:color="auto"/>
        <w:right w:val="none" w:sz="0" w:space="0" w:color="auto"/>
      </w:divBdr>
    </w:div>
    <w:div w:id="1048455592">
      <w:bodyDiv w:val="1"/>
      <w:marLeft w:val="0"/>
      <w:marRight w:val="0"/>
      <w:marTop w:val="0"/>
      <w:marBottom w:val="0"/>
      <w:divBdr>
        <w:top w:val="none" w:sz="0" w:space="0" w:color="auto"/>
        <w:left w:val="none" w:sz="0" w:space="0" w:color="auto"/>
        <w:bottom w:val="none" w:sz="0" w:space="0" w:color="auto"/>
        <w:right w:val="none" w:sz="0" w:space="0" w:color="auto"/>
      </w:divBdr>
    </w:div>
    <w:div w:id="19195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15BA-9C96-4673-B162-625D01B0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pv</Template>
  <TotalTime>0</TotalTime>
  <Pages>4</Pages>
  <Words>1400</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3</cp:revision>
  <cp:lastPrinted>2014-04-15T07:31:00Z</cp:lastPrinted>
  <dcterms:created xsi:type="dcterms:W3CDTF">2014-04-25T12:37:00Z</dcterms:created>
  <dcterms:modified xsi:type="dcterms:W3CDTF">2014-04-25T12:37:00Z</dcterms:modified>
</cp:coreProperties>
</file>