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C52465" w:rsidP="006F7B19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894185">
        <w:rPr>
          <w:noProof/>
          <w:szCs w:val="22"/>
        </w:rPr>
        <w:t>geert bourgeois</w:t>
      </w:r>
      <w:r>
        <w:rPr>
          <w:szCs w:val="22"/>
        </w:rPr>
        <w:fldChar w:fldCharType="end"/>
      </w:r>
      <w:bookmarkEnd w:id="0"/>
    </w:p>
    <w:bookmarkStart w:id="1" w:name="Text2"/>
    <w:p w:rsidR="00894185" w:rsidRDefault="00C52465" w:rsidP="006F7B19">
      <w:pPr>
        <w:pStyle w:val="A-TitelMinister"/>
        <w:outlineLvl w:val="0"/>
        <w:rPr>
          <w:noProof/>
        </w:rPr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894185">
        <w:rPr>
          <w:noProof/>
        </w:rPr>
        <w:t>viceminister-president van de vlaamse regering</w:t>
      </w:r>
    </w:p>
    <w:p w:rsidR="000976E9" w:rsidRPr="00015BF7" w:rsidRDefault="00894185" w:rsidP="000976E9">
      <w:pPr>
        <w:pStyle w:val="A-TitelMinister"/>
      </w:pPr>
      <w:r>
        <w:rPr>
          <w:noProof/>
        </w:rPr>
        <w:t>vlaams minister van bestuurszaken, binnenlands bestuur, inburgering, toerisme en de vlaamse rand</w:t>
      </w:r>
      <w:r w:rsidR="00C52465"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Pr="00BE0ED3" w:rsidRDefault="002104FD" w:rsidP="006F7B19">
      <w:pPr>
        <w:pStyle w:val="A-Type"/>
        <w:outlineLvl w:val="0"/>
        <w:sectPr w:rsidR="00210C07" w:rsidRPr="00BE0ED3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  <w:r w:rsidR="000976E9" w:rsidRPr="00BE0ED3">
        <w:t xml:space="preserve"> </w:t>
      </w:r>
    </w:p>
    <w:p w:rsidR="000976E9" w:rsidRPr="00326A58" w:rsidRDefault="000976E9" w:rsidP="00CA594C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C5246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C52465" w:rsidRPr="00326A58">
        <w:rPr>
          <w:b w:val="0"/>
        </w:rPr>
      </w:r>
      <w:r w:rsidR="00C52465" w:rsidRPr="00326A58">
        <w:rPr>
          <w:b w:val="0"/>
        </w:rPr>
        <w:fldChar w:fldCharType="separate"/>
      </w:r>
      <w:r w:rsidR="00220F3E">
        <w:rPr>
          <w:b w:val="0"/>
        </w:rPr>
        <w:t>2</w:t>
      </w:r>
      <w:r w:rsidR="000D20F4">
        <w:rPr>
          <w:b w:val="0"/>
        </w:rPr>
        <w:t>88</w:t>
      </w:r>
      <w:r w:rsidR="00C5246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C5246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C52465">
        <w:rPr>
          <w:b w:val="0"/>
        </w:rPr>
      </w:r>
      <w:r w:rsidR="00C52465">
        <w:rPr>
          <w:b w:val="0"/>
        </w:rPr>
        <w:fldChar w:fldCharType="separate"/>
      </w:r>
      <w:r w:rsidR="000D20F4">
        <w:rPr>
          <w:b w:val="0"/>
        </w:rPr>
        <w:t>11</w:t>
      </w:r>
      <w:r w:rsidR="00C5246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C5246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2104FD">
        <w:rPr>
          <w:b w:val="0"/>
        </w:rPr>
      </w:r>
      <w:r w:rsidR="002104FD">
        <w:rPr>
          <w:b w:val="0"/>
        </w:rPr>
        <w:fldChar w:fldCharType="separate"/>
      </w:r>
      <w:r w:rsidR="00C5246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C5246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2104FD">
        <w:rPr>
          <w:b w:val="0"/>
        </w:rPr>
      </w:r>
      <w:r w:rsidR="002104FD">
        <w:rPr>
          <w:b w:val="0"/>
        </w:rPr>
        <w:fldChar w:fldCharType="separate"/>
      </w:r>
      <w:r w:rsidR="00C52465">
        <w:rPr>
          <w:b w:val="0"/>
        </w:rPr>
        <w:fldChar w:fldCharType="end"/>
      </w:r>
      <w:bookmarkEnd w:id="5"/>
    </w:p>
    <w:p w:rsidR="000976E9" w:rsidRDefault="000976E9" w:rsidP="00CA594C">
      <w:pPr>
        <w:rPr>
          <w:szCs w:val="22"/>
        </w:rPr>
      </w:pPr>
      <w:r>
        <w:rPr>
          <w:szCs w:val="22"/>
        </w:rPr>
        <w:t xml:space="preserve">van </w:t>
      </w:r>
      <w:r w:rsidR="00C5246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C52465" w:rsidRPr="009D7043">
        <w:rPr>
          <w:rStyle w:val="AntwoordNaamMinisterChar"/>
        </w:rPr>
      </w:r>
      <w:r w:rsidR="00C52465" w:rsidRPr="009D7043">
        <w:rPr>
          <w:rStyle w:val="AntwoordNaamMinisterChar"/>
        </w:rPr>
        <w:fldChar w:fldCharType="separate"/>
      </w:r>
      <w:r w:rsidR="00886C0F">
        <w:rPr>
          <w:rStyle w:val="AntwoordNaamMinisterChar"/>
        </w:rPr>
        <w:t>p</w:t>
      </w:r>
      <w:r w:rsidR="000D20F4">
        <w:rPr>
          <w:rStyle w:val="AntwoordNaamMinisterChar"/>
        </w:rPr>
        <w:t xml:space="preserve">atricia </w:t>
      </w:r>
      <w:r w:rsidR="00886C0F">
        <w:rPr>
          <w:rStyle w:val="AntwoordNaamMinisterChar"/>
        </w:rPr>
        <w:t>d</w:t>
      </w:r>
      <w:r w:rsidR="000D20F4">
        <w:rPr>
          <w:rStyle w:val="AntwoordNaamMinisterChar"/>
        </w:rPr>
        <w:t xml:space="preserve">e </w:t>
      </w:r>
      <w:r w:rsidR="00886C0F">
        <w:rPr>
          <w:rStyle w:val="AntwoordNaamMinisterChar"/>
        </w:rPr>
        <w:t>w</w:t>
      </w:r>
      <w:r w:rsidR="000D20F4">
        <w:rPr>
          <w:rStyle w:val="AntwoordNaamMinisterChar"/>
        </w:rPr>
        <w:t>aele</w:t>
      </w:r>
      <w:r w:rsidR="00C5246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F0EF7" w:rsidRDefault="000D20F4" w:rsidP="002272D2">
      <w:pPr>
        <w:pStyle w:val="Lijstalinea"/>
        <w:numPr>
          <w:ilvl w:val="0"/>
          <w:numId w:val="28"/>
        </w:numPr>
        <w:contextualSpacing/>
        <w:jc w:val="both"/>
      </w:pPr>
      <w:r>
        <w:lastRenderedPageBreak/>
        <w:t xml:space="preserve">Onderstaande tabel geeft een overzicht van de daguitstappen, waarbij ik er wel de aandacht op vestig dat Toerisme Vlaanderen alleen daguitstappen en vakanties van het Steunpunt Vakantieparticipatie registreert: </w:t>
      </w:r>
    </w:p>
    <w:p w:rsidR="0070700A" w:rsidRDefault="0070700A" w:rsidP="0070700A">
      <w:pPr>
        <w:pStyle w:val="Lijstalinea"/>
        <w:ind w:left="360"/>
        <w:contextualSpacing/>
      </w:pPr>
    </w:p>
    <w:tbl>
      <w:tblPr>
        <w:tblStyle w:val="Tabellijst3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13"/>
        <w:gridCol w:w="1171"/>
        <w:gridCol w:w="1220"/>
        <w:gridCol w:w="1639"/>
        <w:gridCol w:w="1347"/>
        <w:gridCol w:w="2456"/>
      </w:tblGrid>
      <w:tr w:rsidR="000D20F4" w:rsidRPr="000E09C7" w:rsidTr="00227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813" w:type="dxa"/>
            <w:noWrap/>
            <w:hideMark/>
          </w:tcPr>
          <w:p w:rsidR="000D20F4" w:rsidRPr="000D20F4" w:rsidRDefault="000D20F4" w:rsidP="00D22B18">
            <w:pPr>
              <w:pStyle w:val="StandaardSV"/>
              <w:rPr>
                <w:color w:val="auto"/>
                <w:lang w:val="nl-BE"/>
              </w:rPr>
            </w:pPr>
            <w:r w:rsidRPr="000D20F4">
              <w:rPr>
                <w:b w:val="0"/>
                <w:bCs w:val="0"/>
                <w:color w:val="auto"/>
                <w:lang w:val="nl-BE"/>
              </w:rPr>
              <w:t xml:space="preserve">Jaartal </w:t>
            </w:r>
          </w:p>
        </w:tc>
        <w:tc>
          <w:tcPr>
            <w:tcW w:w="1171" w:type="dxa"/>
            <w:noWrap/>
            <w:hideMark/>
          </w:tcPr>
          <w:p w:rsidR="000D20F4" w:rsidRPr="000D20F4" w:rsidRDefault="000D20F4" w:rsidP="000D20F4">
            <w:pPr>
              <w:pStyle w:val="StandaardSV"/>
              <w:jc w:val="right"/>
              <w:rPr>
                <w:color w:val="auto"/>
                <w:lang w:val="nl-BE"/>
              </w:rPr>
            </w:pPr>
            <w:proofErr w:type="spellStart"/>
            <w:r w:rsidRPr="000D20F4">
              <w:rPr>
                <w:b w:val="0"/>
                <w:bCs w:val="0"/>
                <w:color w:val="auto"/>
                <w:lang w:val="nl-BE"/>
              </w:rPr>
              <w:t>Dag</w:t>
            </w:r>
            <w:r>
              <w:rPr>
                <w:b w:val="0"/>
                <w:bCs w:val="0"/>
                <w:color w:val="auto"/>
                <w:lang w:val="nl-BE"/>
              </w:rPr>
              <w:t>-</w:t>
            </w:r>
            <w:r w:rsidRPr="000D20F4">
              <w:rPr>
                <w:b w:val="0"/>
                <w:bCs w:val="0"/>
                <w:color w:val="auto"/>
                <w:lang w:val="nl-BE"/>
              </w:rPr>
              <w:t>uitstappen</w:t>
            </w:r>
            <w:proofErr w:type="spellEnd"/>
          </w:p>
        </w:tc>
        <w:tc>
          <w:tcPr>
            <w:tcW w:w="1220" w:type="dxa"/>
            <w:noWrap/>
            <w:hideMark/>
          </w:tcPr>
          <w:p w:rsidR="000D20F4" w:rsidRPr="000D20F4" w:rsidRDefault="000D20F4" w:rsidP="000D20F4">
            <w:pPr>
              <w:pStyle w:val="StandaardSV"/>
              <w:jc w:val="right"/>
              <w:rPr>
                <w:color w:val="auto"/>
                <w:lang w:val="nl-BE"/>
              </w:rPr>
            </w:pPr>
            <w:r w:rsidRPr="000D20F4">
              <w:rPr>
                <w:b w:val="0"/>
                <w:bCs w:val="0"/>
                <w:color w:val="auto"/>
                <w:lang w:val="nl-BE"/>
              </w:rPr>
              <w:t>Groeps</w:t>
            </w:r>
            <w:r>
              <w:rPr>
                <w:b w:val="0"/>
                <w:bCs w:val="0"/>
                <w:color w:val="auto"/>
                <w:lang w:val="nl-BE"/>
              </w:rPr>
              <w:t>-</w:t>
            </w:r>
            <w:r w:rsidRPr="000D20F4">
              <w:rPr>
                <w:b w:val="0"/>
                <w:bCs w:val="0"/>
                <w:color w:val="auto"/>
                <w:lang w:val="nl-BE"/>
              </w:rPr>
              <w:t>verblijven</w:t>
            </w:r>
          </w:p>
        </w:tc>
        <w:tc>
          <w:tcPr>
            <w:tcW w:w="1639" w:type="dxa"/>
            <w:noWrap/>
            <w:hideMark/>
          </w:tcPr>
          <w:p w:rsidR="000D20F4" w:rsidRPr="000D20F4" w:rsidRDefault="000D20F4" w:rsidP="000D20F4">
            <w:pPr>
              <w:pStyle w:val="StandaardSV"/>
              <w:jc w:val="right"/>
              <w:rPr>
                <w:color w:val="auto"/>
                <w:lang w:val="nl-BE"/>
              </w:rPr>
            </w:pPr>
            <w:r w:rsidRPr="000D20F4">
              <w:rPr>
                <w:b w:val="0"/>
                <w:bCs w:val="0"/>
                <w:color w:val="auto"/>
                <w:lang w:val="nl-BE"/>
              </w:rPr>
              <w:t>Georganiseerde vakanties</w:t>
            </w:r>
          </w:p>
        </w:tc>
        <w:tc>
          <w:tcPr>
            <w:tcW w:w="1347" w:type="dxa"/>
            <w:noWrap/>
            <w:hideMark/>
          </w:tcPr>
          <w:p w:rsidR="000D20F4" w:rsidRPr="000D20F4" w:rsidRDefault="000D20F4" w:rsidP="000D20F4">
            <w:pPr>
              <w:pStyle w:val="StandaardSV"/>
              <w:jc w:val="right"/>
              <w:rPr>
                <w:color w:val="auto"/>
                <w:lang w:val="nl-BE"/>
              </w:rPr>
            </w:pPr>
            <w:r w:rsidRPr="000D20F4">
              <w:rPr>
                <w:b w:val="0"/>
                <w:bCs w:val="0"/>
                <w:color w:val="auto"/>
                <w:lang w:val="nl-BE"/>
              </w:rPr>
              <w:t>Individuele  vakanties</w:t>
            </w:r>
          </w:p>
        </w:tc>
        <w:tc>
          <w:tcPr>
            <w:tcW w:w="2456" w:type="dxa"/>
            <w:noWrap/>
            <w:hideMark/>
          </w:tcPr>
          <w:p w:rsidR="000D20F4" w:rsidRPr="000D20F4" w:rsidRDefault="000D20F4" w:rsidP="000D20F4">
            <w:pPr>
              <w:pStyle w:val="StandaardSV"/>
              <w:jc w:val="right"/>
              <w:rPr>
                <w:color w:val="auto"/>
                <w:lang w:val="nl-BE"/>
              </w:rPr>
            </w:pPr>
            <w:r>
              <w:rPr>
                <w:b w:val="0"/>
                <w:bCs w:val="0"/>
                <w:color w:val="auto"/>
                <w:lang w:val="nl-BE"/>
              </w:rPr>
              <w:t xml:space="preserve">Totaal </w:t>
            </w:r>
            <w:r w:rsidRPr="000D20F4">
              <w:rPr>
                <w:b w:val="0"/>
                <w:bCs w:val="0"/>
                <w:color w:val="auto"/>
                <w:lang w:val="nl-BE"/>
              </w:rPr>
              <w:t>aantal vakantiegangers</w:t>
            </w:r>
          </w:p>
        </w:tc>
      </w:tr>
      <w:tr w:rsidR="000D20F4" w:rsidRPr="000E09C7" w:rsidTr="002272D2">
        <w:trPr>
          <w:trHeight w:val="300"/>
        </w:trPr>
        <w:tc>
          <w:tcPr>
            <w:tcW w:w="813" w:type="dxa"/>
            <w:noWrap/>
            <w:hideMark/>
          </w:tcPr>
          <w:p w:rsidR="000D20F4" w:rsidRPr="000E09C7" w:rsidRDefault="000D20F4" w:rsidP="00D22B18">
            <w:pPr>
              <w:pStyle w:val="StandaardSV"/>
              <w:rPr>
                <w:lang w:val="nl-BE"/>
              </w:rPr>
            </w:pPr>
            <w:r w:rsidRPr="000E09C7">
              <w:rPr>
                <w:lang w:val="nl-BE"/>
              </w:rPr>
              <w:t>2001</w:t>
            </w:r>
          </w:p>
        </w:tc>
        <w:tc>
          <w:tcPr>
            <w:tcW w:w="1171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0</w:t>
            </w:r>
          </w:p>
        </w:tc>
        <w:tc>
          <w:tcPr>
            <w:tcW w:w="1220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0</w:t>
            </w:r>
          </w:p>
        </w:tc>
        <w:tc>
          <w:tcPr>
            <w:tcW w:w="1639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752</w:t>
            </w:r>
          </w:p>
        </w:tc>
        <w:tc>
          <w:tcPr>
            <w:tcW w:w="1347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0</w:t>
            </w:r>
          </w:p>
        </w:tc>
        <w:tc>
          <w:tcPr>
            <w:tcW w:w="2456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752</w:t>
            </w:r>
          </w:p>
        </w:tc>
      </w:tr>
      <w:tr w:rsidR="000D20F4" w:rsidRPr="000E09C7" w:rsidTr="002272D2">
        <w:trPr>
          <w:trHeight w:val="300"/>
        </w:trPr>
        <w:tc>
          <w:tcPr>
            <w:tcW w:w="813" w:type="dxa"/>
            <w:noWrap/>
            <w:hideMark/>
          </w:tcPr>
          <w:p w:rsidR="000D20F4" w:rsidRPr="000E09C7" w:rsidRDefault="000D20F4" w:rsidP="00D22B18">
            <w:pPr>
              <w:pStyle w:val="StandaardSV"/>
              <w:rPr>
                <w:lang w:val="nl-BE"/>
              </w:rPr>
            </w:pPr>
            <w:r w:rsidRPr="000E09C7">
              <w:rPr>
                <w:lang w:val="nl-BE"/>
              </w:rPr>
              <w:t>2002</w:t>
            </w:r>
          </w:p>
        </w:tc>
        <w:tc>
          <w:tcPr>
            <w:tcW w:w="1171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170</w:t>
            </w:r>
          </w:p>
        </w:tc>
        <w:tc>
          <w:tcPr>
            <w:tcW w:w="1220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107</w:t>
            </w:r>
          </w:p>
        </w:tc>
        <w:tc>
          <w:tcPr>
            <w:tcW w:w="1639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1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570</w:t>
            </w:r>
          </w:p>
        </w:tc>
        <w:tc>
          <w:tcPr>
            <w:tcW w:w="1347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412</w:t>
            </w:r>
          </w:p>
        </w:tc>
        <w:tc>
          <w:tcPr>
            <w:tcW w:w="2456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2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259</w:t>
            </w:r>
          </w:p>
        </w:tc>
      </w:tr>
      <w:tr w:rsidR="000D20F4" w:rsidRPr="000E09C7" w:rsidTr="002272D2">
        <w:trPr>
          <w:trHeight w:val="300"/>
        </w:trPr>
        <w:tc>
          <w:tcPr>
            <w:tcW w:w="813" w:type="dxa"/>
            <w:noWrap/>
            <w:hideMark/>
          </w:tcPr>
          <w:p w:rsidR="000D20F4" w:rsidRPr="000E09C7" w:rsidRDefault="000D20F4" w:rsidP="00D22B18">
            <w:pPr>
              <w:pStyle w:val="StandaardSV"/>
              <w:rPr>
                <w:lang w:val="nl-BE"/>
              </w:rPr>
            </w:pPr>
            <w:r w:rsidRPr="000E09C7">
              <w:rPr>
                <w:lang w:val="nl-BE"/>
              </w:rPr>
              <w:t>2003</w:t>
            </w:r>
          </w:p>
        </w:tc>
        <w:tc>
          <w:tcPr>
            <w:tcW w:w="1171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6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500</w:t>
            </w:r>
          </w:p>
        </w:tc>
        <w:tc>
          <w:tcPr>
            <w:tcW w:w="1220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718</w:t>
            </w:r>
          </w:p>
        </w:tc>
        <w:tc>
          <w:tcPr>
            <w:tcW w:w="1639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2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216</w:t>
            </w:r>
          </w:p>
        </w:tc>
        <w:tc>
          <w:tcPr>
            <w:tcW w:w="1347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526</w:t>
            </w:r>
          </w:p>
        </w:tc>
        <w:tc>
          <w:tcPr>
            <w:tcW w:w="2456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9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960</w:t>
            </w:r>
          </w:p>
        </w:tc>
      </w:tr>
      <w:tr w:rsidR="000D20F4" w:rsidRPr="000E09C7" w:rsidTr="002272D2">
        <w:trPr>
          <w:trHeight w:val="300"/>
        </w:trPr>
        <w:tc>
          <w:tcPr>
            <w:tcW w:w="813" w:type="dxa"/>
            <w:noWrap/>
            <w:hideMark/>
          </w:tcPr>
          <w:p w:rsidR="000D20F4" w:rsidRPr="000E09C7" w:rsidRDefault="000D20F4" w:rsidP="00D22B18">
            <w:pPr>
              <w:pStyle w:val="StandaardSV"/>
              <w:rPr>
                <w:lang w:val="nl-BE"/>
              </w:rPr>
            </w:pPr>
            <w:r w:rsidRPr="000E09C7">
              <w:rPr>
                <w:lang w:val="nl-BE"/>
              </w:rPr>
              <w:t>2004</w:t>
            </w:r>
          </w:p>
        </w:tc>
        <w:tc>
          <w:tcPr>
            <w:tcW w:w="1171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12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629</w:t>
            </w:r>
          </w:p>
        </w:tc>
        <w:tc>
          <w:tcPr>
            <w:tcW w:w="1220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503</w:t>
            </w:r>
          </w:p>
        </w:tc>
        <w:tc>
          <w:tcPr>
            <w:tcW w:w="1639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2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433</w:t>
            </w:r>
          </w:p>
        </w:tc>
        <w:tc>
          <w:tcPr>
            <w:tcW w:w="1347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774</w:t>
            </w:r>
          </w:p>
        </w:tc>
        <w:tc>
          <w:tcPr>
            <w:tcW w:w="2456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16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339</w:t>
            </w:r>
          </w:p>
        </w:tc>
      </w:tr>
      <w:tr w:rsidR="000D20F4" w:rsidRPr="000E09C7" w:rsidTr="002272D2">
        <w:trPr>
          <w:trHeight w:val="300"/>
        </w:trPr>
        <w:tc>
          <w:tcPr>
            <w:tcW w:w="813" w:type="dxa"/>
            <w:noWrap/>
            <w:hideMark/>
          </w:tcPr>
          <w:p w:rsidR="000D20F4" w:rsidRPr="000E09C7" w:rsidRDefault="000D20F4" w:rsidP="00D22B18">
            <w:pPr>
              <w:pStyle w:val="StandaardSV"/>
              <w:rPr>
                <w:lang w:val="nl-BE"/>
              </w:rPr>
            </w:pPr>
            <w:r w:rsidRPr="000E09C7">
              <w:rPr>
                <w:lang w:val="nl-BE"/>
              </w:rPr>
              <w:t>2005</w:t>
            </w:r>
          </w:p>
        </w:tc>
        <w:tc>
          <w:tcPr>
            <w:tcW w:w="1171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14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865</w:t>
            </w:r>
          </w:p>
        </w:tc>
        <w:tc>
          <w:tcPr>
            <w:tcW w:w="1220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1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238</w:t>
            </w:r>
          </w:p>
        </w:tc>
        <w:tc>
          <w:tcPr>
            <w:tcW w:w="1639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3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183</w:t>
            </w:r>
          </w:p>
        </w:tc>
        <w:tc>
          <w:tcPr>
            <w:tcW w:w="1347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1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567</w:t>
            </w:r>
          </w:p>
        </w:tc>
        <w:tc>
          <w:tcPr>
            <w:tcW w:w="2456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20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853</w:t>
            </w:r>
          </w:p>
        </w:tc>
      </w:tr>
      <w:tr w:rsidR="000D20F4" w:rsidRPr="000E09C7" w:rsidTr="002272D2">
        <w:trPr>
          <w:trHeight w:val="300"/>
        </w:trPr>
        <w:tc>
          <w:tcPr>
            <w:tcW w:w="813" w:type="dxa"/>
            <w:noWrap/>
            <w:hideMark/>
          </w:tcPr>
          <w:p w:rsidR="000D20F4" w:rsidRPr="000E09C7" w:rsidRDefault="000D20F4" w:rsidP="00D22B18">
            <w:pPr>
              <w:pStyle w:val="StandaardSV"/>
              <w:rPr>
                <w:lang w:val="nl-BE"/>
              </w:rPr>
            </w:pPr>
            <w:r w:rsidRPr="000E09C7">
              <w:rPr>
                <w:lang w:val="nl-BE"/>
              </w:rPr>
              <w:t>2006</w:t>
            </w:r>
          </w:p>
        </w:tc>
        <w:tc>
          <w:tcPr>
            <w:tcW w:w="1171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13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906</w:t>
            </w:r>
          </w:p>
        </w:tc>
        <w:tc>
          <w:tcPr>
            <w:tcW w:w="1220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1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341</w:t>
            </w:r>
          </w:p>
        </w:tc>
        <w:tc>
          <w:tcPr>
            <w:tcW w:w="1639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3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478</w:t>
            </w:r>
          </w:p>
        </w:tc>
        <w:tc>
          <w:tcPr>
            <w:tcW w:w="1347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1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887</w:t>
            </w:r>
          </w:p>
        </w:tc>
        <w:tc>
          <w:tcPr>
            <w:tcW w:w="2456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20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612</w:t>
            </w:r>
          </w:p>
        </w:tc>
      </w:tr>
      <w:tr w:rsidR="000D20F4" w:rsidRPr="000E09C7" w:rsidTr="002272D2">
        <w:trPr>
          <w:trHeight w:val="300"/>
        </w:trPr>
        <w:tc>
          <w:tcPr>
            <w:tcW w:w="813" w:type="dxa"/>
            <w:noWrap/>
            <w:hideMark/>
          </w:tcPr>
          <w:p w:rsidR="000D20F4" w:rsidRPr="000E09C7" w:rsidRDefault="000D20F4" w:rsidP="00D22B18">
            <w:pPr>
              <w:pStyle w:val="StandaardSV"/>
              <w:rPr>
                <w:lang w:val="nl-BE"/>
              </w:rPr>
            </w:pPr>
            <w:r w:rsidRPr="000E09C7">
              <w:rPr>
                <w:lang w:val="nl-BE"/>
              </w:rPr>
              <w:t>2007</w:t>
            </w:r>
          </w:p>
        </w:tc>
        <w:tc>
          <w:tcPr>
            <w:tcW w:w="1171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44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523</w:t>
            </w:r>
          </w:p>
        </w:tc>
        <w:tc>
          <w:tcPr>
            <w:tcW w:w="1220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1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693</w:t>
            </w:r>
          </w:p>
        </w:tc>
        <w:tc>
          <w:tcPr>
            <w:tcW w:w="1639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2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854</w:t>
            </w:r>
          </w:p>
        </w:tc>
        <w:tc>
          <w:tcPr>
            <w:tcW w:w="1347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1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910</w:t>
            </w:r>
          </w:p>
        </w:tc>
        <w:tc>
          <w:tcPr>
            <w:tcW w:w="2456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50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980</w:t>
            </w:r>
          </w:p>
        </w:tc>
      </w:tr>
      <w:tr w:rsidR="000D20F4" w:rsidRPr="000E09C7" w:rsidTr="002272D2">
        <w:trPr>
          <w:trHeight w:val="300"/>
        </w:trPr>
        <w:tc>
          <w:tcPr>
            <w:tcW w:w="813" w:type="dxa"/>
            <w:noWrap/>
            <w:hideMark/>
          </w:tcPr>
          <w:p w:rsidR="000D20F4" w:rsidRPr="000E09C7" w:rsidRDefault="000D20F4" w:rsidP="00D22B18">
            <w:pPr>
              <w:pStyle w:val="StandaardSV"/>
              <w:rPr>
                <w:lang w:val="nl-BE"/>
              </w:rPr>
            </w:pPr>
            <w:r w:rsidRPr="000E09C7">
              <w:rPr>
                <w:lang w:val="nl-BE"/>
              </w:rPr>
              <w:t>2008</w:t>
            </w:r>
          </w:p>
        </w:tc>
        <w:tc>
          <w:tcPr>
            <w:tcW w:w="1171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65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014</w:t>
            </w:r>
          </w:p>
        </w:tc>
        <w:tc>
          <w:tcPr>
            <w:tcW w:w="1220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1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426</w:t>
            </w:r>
          </w:p>
        </w:tc>
        <w:tc>
          <w:tcPr>
            <w:tcW w:w="1639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3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994</w:t>
            </w:r>
          </w:p>
        </w:tc>
        <w:tc>
          <w:tcPr>
            <w:tcW w:w="1347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2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478</w:t>
            </w:r>
          </w:p>
        </w:tc>
        <w:tc>
          <w:tcPr>
            <w:tcW w:w="2456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72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912</w:t>
            </w:r>
          </w:p>
        </w:tc>
      </w:tr>
      <w:tr w:rsidR="000D20F4" w:rsidRPr="000E09C7" w:rsidTr="002272D2">
        <w:trPr>
          <w:trHeight w:val="300"/>
        </w:trPr>
        <w:tc>
          <w:tcPr>
            <w:tcW w:w="813" w:type="dxa"/>
            <w:noWrap/>
            <w:hideMark/>
          </w:tcPr>
          <w:p w:rsidR="000D20F4" w:rsidRPr="000E09C7" w:rsidRDefault="000D20F4" w:rsidP="00D22B18">
            <w:pPr>
              <w:pStyle w:val="StandaardSV"/>
              <w:rPr>
                <w:lang w:val="nl-BE"/>
              </w:rPr>
            </w:pPr>
            <w:r w:rsidRPr="000E09C7">
              <w:rPr>
                <w:lang w:val="nl-BE"/>
              </w:rPr>
              <w:t>2009</w:t>
            </w:r>
          </w:p>
        </w:tc>
        <w:tc>
          <w:tcPr>
            <w:tcW w:w="1171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77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715</w:t>
            </w:r>
          </w:p>
        </w:tc>
        <w:tc>
          <w:tcPr>
            <w:tcW w:w="1220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2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661</w:t>
            </w:r>
          </w:p>
        </w:tc>
        <w:tc>
          <w:tcPr>
            <w:tcW w:w="1639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4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207</w:t>
            </w:r>
          </w:p>
        </w:tc>
        <w:tc>
          <w:tcPr>
            <w:tcW w:w="1347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2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702</w:t>
            </w:r>
          </w:p>
        </w:tc>
        <w:tc>
          <w:tcPr>
            <w:tcW w:w="2456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87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285</w:t>
            </w:r>
          </w:p>
        </w:tc>
      </w:tr>
      <w:tr w:rsidR="000D20F4" w:rsidRPr="000E09C7" w:rsidTr="002272D2">
        <w:trPr>
          <w:trHeight w:val="300"/>
        </w:trPr>
        <w:tc>
          <w:tcPr>
            <w:tcW w:w="813" w:type="dxa"/>
            <w:noWrap/>
            <w:hideMark/>
          </w:tcPr>
          <w:p w:rsidR="000D20F4" w:rsidRPr="000E09C7" w:rsidRDefault="000D20F4" w:rsidP="00D22B18">
            <w:pPr>
              <w:pStyle w:val="StandaardSV"/>
              <w:rPr>
                <w:lang w:val="nl-BE"/>
              </w:rPr>
            </w:pPr>
            <w:r w:rsidRPr="000E09C7">
              <w:rPr>
                <w:lang w:val="nl-BE"/>
              </w:rPr>
              <w:t>2010</w:t>
            </w:r>
          </w:p>
        </w:tc>
        <w:tc>
          <w:tcPr>
            <w:tcW w:w="1171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84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906</w:t>
            </w:r>
          </w:p>
        </w:tc>
        <w:tc>
          <w:tcPr>
            <w:tcW w:w="1220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5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680</w:t>
            </w:r>
          </w:p>
        </w:tc>
        <w:tc>
          <w:tcPr>
            <w:tcW w:w="1639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4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339</w:t>
            </w:r>
          </w:p>
        </w:tc>
        <w:tc>
          <w:tcPr>
            <w:tcW w:w="1347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3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055</w:t>
            </w:r>
          </w:p>
        </w:tc>
        <w:tc>
          <w:tcPr>
            <w:tcW w:w="2456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97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980</w:t>
            </w:r>
          </w:p>
        </w:tc>
      </w:tr>
      <w:tr w:rsidR="000D20F4" w:rsidRPr="000E09C7" w:rsidTr="002272D2">
        <w:trPr>
          <w:trHeight w:val="300"/>
        </w:trPr>
        <w:tc>
          <w:tcPr>
            <w:tcW w:w="813" w:type="dxa"/>
            <w:noWrap/>
            <w:hideMark/>
          </w:tcPr>
          <w:p w:rsidR="000D20F4" w:rsidRPr="000E09C7" w:rsidRDefault="000D20F4" w:rsidP="00D22B18">
            <w:pPr>
              <w:pStyle w:val="StandaardSV"/>
              <w:rPr>
                <w:lang w:val="nl-BE"/>
              </w:rPr>
            </w:pPr>
            <w:r w:rsidRPr="000E09C7">
              <w:rPr>
                <w:lang w:val="nl-BE"/>
              </w:rPr>
              <w:t>2011</w:t>
            </w:r>
          </w:p>
        </w:tc>
        <w:tc>
          <w:tcPr>
            <w:tcW w:w="1171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85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115</w:t>
            </w:r>
          </w:p>
        </w:tc>
        <w:tc>
          <w:tcPr>
            <w:tcW w:w="1220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5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674</w:t>
            </w:r>
          </w:p>
        </w:tc>
        <w:tc>
          <w:tcPr>
            <w:tcW w:w="1639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5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3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995</w:t>
            </w:r>
          </w:p>
        </w:tc>
        <w:tc>
          <w:tcPr>
            <w:tcW w:w="2456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99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884</w:t>
            </w:r>
          </w:p>
        </w:tc>
      </w:tr>
      <w:tr w:rsidR="000D20F4" w:rsidRPr="000E09C7" w:rsidTr="002272D2">
        <w:trPr>
          <w:trHeight w:val="300"/>
        </w:trPr>
        <w:tc>
          <w:tcPr>
            <w:tcW w:w="813" w:type="dxa"/>
            <w:noWrap/>
            <w:hideMark/>
          </w:tcPr>
          <w:p w:rsidR="000D20F4" w:rsidRPr="000E09C7" w:rsidRDefault="000D20F4" w:rsidP="00D22B18">
            <w:pPr>
              <w:pStyle w:val="StandaardSV"/>
              <w:rPr>
                <w:lang w:val="nl-BE"/>
              </w:rPr>
            </w:pPr>
            <w:r w:rsidRPr="000E09C7">
              <w:rPr>
                <w:lang w:val="nl-BE"/>
              </w:rPr>
              <w:t>2012</w:t>
            </w:r>
          </w:p>
        </w:tc>
        <w:tc>
          <w:tcPr>
            <w:tcW w:w="1171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89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410</w:t>
            </w:r>
          </w:p>
        </w:tc>
        <w:tc>
          <w:tcPr>
            <w:tcW w:w="1220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5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703</w:t>
            </w:r>
          </w:p>
        </w:tc>
        <w:tc>
          <w:tcPr>
            <w:tcW w:w="1639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5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305</w:t>
            </w:r>
          </w:p>
        </w:tc>
        <w:tc>
          <w:tcPr>
            <w:tcW w:w="1347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4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513</w:t>
            </w:r>
          </w:p>
        </w:tc>
        <w:tc>
          <w:tcPr>
            <w:tcW w:w="2456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lang w:val="nl-BE"/>
              </w:rPr>
              <w:t>104</w:t>
            </w:r>
            <w:r w:rsidR="0070700A">
              <w:rPr>
                <w:lang w:val="nl-BE"/>
              </w:rPr>
              <w:t>.</w:t>
            </w:r>
            <w:r w:rsidRPr="000E09C7">
              <w:rPr>
                <w:lang w:val="nl-BE"/>
              </w:rPr>
              <w:t>931</w:t>
            </w:r>
          </w:p>
        </w:tc>
      </w:tr>
      <w:tr w:rsidR="000D20F4" w:rsidRPr="000E09C7" w:rsidTr="002272D2">
        <w:trPr>
          <w:trHeight w:val="300"/>
        </w:trPr>
        <w:tc>
          <w:tcPr>
            <w:tcW w:w="813" w:type="dxa"/>
            <w:noWrap/>
            <w:hideMark/>
          </w:tcPr>
          <w:p w:rsidR="000D20F4" w:rsidRPr="000E09C7" w:rsidRDefault="000D20F4" w:rsidP="00D22B18">
            <w:pPr>
              <w:pStyle w:val="StandaardSV"/>
              <w:rPr>
                <w:lang w:val="nl-BE"/>
              </w:rPr>
            </w:pPr>
            <w:r w:rsidRPr="000E09C7">
              <w:rPr>
                <w:bCs/>
                <w:lang w:val="nl-BE"/>
              </w:rPr>
              <w:t>2013</w:t>
            </w:r>
          </w:p>
        </w:tc>
        <w:tc>
          <w:tcPr>
            <w:tcW w:w="1171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bCs/>
                <w:lang w:val="nl-BE"/>
              </w:rPr>
              <w:t>95</w:t>
            </w:r>
            <w:r w:rsidR="0070700A">
              <w:rPr>
                <w:bCs/>
                <w:lang w:val="nl-BE"/>
              </w:rPr>
              <w:t>.</w:t>
            </w:r>
            <w:r w:rsidRPr="000E09C7">
              <w:rPr>
                <w:bCs/>
                <w:lang w:val="nl-BE"/>
              </w:rPr>
              <w:t>947</w:t>
            </w:r>
          </w:p>
        </w:tc>
        <w:tc>
          <w:tcPr>
            <w:tcW w:w="1220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bCs/>
                <w:lang w:val="nl-BE"/>
              </w:rPr>
              <w:t>4</w:t>
            </w:r>
            <w:r w:rsidR="0070700A">
              <w:rPr>
                <w:bCs/>
                <w:lang w:val="nl-BE"/>
              </w:rPr>
              <w:t>.</w:t>
            </w:r>
            <w:r w:rsidRPr="000E09C7">
              <w:rPr>
                <w:bCs/>
                <w:lang w:val="nl-BE"/>
              </w:rPr>
              <w:t>327</w:t>
            </w:r>
          </w:p>
        </w:tc>
        <w:tc>
          <w:tcPr>
            <w:tcW w:w="1639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bCs/>
                <w:lang w:val="nl-BE"/>
              </w:rPr>
              <w:t>6</w:t>
            </w:r>
            <w:r w:rsidR="0070700A">
              <w:rPr>
                <w:bCs/>
                <w:lang w:val="nl-BE"/>
              </w:rPr>
              <w:t>.</w:t>
            </w:r>
            <w:r w:rsidRPr="000E09C7">
              <w:rPr>
                <w:bCs/>
                <w:lang w:val="nl-BE"/>
              </w:rPr>
              <w:t>173</w:t>
            </w:r>
          </w:p>
        </w:tc>
        <w:tc>
          <w:tcPr>
            <w:tcW w:w="1347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bCs/>
                <w:lang w:val="nl-BE"/>
              </w:rPr>
              <w:t>4</w:t>
            </w:r>
            <w:r w:rsidR="0070700A">
              <w:rPr>
                <w:bCs/>
                <w:lang w:val="nl-BE"/>
              </w:rPr>
              <w:t>.</w:t>
            </w:r>
            <w:r w:rsidRPr="000E09C7">
              <w:rPr>
                <w:bCs/>
                <w:lang w:val="nl-BE"/>
              </w:rPr>
              <w:t>894</w:t>
            </w:r>
          </w:p>
        </w:tc>
        <w:tc>
          <w:tcPr>
            <w:tcW w:w="2456" w:type="dxa"/>
            <w:noWrap/>
            <w:hideMark/>
          </w:tcPr>
          <w:p w:rsidR="000D20F4" w:rsidRPr="000E09C7" w:rsidRDefault="000D20F4" w:rsidP="000D20F4">
            <w:pPr>
              <w:pStyle w:val="StandaardSV"/>
              <w:jc w:val="right"/>
              <w:rPr>
                <w:lang w:val="nl-BE"/>
              </w:rPr>
            </w:pPr>
            <w:r w:rsidRPr="000E09C7">
              <w:rPr>
                <w:bCs/>
                <w:lang w:val="nl-BE"/>
              </w:rPr>
              <w:t>111</w:t>
            </w:r>
            <w:r w:rsidR="0070700A">
              <w:rPr>
                <w:bCs/>
                <w:lang w:val="nl-BE"/>
              </w:rPr>
              <w:t>.</w:t>
            </w:r>
            <w:r w:rsidRPr="000E09C7">
              <w:rPr>
                <w:bCs/>
                <w:lang w:val="nl-BE"/>
              </w:rPr>
              <w:t>341</w:t>
            </w:r>
          </w:p>
        </w:tc>
      </w:tr>
    </w:tbl>
    <w:p w:rsidR="000D20F4" w:rsidRDefault="000D20F4" w:rsidP="000D20F4">
      <w:pPr>
        <w:pStyle w:val="Lijstalinea"/>
        <w:ind w:left="360"/>
        <w:contextualSpacing/>
      </w:pPr>
    </w:p>
    <w:p w:rsidR="000D20F4" w:rsidRDefault="004646D2" w:rsidP="002272D2">
      <w:pPr>
        <w:pStyle w:val="Lijstalinea"/>
        <w:numPr>
          <w:ilvl w:val="0"/>
          <w:numId w:val="28"/>
        </w:numPr>
        <w:contextualSpacing/>
        <w:jc w:val="both"/>
      </w:pPr>
      <w:r>
        <w:t xml:space="preserve">Toerisme Vlaanderen verzamelt geen gegevens over de bestemming van de daguitstappen. Op de website </w:t>
      </w:r>
      <w:hyperlink r:id="rId9" w:history="1">
        <w:r w:rsidRPr="00B205EF">
          <w:rPr>
            <w:rStyle w:val="Hyperlink"/>
          </w:rPr>
          <w:t>www.vaka</w:t>
        </w:r>
        <w:bookmarkStart w:id="6" w:name="_GoBack"/>
        <w:bookmarkEnd w:id="6"/>
        <w:r w:rsidRPr="00B205EF">
          <w:rPr>
            <w:rStyle w:val="Hyperlink"/>
          </w:rPr>
          <w:t>ntieparticipatie.be</w:t>
        </w:r>
      </w:hyperlink>
      <w:r>
        <w:t xml:space="preserve"> staat het volledige aanbod van vakantiemogelijkheden.</w:t>
      </w:r>
    </w:p>
    <w:p w:rsidR="004646D2" w:rsidRDefault="004646D2" w:rsidP="002272D2">
      <w:pPr>
        <w:pStyle w:val="Lijstalinea"/>
        <w:ind w:left="360"/>
        <w:contextualSpacing/>
        <w:jc w:val="both"/>
      </w:pPr>
    </w:p>
    <w:p w:rsidR="004646D2" w:rsidRDefault="004646D2" w:rsidP="002272D2">
      <w:pPr>
        <w:pStyle w:val="Lijstalinea"/>
        <w:numPr>
          <w:ilvl w:val="0"/>
          <w:numId w:val="28"/>
        </w:numPr>
        <w:contextualSpacing/>
        <w:jc w:val="both"/>
      </w:pPr>
      <w:r>
        <w:t>Ik verwijs naar de tabel in het antwoord op vraag 1.</w:t>
      </w:r>
    </w:p>
    <w:p w:rsidR="004646D2" w:rsidRDefault="004646D2" w:rsidP="002272D2">
      <w:pPr>
        <w:pStyle w:val="Lijstalinea"/>
        <w:ind w:left="360"/>
        <w:contextualSpacing/>
        <w:jc w:val="both"/>
      </w:pPr>
    </w:p>
    <w:p w:rsidR="004646D2" w:rsidRDefault="004646D2" w:rsidP="002272D2">
      <w:pPr>
        <w:pStyle w:val="Lijstalinea"/>
        <w:numPr>
          <w:ilvl w:val="0"/>
          <w:numId w:val="28"/>
        </w:numPr>
        <w:contextualSpacing/>
        <w:jc w:val="both"/>
      </w:pPr>
      <w:r>
        <w:t xml:space="preserve">Toerisme Vlaanderen verzamelt geen gegevens over de bestemming van de meerdaagse vakanties. Op de website </w:t>
      </w:r>
      <w:hyperlink r:id="rId10" w:history="1">
        <w:r w:rsidRPr="00B205EF">
          <w:rPr>
            <w:rStyle w:val="Hyperlink"/>
          </w:rPr>
          <w:t>www.vakantieparticipatie.be</w:t>
        </w:r>
      </w:hyperlink>
      <w:r>
        <w:t xml:space="preserve"> staat het volledige aanbod van vakantiemogelijkheden.</w:t>
      </w:r>
    </w:p>
    <w:p w:rsidR="004646D2" w:rsidRDefault="004646D2" w:rsidP="002272D2">
      <w:pPr>
        <w:pStyle w:val="Lijstalinea"/>
        <w:ind w:left="360"/>
        <w:contextualSpacing/>
        <w:jc w:val="both"/>
      </w:pPr>
    </w:p>
    <w:p w:rsidR="004646D2" w:rsidRPr="00220F3E" w:rsidRDefault="004646D2" w:rsidP="002272D2">
      <w:pPr>
        <w:pStyle w:val="Lijstalinea"/>
        <w:numPr>
          <w:ilvl w:val="0"/>
          <w:numId w:val="28"/>
        </w:numPr>
        <w:contextualSpacing/>
        <w:jc w:val="both"/>
      </w:pPr>
      <w:r w:rsidRPr="008D1BFD">
        <w:t xml:space="preserve">Het aantal personen in armoede dat jaarlijks </w:t>
      </w:r>
      <w:r>
        <w:t xml:space="preserve">door het Steunpunt Vakantieparticipatie </w:t>
      </w:r>
      <w:r w:rsidRPr="008D1BFD">
        <w:t>bereikt wordt, bli</w:t>
      </w:r>
      <w:r>
        <w:t>jft stijgen. He</w:t>
      </w:r>
      <w:r w:rsidRPr="008D1BFD">
        <w:t xml:space="preserve">t is een  evolutie die </w:t>
      </w:r>
      <w:r>
        <w:t xml:space="preserve">hopelijk in </w:t>
      </w:r>
      <w:r w:rsidRPr="008D1BFD">
        <w:t xml:space="preserve">de volgende jaren </w:t>
      </w:r>
      <w:r>
        <w:t>kan</w:t>
      </w:r>
      <w:r w:rsidRPr="008D1BFD">
        <w:t xml:space="preserve"> verdergezet </w:t>
      </w:r>
      <w:r>
        <w:t>worden</w:t>
      </w:r>
      <w:r w:rsidRPr="008D1BFD">
        <w:t>. De kracht van het Steunpunt Vakantieparticipatie zit in de samenwerking,</w:t>
      </w:r>
      <w:r w:rsidR="00987EFC">
        <w:t xml:space="preserve"> het netwerk van vele partners, overheid, sociale organisaties, de privé sector en vrijwilligers. </w:t>
      </w:r>
      <w:r>
        <w:t>Dank zij deze gecoördineerde aanpak krijgt d</w:t>
      </w:r>
      <w:r w:rsidRPr="008D1BFD">
        <w:t xml:space="preserve">e vakantieganger </w:t>
      </w:r>
      <w:r>
        <w:t xml:space="preserve">een kans op </w:t>
      </w:r>
      <w:r w:rsidRPr="008D1BFD">
        <w:t>deeln</w:t>
      </w:r>
      <w:r>
        <w:t>ame aan vakantie.</w:t>
      </w:r>
      <w:r w:rsidRPr="008D1BFD">
        <w:t xml:space="preserve"> </w:t>
      </w:r>
    </w:p>
    <w:sectPr w:rsidR="004646D2" w:rsidRPr="00220F3E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0F" w:rsidRDefault="006B1E0F">
      <w:r>
        <w:separator/>
      </w:r>
    </w:p>
  </w:endnote>
  <w:endnote w:type="continuationSeparator" w:id="0">
    <w:p w:rsidR="006B1E0F" w:rsidRDefault="006B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ight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0F" w:rsidRDefault="006B1E0F">
      <w:r>
        <w:separator/>
      </w:r>
    </w:p>
  </w:footnote>
  <w:footnote w:type="continuationSeparator" w:id="0">
    <w:p w:rsidR="006B1E0F" w:rsidRDefault="006B1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8C848F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93448B"/>
    <w:multiLevelType w:val="hybridMultilevel"/>
    <w:tmpl w:val="A022E918"/>
    <w:lvl w:ilvl="0" w:tplc="77068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A58B1"/>
    <w:multiLevelType w:val="hybridMultilevel"/>
    <w:tmpl w:val="B2E44C2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CD7216"/>
    <w:multiLevelType w:val="hybridMultilevel"/>
    <w:tmpl w:val="3760CA72"/>
    <w:lvl w:ilvl="0" w:tplc="08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2E25DB"/>
    <w:multiLevelType w:val="hybridMultilevel"/>
    <w:tmpl w:val="0AFEFF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44477"/>
    <w:multiLevelType w:val="hybridMultilevel"/>
    <w:tmpl w:val="9722708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9A679C"/>
    <w:multiLevelType w:val="hybridMultilevel"/>
    <w:tmpl w:val="2A0EACC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EC7C9A"/>
    <w:multiLevelType w:val="hybridMultilevel"/>
    <w:tmpl w:val="068C98D6"/>
    <w:lvl w:ilvl="0" w:tplc="9F365A14">
      <w:start w:val="1"/>
      <w:numFmt w:val="bullet"/>
      <w:pStyle w:val="OpmaakprofielKop3ArialNarrow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9F223A"/>
    <w:multiLevelType w:val="hybridMultilevel"/>
    <w:tmpl w:val="D17890A2"/>
    <w:lvl w:ilvl="0" w:tplc="885E1FCA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9CC357D"/>
    <w:multiLevelType w:val="hybridMultilevel"/>
    <w:tmpl w:val="527251E4"/>
    <w:lvl w:ilvl="0" w:tplc="77068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B3AC0"/>
    <w:multiLevelType w:val="hybridMultilevel"/>
    <w:tmpl w:val="389662D0"/>
    <w:lvl w:ilvl="0" w:tplc="4D10C3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D452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3CA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CA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C49E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4CF4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863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004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A5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B4181F"/>
    <w:multiLevelType w:val="hybridMultilevel"/>
    <w:tmpl w:val="F1CCC9AE"/>
    <w:lvl w:ilvl="0" w:tplc="F132B7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A3A1E"/>
    <w:multiLevelType w:val="hybridMultilevel"/>
    <w:tmpl w:val="19F403A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00028B"/>
    <w:multiLevelType w:val="hybridMultilevel"/>
    <w:tmpl w:val="6F160AA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54A87"/>
    <w:multiLevelType w:val="hybridMultilevel"/>
    <w:tmpl w:val="B830ABFE"/>
    <w:lvl w:ilvl="0" w:tplc="770685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5F3D25"/>
    <w:multiLevelType w:val="hybridMultilevel"/>
    <w:tmpl w:val="BF801D66"/>
    <w:lvl w:ilvl="0" w:tplc="936643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C83866"/>
    <w:multiLevelType w:val="hybridMultilevel"/>
    <w:tmpl w:val="E54664CC"/>
    <w:lvl w:ilvl="0" w:tplc="48ECE9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182E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649E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A17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FE25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8CA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091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48FB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AC5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C87BA8"/>
    <w:multiLevelType w:val="hybridMultilevel"/>
    <w:tmpl w:val="705CEDAC"/>
    <w:lvl w:ilvl="0" w:tplc="93C2EA2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A075B9"/>
    <w:multiLevelType w:val="hybridMultilevel"/>
    <w:tmpl w:val="54F493D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6273AD"/>
    <w:multiLevelType w:val="hybridMultilevel"/>
    <w:tmpl w:val="F8440F5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8A67D8"/>
    <w:multiLevelType w:val="hybridMultilevel"/>
    <w:tmpl w:val="DB70E2C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1D3F01"/>
    <w:multiLevelType w:val="hybridMultilevel"/>
    <w:tmpl w:val="A9B8985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F078A"/>
    <w:multiLevelType w:val="hybridMultilevel"/>
    <w:tmpl w:val="D5546F5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4158DF"/>
    <w:multiLevelType w:val="hybridMultilevel"/>
    <w:tmpl w:val="5FB40C60"/>
    <w:lvl w:ilvl="0" w:tplc="300EE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36D7F"/>
    <w:multiLevelType w:val="hybridMultilevel"/>
    <w:tmpl w:val="C750BE5A"/>
    <w:lvl w:ilvl="0" w:tplc="92C66118">
      <w:start w:val="1"/>
      <w:numFmt w:val="decimal"/>
      <w:lvlText w:val="%1°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884832"/>
    <w:multiLevelType w:val="hybridMultilevel"/>
    <w:tmpl w:val="C8EED05C"/>
    <w:lvl w:ilvl="0" w:tplc="FC52A03E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9F25DF"/>
    <w:multiLevelType w:val="hybridMultilevel"/>
    <w:tmpl w:val="07D0141C"/>
    <w:lvl w:ilvl="0" w:tplc="77068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A03B4"/>
    <w:multiLevelType w:val="hybridMultilevel"/>
    <w:tmpl w:val="996400B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5"/>
  </w:num>
  <w:num w:numId="5">
    <w:abstractNumId w:val="24"/>
  </w:num>
  <w:num w:numId="6">
    <w:abstractNumId w:val="6"/>
  </w:num>
  <w:num w:numId="7">
    <w:abstractNumId w:val="27"/>
  </w:num>
  <w:num w:numId="8">
    <w:abstractNumId w:val="11"/>
  </w:num>
  <w:num w:numId="9">
    <w:abstractNumId w:val="15"/>
  </w:num>
  <w:num w:numId="10">
    <w:abstractNumId w:val="12"/>
  </w:num>
  <w:num w:numId="11">
    <w:abstractNumId w:val="21"/>
  </w:num>
  <w:num w:numId="12">
    <w:abstractNumId w:val="16"/>
  </w:num>
  <w:num w:numId="13">
    <w:abstractNumId w:val="10"/>
  </w:num>
  <w:num w:numId="14">
    <w:abstractNumId w:val="8"/>
  </w:num>
  <w:num w:numId="15">
    <w:abstractNumId w:val="18"/>
  </w:num>
  <w:num w:numId="16">
    <w:abstractNumId w:val="17"/>
  </w:num>
  <w:num w:numId="17">
    <w:abstractNumId w:val="22"/>
  </w:num>
  <w:num w:numId="18">
    <w:abstractNumId w:val="9"/>
  </w:num>
  <w:num w:numId="19">
    <w:abstractNumId w:val="19"/>
  </w:num>
  <w:num w:numId="20">
    <w:abstractNumId w:val="4"/>
  </w:num>
  <w:num w:numId="21">
    <w:abstractNumId w:val="26"/>
  </w:num>
  <w:num w:numId="22">
    <w:abstractNumId w:val="2"/>
  </w:num>
  <w:num w:numId="23">
    <w:abstractNumId w:val="20"/>
  </w:num>
  <w:num w:numId="24">
    <w:abstractNumId w:val="13"/>
  </w:num>
  <w:num w:numId="25">
    <w:abstractNumId w:val="1"/>
  </w:num>
  <w:num w:numId="26">
    <w:abstractNumId w:val="23"/>
  </w:num>
  <w:num w:numId="27">
    <w:abstractNumId w:val="14"/>
  </w:num>
  <w:num w:numId="2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6353"/>
    <w:rsid w:val="00013076"/>
    <w:rsid w:val="0001490E"/>
    <w:rsid w:val="000243B2"/>
    <w:rsid w:val="00031C40"/>
    <w:rsid w:val="000403BF"/>
    <w:rsid w:val="00046095"/>
    <w:rsid w:val="00050A89"/>
    <w:rsid w:val="000526E0"/>
    <w:rsid w:val="00054C7F"/>
    <w:rsid w:val="00063BC5"/>
    <w:rsid w:val="00064BF6"/>
    <w:rsid w:val="00066FD0"/>
    <w:rsid w:val="00072C16"/>
    <w:rsid w:val="00073569"/>
    <w:rsid w:val="00074DF9"/>
    <w:rsid w:val="00087471"/>
    <w:rsid w:val="000976E9"/>
    <w:rsid w:val="000A579D"/>
    <w:rsid w:val="000C4E8C"/>
    <w:rsid w:val="000C7BAE"/>
    <w:rsid w:val="000D113C"/>
    <w:rsid w:val="000D20F4"/>
    <w:rsid w:val="000E2A2E"/>
    <w:rsid w:val="000F0ED4"/>
    <w:rsid w:val="000F176C"/>
    <w:rsid w:val="000F3532"/>
    <w:rsid w:val="000F5DD0"/>
    <w:rsid w:val="00107AD3"/>
    <w:rsid w:val="0011557C"/>
    <w:rsid w:val="00121759"/>
    <w:rsid w:val="001239CF"/>
    <w:rsid w:val="0012633F"/>
    <w:rsid w:val="001317C2"/>
    <w:rsid w:val="001375EF"/>
    <w:rsid w:val="0014090E"/>
    <w:rsid w:val="0014199E"/>
    <w:rsid w:val="00143066"/>
    <w:rsid w:val="001537E8"/>
    <w:rsid w:val="00165934"/>
    <w:rsid w:val="001730A8"/>
    <w:rsid w:val="0018318D"/>
    <w:rsid w:val="001841BA"/>
    <w:rsid w:val="0019567F"/>
    <w:rsid w:val="001B61ED"/>
    <w:rsid w:val="001B76AC"/>
    <w:rsid w:val="001C55D2"/>
    <w:rsid w:val="001D784D"/>
    <w:rsid w:val="001E5A78"/>
    <w:rsid w:val="001E63BB"/>
    <w:rsid w:val="001E6B0E"/>
    <w:rsid w:val="00205DE3"/>
    <w:rsid w:val="002104FD"/>
    <w:rsid w:val="00210C07"/>
    <w:rsid w:val="00220F3E"/>
    <w:rsid w:val="00221D96"/>
    <w:rsid w:val="0022278D"/>
    <w:rsid w:val="00224495"/>
    <w:rsid w:val="00225012"/>
    <w:rsid w:val="00227023"/>
    <w:rsid w:val="002272D2"/>
    <w:rsid w:val="002279CE"/>
    <w:rsid w:val="00230885"/>
    <w:rsid w:val="002345E5"/>
    <w:rsid w:val="00235B65"/>
    <w:rsid w:val="002527B0"/>
    <w:rsid w:val="00265FCA"/>
    <w:rsid w:val="00266E3B"/>
    <w:rsid w:val="002670CA"/>
    <w:rsid w:val="002705B1"/>
    <w:rsid w:val="00285C81"/>
    <w:rsid w:val="0029490F"/>
    <w:rsid w:val="0029723F"/>
    <w:rsid w:val="002974E9"/>
    <w:rsid w:val="002B0834"/>
    <w:rsid w:val="002B7A51"/>
    <w:rsid w:val="002C7413"/>
    <w:rsid w:val="002C78BA"/>
    <w:rsid w:val="002D0961"/>
    <w:rsid w:val="002D3F82"/>
    <w:rsid w:val="002E334A"/>
    <w:rsid w:val="002E396C"/>
    <w:rsid w:val="002E511A"/>
    <w:rsid w:val="002E7589"/>
    <w:rsid w:val="002F38C6"/>
    <w:rsid w:val="002F46A1"/>
    <w:rsid w:val="0030127B"/>
    <w:rsid w:val="00304569"/>
    <w:rsid w:val="003132A0"/>
    <w:rsid w:val="00315001"/>
    <w:rsid w:val="00321BED"/>
    <w:rsid w:val="00326A58"/>
    <w:rsid w:val="003308AA"/>
    <w:rsid w:val="00333C39"/>
    <w:rsid w:val="00342BC6"/>
    <w:rsid w:val="003461DE"/>
    <w:rsid w:val="003614C2"/>
    <w:rsid w:val="00366B1F"/>
    <w:rsid w:val="003711EC"/>
    <w:rsid w:val="00371984"/>
    <w:rsid w:val="00372C41"/>
    <w:rsid w:val="00373BEA"/>
    <w:rsid w:val="00375168"/>
    <w:rsid w:val="00391972"/>
    <w:rsid w:val="003A7401"/>
    <w:rsid w:val="003B5469"/>
    <w:rsid w:val="003C3ED2"/>
    <w:rsid w:val="003C6A43"/>
    <w:rsid w:val="003E0094"/>
    <w:rsid w:val="003F709F"/>
    <w:rsid w:val="004065E4"/>
    <w:rsid w:val="00406670"/>
    <w:rsid w:val="00406A4D"/>
    <w:rsid w:val="0041026D"/>
    <w:rsid w:val="00412950"/>
    <w:rsid w:val="00424502"/>
    <w:rsid w:val="00445790"/>
    <w:rsid w:val="00453786"/>
    <w:rsid w:val="004567CE"/>
    <w:rsid w:val="00461E41"/>
    <w:rsid w:val="004638E2"/>
    <w:rsid w:val="004646D2"/>
    <w:rsid w:val="0047219B"/>
    <w:rsid w:val="004829BF"/>
    <w:rsid w:val="00485A09"/>
    <w:rsid w:val="0048775A"/>
    <w:rsid w:val="004A63FC"/>
    <w:rsid w:val="004B2E5B"/>
    <w:rsid w:val="004B37D7"/>
    <w:rsid w:val="004B37F2"/>
    <w:rsid w:val="004C635F"/>
    <w:rsid w:val="004E2354"/>
    <w:rsid w:val="004E4FB9"/>
    <w:rsid w:val="004F4267"/>
    <w:rsid w:val="00502BAE"/>
    <w:rsid w:val="005037E1"/>
    <w:rsid w:val="005067EE"/>
    <w:rsid w:val="005159FE"/>
    <w:rsid w:val="005201E4"/>
    <w:rsid w:val="005212B6"/>
    <w:rsid w:val="00527E0E"/>
    <w:rsid w:val="00531979"/>
    <w:rsid w:val="00535B85"/>
    <w:rsid w:val="0054576D"/>
    <w:rsid w:val="005458BE"/>
    <w:rsid w:val="00546D31"/>
    <w:rsid w:val="00554567"/>
    <w:rsid w:val="005545AB"/>
    <w:rsid w:val="00555106"/>
    <w:rsid w:val="00555E7F"/>
    <w:rsid w:val="0055613B"/>
    <w:rsid w:val="00560C76"/>
    <w:rsid w:val="00561BDE"/>
    <w:rsid w:val="00563654"/>
    <w:rsid w:val="00574C7B"/>
    <w:rsid w:val="00581687"/>
    <w:rsid w:val="00584B6D"/>
    <w:rsid w:val="005853B7"/>
    <w:rsid w:val="00592B90"/>
    <w:rsid w:val="00597952"/>
    <w:rsid w:val="005C0D43"/>
    <w:rsid w:val="005C3C76"/>
    <w:rsid w:val="005C7A92"/>
    <w:rsid w:val="005C7BDD"/>
    <w:rsid w:val="005D12C8"/>
    <w:rsid w:val="005D535D"/>
    <w:rsid w:val="005D7804"/>
    <w:rsid w:val="005D7BF0"/>
    <w:rsid w:val="005E2083"/>
    <w:rsid w:val="005E23E3"/>
    <w:rsid w:val="005E3595"/>
    <w:rsid w:val="005E38CA"/>
    <w:rsid w:val="005E42E3"/>
    <w:rsid w:val="005E7B93"/>
    <w:rsid w:val="006061DB"/>
    <w:rsid w:val="00610F13"/>
    <w:rsid w:val="00613D17"/>
    <w:rsid w:val="00613E21"/>
    <w:rsid w:val="00616FCC"/>
    <w:rsid w:val="0062463B"/>
    <w:rsid w:val="0063209D"/>
    <w:rsid w:val="00637F78"/>
    <w:rsid w:val="00642AC4"/>
    <w:rsid w:val="00645EDD"/>
    <w:rsid w:val="0064605E"/>
    <w:rsid w:val="00646AA0"/>
    <w:rsid w:val="00646DD9"/>
    <w:rsid w:val="00651855"/>
    <w:rsid w:val="006548DD"/>
    <w:rsid w:val="00656301"/>
    <w:rsid w:val="00671767"/>
    <w:rsid w:val="0067189C"/>
    <w:rsid w:val="006719CF"/>
    <w:rsid w:val="00680C5D"/>
    <w:rsid w:val="00682F3A"/>
    <w:rsid w:val="00692B1C"/>
    <w:rsid w:val="006B1E0F"/>
    <w:rsid w:val="006C0DF4"/>
    <w:rsid w:val="006C0FEE"/>
    <w:rsid w:val="006D1A19"/>
    <w:rsid w:val="006D37AC"/>
    <w:rsid w:val="006D60AA"/>
    <w:rsid w:val="006D653F"/>
    <w:rsid w:val="006E1F46"/>
    <w:rsid w:val="006E770F"/>
    <w:rsid w:val="006F0941"/>
    <w:rsid w:val="006F7B19"/>
    <w:rsid w:val="00704B9C"/>
    <w:rsid w:val="007060C5"/>
    <w:rsid w:val="007064FF"/>
    <w:rsid w:val="00706CA5"/>
    <w:rsid w:val="0070700A"/>
    <w:rsid w:val="00707995"/>
    <w:rsid w:val="0071248C"/>
    <w:rsid w:val="00724447"/>
    <w:rsid w:val="007252C7"/>
    <w:rsid w:val="00734A85"/>
    <w:rsid w:val="007365DA"/>
    <w:rsid w:val="00742D4F"/>
    <w:rsid w:val="0074541D"/>
    <w:rsid w:val="00747F3F"/>
    <w:rsid w:val="00773138"/>
    <w:rsid w:val="00775CF3"/>
    <w:rsid w:val="007861BC"/>
    <w:rsid w:val="00787592"/>
    <w:rsid w:val="00793D26"/>
    <w:rsid w:val="007943F6"/>
    <w:rsid w:val="007A2F55"/>
    <w:rsid w:val="007A5244"/>
    <w:rsid w:val="007C2C73"/>
    <w:rsid w:val="007C3014"/>
    <w:rsid w:val="007D0110"/>
    <w:rsid w:val="007D119D"/>
    <w:rsid w:val="007D29F6"/>
    <w:rsid w:val="007D3002"/>
    <w:rsid w:val="007D4E00"/>
    <w:rsid w:val="007D7D60"/>
    <w:rsid w:val="007E16C6"/>
    <w:rsid w:val="007F0EF7"/>
    <w:rsid w:val="007F5BC8"/>
    <w:rsid w:val="007F65FA"/>
    <w:rsid w:val="007F7E29"/>
    <w:rsid w:val="00803830"/>
    <w:rsid w:val="0080548B"/>
    <w:rsid w:val="008145BB"/>
    <w:rsid w:val="00817752"/>
    <w:rsid w:val="00825753"/>
    <w:rsid w:val="008265B2"/>
    <w:rsid w:val="008346AE"/>
    <w:rsid w:val="0083603E"/>
    <w:rsid w:val="00836EF6"/>
    <w:rsid w:val="00846008"/>
    <w:rsid w:val="00852D9E"/>
    <w:rsid w:val="0085340E"/>
    <w:rsid w:val="0086086D"/>
    <w:rsid w:val="00861C81"/>
    <w:rsid w:val="00864E11"/>
    <w:rsid w:val="00872F56"/>
    <w:rsid w:val="0087564F"/>
    <w:rsid w:val="00883C44"/>
    <w:rsid w:val="0088458A"/>
    <w:rsid w:val="00886C0F"/>
    <w:rsid w:val="00894185"/>
    <w:rsid w:val="00894770"/>
    <w:rsid w:val="0089535D"/>
    <w:rsid w:val="00896456"/>
    <w:rsid w:val="008A305C"/>
    <w:rsid w:val="008A34EC"/>
    <w:rsid w:val="008A47AA"/>
    <w:rsid w:val="008A713D"/>
    <w:rsid w:val="008A7555"/>
    <w:rsid w:val="008C076B"/>
    <w:rsid w:val="008C3D4B"/>
    <w:rsid w:val="008D0443"/>
    <w:rsid w:val="008D5DB4"/>
    <w:rsid w:val="008E7E19"/>
    <w:rsid w:val="008F64C4"/>
    <w:rsid w:val="008F7F6B"/>
    <w:rsid w:val="009056D5"/>
    <w:rsid w:val="009079A6"/>
    <w:rsid w:val="00911248"/>
    <w:rsid w:val="009141F9"/>
    <w:rsid w:val="009149C7"/>
    <w:rsid w:val="009160DA"/>
    <w:rsid w:val="00916C5E"/>
    <w:rsid w:val="00925F2F"/>
    <w:rsid w:val="009315DD"/>
    <w:rsid w:val="00932A34"/>
    <w:rsid w:val="0093344F"/>
    <w:rsid w:val="00933E74"/>
    <w:rsid w:val="009347E0"/>
    <w:rsid w:val="00936565"/>
    <w:rsid w:val="00945A8E"/>
    <w:rsid w:val="00946291"/>
    <w:rsid w:val="00966281"/>
    <w:rsid w:val="00970721"/>
    <w:rsid w:val="00971E9D"/>
    <w:rsid w:val="0097752D"/>
    <w:rsid w:val="00987EFC"/>
    <w:rsid w:val="009953C6"/>
    <w:rsid w:val="00996ECB"/>
    <w:rsid w:val="009A10A1"/>
    <w:rsid w:val="009A2FDC"/>
    <w:rsid w:val="009B3E6F"/>
    <w:rsid w:val="009B6A44"/>
    <w:rsid w:val="009C439D"/>
    <w:rsid w:val="009C7A54"/>
    <w:rsid w:val="009C7B30"/>
    <w:rsid w:val="009D27D9"/>
    <w:rsid w:val="009D7043"/>
    <w:rsid w:val="009D7369"/>
    <w:rsid w:val="009F00F9"/>
    <w:rsid w:val="00A04D95"/>
    <w:rsid w:val="00A07AE6"/>
    <w:rsid w:val="00A135C1"/>
    <w:rsid w:val="00A25C2F"/>
    <w:rsid w:val="00A27E88"/>
    <w:rsid w:val="00A361CF"/>
    <w:rsid w:val="00A41BCA"/>
    <w:rsid w:val="00A470F3"/>
    <w:rsid w:val="00A479FD"/>
    <w:rsid w:val="00A55453"/>
    <w:rsid w:val="00A56CDA"/>
    <w:rsid w:val="00A67217"/>
    <w:rsid w:val="00A73D40"/>
    <w:rsid w:val="00A76A4C"/>
    <w:rsid w:val="00A807D6"/>
    <w:rsid w:val="00A877E7"/>
    <w:rsid w:val="00A91BB3"/>
    <w:rsid w:val="00AB46B8"/>
    <w:rsid w:val="00AB48C1"/>
    <w:rsid w:val="00AB52CD"/>
    <w:rsid w:val="00AC484C"/>
    <w:rsid w:val="00AD1F94"/>
    <w:rsid w:val="00AD200A"/>
    <w:rsid w:val="00AD3A29"/>
    <w:rsid w:val="00AD477F"/>
    <w:rsid w:val="00AD7A5B"/>
    <w:rsid w:val="00AF2688"/>
    <w:rsid w:val="00AF2D67"/>
    <w:rsid w:val="00AF7580"/>
    <w:rsid w:val="00B0000C"/>
    <w:rsid w:val="00B06082"/>
    <w:rsid w:val="00B219ED"/>
    <w:rsid w:val="00B33AD0"/>
    <w:rsid w:val="00B34997"/>
    <w:rsid w:val="00B374A0"/>
    <w:rsid w:val="00B37D7B"/>
    <w:rsid w:val="00B40912"/>
    <w:rsid w:val="00B42AF6"/>
    <w:rsid w:val="00B45EB2"/>
    <w:rsid w:val="00B50384"/>
    <w:rsid w:val="00B505AF"/>
    <w:rsid w:val="00B50823"/>
    <w:rsid w:val="00B55FEF"/>
    <w:rsid w:val="00B60664"/>
    <w:rsid w:val="00B653A2"/>
    <w:rsid w:val="00B67EB4"/>
    <w:rsid w:val="00B90711"/>
    <w:rsid w:val="00BA0D4F"/>
    <w:rsid w:val="00BA175F"/>
    <w:rsid w:val="00BA26D9"/>
    <w:rsid w:val="00BA58D9"/>
    <w:rsid w:val="00BA76D6"/>
    <w:rsid w:val="00BB3ADD"/>
    <w:rsid w:val="00BC105D"/>
    <w:rsid w:val="00BD1396"/>
    <w:rsid w:val="00BD18E0"/>
    <w:rsid w:val="00BD6F25"/>
    <w:rsid w:val="00BE0ED3"/>
    <w:rsid w:val="00BE2C24"/>
    <w:rsid w:val="00BE425A"/>
    <w:rsid w:val="00BE5F0C"/>
    <w:rsid w:val="00BE6454"/>
    <w:rsid w:val="00BE7B34"/>
    <w:rsid w:val="00BF1F16"/>
    <w:rsid w:val="00BF6A8A"/>
    <w:rsid w:val="00C00966"/>
    <w:rsid w:val="00C02222"/>
    <w:rsid w:val="00C02A91"/>
    <w:rsid w:val="00C1095C"/>
    <w:rsid w:val="00C12807"/>
    <w:rsid w:val="00C15057"/>
    <w:rsid w:val="00C24155"/>
    <w:rsid w:val="00C30866"/>
    <w:rsid w:val="00C32D83"/>
    <w:rsid w:val="00C40677"/>
    <w:rsid w:val="00C52465"/>
    <w:rsid w:val="00C535FE"/>
    <w:rsid w:val="00C55B7E"/>
    <w:rsid w:val="00C65734"/>
    <w:rsid w:val="00C6667F"/>
    <w:rsid w:val="00C67261"/>
    <w:rsid w:val="00C712A2"/>
    <w:rsid w:val="00C9473C"/>
    <w:rsid w:val="00C964B9"/>
    <w:rsid w:val="00C96BD8"/>
    <w:rsid w:val="00CA594C"/>
    <w:rsid w:val="00CB0A32"/>
    <w:rsid w:val="00CB0C2F"/>
    <w:rsid w:val="00CD06C1"/>
    <w:rsid w:val="00CD222C"/>
    <w:rsid w:val="00CD2A42"/>
    <w:rsid w:val="00CD2E4F"/>
    <w:rsid w:val="00CD4AD9"/>
    <w:rsid w:val="00CD5304"/>
    <w:rsid w:val="00CE3A10"/>
    <w:rsid w:val="00CE4E1A"/>
    <w:rsid w:val="00CE6B88"/>
    <w:rsid w:val="00CE717D"/>
    <w:rsid w:val="00CE7D75"/>
    <w:rsid w:val="00CF00AE"/>
    <w:rsid w:val="00CF553F"/>
    <w:rsid w:val="00CF5911"/>
    <w:rsid w:val="00CF7C6E"/>
    <w:rsid w:val="00D026E6"/>
    <w:rsid w:val="00D22A0F"/>
    <w:rsid w:val="00D23853"/>
    <w:rsid w:val="00D35476"/>
    <w:rsid w:val="00D417DE"/>
    <w:rsid w:val="00D4390D"/>
    <w:rsid w:val="00D532C2"/>
    <w:rsid w:val="00D64555"/>
    <w:rsid w:val="00D65243"/>
    <w:rsid w:val="00D67490"/>
    <w:rsid w:val="00D71D99"/>
    <w:rsid w:val="00D754F2"/>
    <w:rsid w:val="00D857CA"/>
    <w:rsid w:val="00D87510"/>
    <w:rsid w:val="00D95159"/>
    <w:rsid w:val="00DA292C"/>
    <w:rsid w:val="00DA6A12"/>
    <w:rsid w:val="00DA7926"/>
    <w:rsid w:val="00DB41C0"/>
    <w:rsid w:val="00DC4DB6"/>
    <w:rsid w:val="00DC627B"/>
    <w:rsid w:val="00DD092F"/>
    <w:rsid w:val="00DD2474"/>
    <w:rsid w:val="00DD350E"/>
    <w:rsid w:val="00DE2E65"/>
    <w:rsid w:val="00DE342A"/>
    <w:rsid w:val="00DF4E20"/>
    <w:rsid w:val="00DF7000"/>
    <w:rsid w:val="00DF775C"/>
    <w:rsid w:val="00E02F0B"/>
    <w:rsid w:val="00E12C7C"/>
    <w:rsid w:val="00E13F75"/>
    <w:rsid w:val="00E24FEB"/>
    <w:rsid w:val="00E305F4"/>
    <w:rsid w:val="00E32F42"/>
    <w:rsid w:val="00E3364B"/>
    <w:rsid w:val="00E363C8"/>
    <w:rsid w:val="00E46293"/>
    <w:rsid w:val="00E46929"/>
    <w:rsid w:val="00E4729B"/>
    <w:rsid w:val="00E55200"/>
    <w:rsid w:val="00E60E54"/>
    <w:rsid w:val="00E65401"/>
    <w:rsid w:val="00E7043B"/>
    <w:rsid w:val="00E707E2"/>
    <w:rsid w:val="00E73AF7"/>
    <w:rsid w:val="00E7568D"/>
    <w:rsid w:val="00E816ED"/>
    <w:rsid w:val="00E83389"/>
    <w:rsid w:val="00E8657B"/>
    <w:rsid w:val="00EA2585"/>
    <w:rsid w:val="00EA2DF1"/>
    <w:rsid w:val="00EA42BE"/>
    <w:rsid w:val="00EB3CF5"/>
    <w:rsid w:val="00EB47CE"/>
    <w:rsid w:val="00EB75B1"/>
    <w:rsid w:val="00EC14D0"/>
    <w:rsid w:val="00EE0964"/>
    <w:rsid w:val="00EE793B"/>
    <w:rsid w:val="00EF22D6"/>
    <w:rsid w:val="00EF5E92"/>
    <w:rsid w:val="00F0667B"/>
    <w:rsid w:val="00F23443"/>
    <w:rsid w:val="00F24D7F"/>
    <w:rsid w:val="00F257E9"/>
    <w:rsid w:val="00F40A31"/>
    <w:rsid w:val="00F410BE"/>
    <w:rsid w:val="00F43A82"/>
    <w:rsid w:val="00F43CFD"/>
    <w:rsid w:val="00F5760D"/>
    <w:rsid w:val="00F60320"/>
    <w:rsid w:val="00F8193A"/>
    <w:rsid w:val="00F8469F"/>
    <w:rsid w:val="00F90996"/>
    <w:rsid w:val="00F9739A"/>
    <w:rsid w:val="00FA29D6"/>
    <w:rsid w:val="00FA3510"/>
    <w:rsid w:val="00FB3B9C"/>
    <w:rsid w:val="00FC0E1E"/>
    <w:rsid w:val="00FC1A38"/>
    <w:rsid w:val="00FC2077"/>
    <w:rsid w:val="00FC467D"/>
    <w:rsid w:val="00FD5BF4"/>
    <w:rsid w:val="00FE00A9"/>
    <w:rsid w:val="00FE5406"/>
    <w:rsid w:val="00FF0D69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1979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AD477F"/>
    <w:pPr>
      <w:jc w:val="both"/>
    </w:pPr>
    <w:rPr>
      <w:rFonts w:eastAsia="Calibri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uiPriority w:val="99"/>
    <w:rsid w:val="00AD47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semiHidden/>
    <w:rsid w:val="006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Standaardalinea-lettertype"/>
    <w:rsid w:val="005C7A92"/>
    <w:rPr>
      <w:color w:val="0000FF"/>
      <w:u w:val="single"/>
    </w:rPr>
  </w:style>
  <w:style w:type="paragraph" w:customStyle="1" w:styleId="SVVlaamsParlement">
    <w:name w:val="SV Vlaams Parlement"/>
    <w:basedOn w:val="Standaard"/>
    <w:rsid w:val="003461DE"/>
    <w:pPr>
      <w:jc w:val="both"/>
    </w:pPr>
    <w:rPr>
      <w:rFonts w:eastAsia="Calibri"/>
      <w:b/>
      <w:bCs/>
      <w:smallCaps/>
      <w:szCs w:val="22"/>
    </w:rPr>
  </w:style>
  <w:style w:type="paragraph" w:styleId="Ballontekst">
    <w:name w:val="Balloon Text"/>
    <w:basedOn w:val="Standaard"/>
    <w:semiHidden/>
    <w:rsid w:val="009149C7"/>
    <w:rPr>
      <w:rFonts w:ascii="Tahoma" w:hAnsi="Tahoma" w:cs="Tahoma"/>
      <w:sz w:val="16"/>
      <w:szCs w:val="16"/>
    </w:rPr>
  </w:style>
  <w:style w:type="paragraph" w:customStyle="1" w:styleId="SVTitel">
    <w:name w:val="SV Titel"/>
    <w:basedOn w:val="Standaard"/>
    <w:rsid w:val="0001490E"/>
    <w:pPr>
      <w:jc w:val="both"/>
    </w:pPr>
    <w:rPr>
      <w:i/>
      <w:szCs w:val="20"/>
    </w:rPr>
  </w:style>
  <w:style w:type="paragraph" w:styleId="Voetnoottekst">
    <w:name w:val="footnote text"/>
    <w:basedOn w:val="Standaard"/>
    <w:semiHidden/>
    <w:rsid w:val="003E0094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3E0094"/>
    <w:rPr>
      <w:vertAlign w:val="superscript"/>
    </w:rPr>
  </w:style>
  <w:style w:type="paragraph" w:customStyle="1" w:styleId="OpmaakprofielKop3ArialNarrow1">
    <w:name w:val="Opmaakprofiel Kop 3 + Arial Narrow1"/>
    <w:basedOn w:val="Standaard"/>
    <w:rsid w:val="00013076"/>
    <w:pPr>
      <w:numPr>
        <w:numId w:val="2"/>
      </w:numPr>
    </w:pPr>
    <w:rPr>
      <w:sz w:val="24"/>
      <w:szCs w:val="20"/>
    </w:rPr>
  </w:style>
  <w:style w:type="paragraph" w:styleId="Adresenvelop">
    <w:name w:val="envelope address"/>
    <w:basedOn w:val="Standaard"/>
    <w:rsid w:val="00406670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table" w:styleId="Eenvoudigetabel1">
    <w:name w:val="Table Simple 1"/>
    <w:basedOn w:val="Standaardtabel"/>
    <w:rsid w:val="0031500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5C3C7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E707E2"/>
    <w:pPr>
      <w:ind w:left="708"/>
    </w:pPr>
  </w:style>
  <w:style w:type="character" w:customStyle="1" w:styleId="WW8Num2z0">
    <w:name w:val="WW8Num2z0"/>
    <w:rsid w:val="00D026E6"/>
    <w:rPr>
      <w:rFonts w:ascii="Times New Roman" w:eastAsia="Times New Roman" w:hAnsi="Times New Roman" w:cs="Times New Roman"/>
    </w:rPr>
  </w:style>
  <w:style w:type="character" w:customStyle="1" w:styleId="StandaardSVChar">
    <w:name w:val="Standaard SV Char"/>
    <w:basedOn w:val="Standaardalinea-lettertype"/>
    <w:link w:val="StandaardSV"/>
    <w:locked/>
    <w:rsid w:val="00B34997"/>
    <w:rPr>
      <w:rFonts w:eastAsia="Calibri"/>
      <w:sz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B34997"/>
    <w:rPr>
      <w:b/>
      <w:bCs/>
    </w:rPr>
  </w:style>
  <w:style w:type="character" w:customStyle="1" w:styleId="tekstdonker">
    <w:name w:val="tekstdonker"/>
    <w:basedOn w:val="Standaardalinea-lettertype"/>
    <w:rsid w:val="00DF4E20"/>
  </w:style>
  <w:style w:type="character" w:customStyle="1" w:styleId="rwro">
    <w:name w:val="rwro"/>
    <w:basedOn w:val="Standaardalinea-lettertype"/>
    <w:rsid w:val="00A479FD"/>
  </w:style>
  <w:style w:type="character" w:styleId="Verwijzingopmerking">
    <w:name w:val="annotation reference"/>
    <w:uiPriority w:val="99"/>
    <w:unhideWhenUsed/>
    <w:rsid w:val="00B5038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B50384"/>
    <w:rPr>
      <w:sz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50384"/>
    <w:rPr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rsid w:val="002527B0"/>
    <w:pPr>
      <w:tabs>
        <w:tab w:val="center" w:pos="4536"/>
        <w:tab w:val="right" w:pos="9072"/>
      </w:tabs>
      <w:spacing w:after="160"/>
      <w:jc w:val="both"/>
    </w:pPr>
    <w:rPr>
      <w:rFonts w:ascii="Futura Light" w:hAnsi="Futura Light"/>
      <w:sz w:val="21"/>
      <w:szCs w:val="20"/>
    </w:rPr>
  </w:style>
  <w:style w:type="character" w:customStyle="1" w:styleId="KoptekstChar">
    <w:name w:val="Koptekst Char"/>
    <w:basedOn w:val="Standaardalinea-lettertype"/>
    <w:link w:val="Koptekst"/>
    <w:rsid w:val="002527B0"/>
    <w:rPr>
      <w:rFonts w:ascii="Futura Light" w:hAnsi="Futura Light"/>
      <w:sz w:val="21"/>
      <w:lang w:val="nl-NL" w:eastAsia="nl-NL"/>
    </w:rPr>
  </w:style>
  <w:style w:type="paragraph" w:customStyle="1" w:styleId="tekst">
    <w:name w:val="tekst"/>
    <w:basedOn w:val="Standaard"/>
    <w:rsid w:val="002527B0"/>
    <w:rPr>
      <w:rFonts w:ascii="Trebuchet MS" w:hAnsi="Trebuchet MS"/>
      <w:color w:val="000000"/>
      <w:sz w:val="17"/>
      <w:szCs w:val="17"/>
    </w:rPr>
  </w:style>
  <w:style w:type="paragraph" w:styleId="Normaalweb">
    <w:name w:val="Normal (Web)"/>
    <w:basedOn w:val="Standaard"/>
    <w:uiPriority w:val="99"/>
    <w:unhideWhenUsed/>
    <w:rsid w:val="002527B0"/>
    <w:pPr>
      <w:spacing w:before="100" w:beforeAutospacing="1" w:after="100" w:afterAutospacing="1"/>
    </w:pPr>
    <w:rPr>
      <w:sz w:val="24"/>
      <w:lang w:val="nl-BE" w:eastAsia="ja-JP"/>
    </w:rPr>
  </w:style>
  <w:style w:type="paragraph" w:styleId="Lijstnummering2">
    <w:name w:val="List Number 2"/>
    <w:basedOn w:val="Standaard"/>
    <w:uiPriority w:val="99"/>
    <w:rsid w:val="000403BF"/>
    <w:pPr>
      <w:numPr>
        <w:numId w:val="3"/>
      </w:numPr>
    </w:pPr>
    <w:rPr>
      <w:sz w:val="24"/>
      <w:szCs w:val="20"/>
    </w:rPr>
  </w:style>
  <w:style w:type="character" w:styleId="Nadruk">
    <w:name w:val="Emphasis"/>
    <w:basedOn w:val="Standaardalinea-lettertype"/>
    <w:uiPriority w:val="20"/>
    <w:qFormat/>
    <w:rsid w:val="0047219B"/>
    <w:rPr>
      <w:i/>
      <w:iCs/>
    </w:rPr>
  </w:style>
  <w:style w:type="table" w:styleId="Tabellijst3">
    <w:name w:val="Table List 3"/>
    <w:basedOn w:val="Standaardtabel"/>
    <w:rsid w:val="000D20F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1979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AD477F"/>
    <w:pPr>
      <w:jc w:val="both"/>
    </w:pPr>
    <w:rPr>
      <w:rFonts w:eastAsia="Calibri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uiPriority w:val="99"/>
    <w:rsid w:val="00AD47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semiHidden/>
    <w:rsid w:val="006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Standaardalinea-lettertype"/>
    <w:rsid w:val="005C7A92"/>
    <w:rPr>
      <w:color w:val="0000FF"/>
      <w:u w:val="single"/>
    </w:rPr>
  </w:style>
  <w:style w:type="paragraph" w:customStyle="1" w:styleId="SVVlaamsParlement">
    <w:name w:val="SV Vlaams Parlement"/>
    <w:basedOn w:val="Standaard"/>
    <w:rsid w:val="003461DE"/>
    <w:pPr>
      <w:jc w:val="both"/>
    </w:pPr>
    <w:rPr>
      <w:rFonts w:eastAsia="Calibri"/>
      <w:b/>
      <w:bCs/>
      <w:smallCaps/>
      <w:szCs w:val="22"/>
    </w:rPr>
  </w:style>
  <w:style w:type="paragraph" w:styleId="Ballontekst">
    <w:name w:val="Balloon Text"/>
    <w:basedOn w:val="Standaard"/>
    <w:semiHidden/>
    <w:rsid w:val="009149C7"/>
    <w:rPr>
      <w:rFonts w:ascii="Tahoma" w:hAnsi="Tahoma" w:cs="Tahoma"/>
      <w:sz w:val="16"/>
      <w:szCs w:val="16"/>
    </w:rPr>
  </w:style>
  <w:style w:type="paragraph" w:customStyle="1" w:styleId="SVTitel">
    <w:name w:val="SV Titel"/>
    <w:basedOn w:val="Standaard"/>
    <w:rsid w:val="0001490E"/>
    <w:pPr>
      <w:jc w:val="both"/>
    </w:pPr>
    <w:rPr>
      <w:i/>
      <w:szCs w:val="20"/>
    </w:rPr>
  </w:style>
  <w:style w:type="paragraph" w:styleId="Voetnoottekst">
    <w:name w:val="footnote text"/>
    <w:basedOn w:val="Standaard"/>
    <w:semiHidden/>
    <w:rsid w:val="003E0094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3E0094"/>
    <w:rPr>
      <w:vertAlign w:val="superscript"/>
    </w:rPr>
  </w:style>
  <w:style w:type="paragraph" w:customStyle="1" w:styleId="OpmaakprofielKop3ArialNarrow1">
    <w:name w:val="Opmaakprofiel Kop 3 + Arial Narrow1"/>
    <w:basedOn w:val="Standaard"/>
    <w:rsid w:val="00013076"/>
    <w:pPr>
      <w:numPr>
        <w:numId w:val="2"/>
      </w:numPr>
    </w:pPr>
    <w:rPr>
      <w:sz w:val="24"/>
      <w:szCs w:val="20"/>
    </w:rPr>
  </w:style>
  <w:style w:type="paragraph" w:styleId="Adresenvelop">
    <w:name w:val="envelope address"/>
    <w:basedOn w:val="Standaard"/>
    <w:rsid w:val="00406670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table" w:styleId="Eenvoudigetabel1">
    <w:name w:val="Table Simple 1"/>
    <w:basedOn w:val="Standaardtabel"/>
    <w:rsid w:val="0031500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5C3C7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E707E2"/>
    <w:pPr>
      <w:ind w:left="708"/>
    </w:pPr>
  </w:style>
  <w:style w:type="character" w:customStyle="1" w:styleId="WW8Num2z0">
    <w:name w:val="WW8Num2z0"/>
    <w:rsid w:val="00D026E6"/>
    <w:rPr>
      <w:rFonts w:ascii="Times New Roman" w:eastAsia="Times New Roman" w:hAnsi="Times New Roman" w:cs="Times New Roman"/>
    </w:rPr>
  </w:style>
  <w:style w:type="character" w:customStyle="1" w:styleId="StandaardSVChar">
    <w:name w:val="Standaard SV Char"/>
    <w:basedOn w:val="Standaardalinea-lettertype"/>
    <w:link w:val="StandaardSV"/>
    <w:locked/>
    <w:rsid w:val="00B34997"/>
    <w:rPr>
      <w:rFonts w:eastAsia="Calibri"/>
      <w:sz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B34997"/>
    <w:rPr>
      <w:b/>
      <w:bCs/>
    </w:rPr>
  </w:style>
  <w:style w:type="character" w:customStyle="1" w:styleId="tekstdonker">
    <w:name w:val="tekstdonker"/>
    <w:basedOn w:val="Standaardalinea-lettertype"/>
    <w:rsid w:val="00DF4E20"/>
  </w:style>
  <w:style w:type="character" w:customStyle="1" w:styleId="rwro">
    <w:name w:val="rwro"/>
    <w:basedOn w:val="Standaardalinea-lettertype"/>
    <w:rsid w:val="00A479FD"/>
  </w:style>
  <w:style w:type="character" w:styleId="Verwijzingopmerking">
    <w:name w:val="annotation reference"/>
    <w:uiPriority w:val="99"/>
    <w:unhideWhenUsed/>
    <w:rsid w:val="00B5038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B50384"/>
    <w:rPr>
      <w:sz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50384"/>
    <w:rPr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rsid w:val="002527B0"/>
    <w:pPr>
      <w:tabs>
        <w:tab w:val="center" w:pos="4536"/>
        <w:tab w:val="right" w:pos="9072"/>
      </w:tabs>
      <w:spacing w:after="160"/>
      <w:jc w:val="both"/>
    </w:pPr>
    <w:rPr>
      <w:rFonts w:ascii="Futura Light" w:hAnsi="Futura Light"/>
      <w:sz w:val="21"/>
      <w:szCs w:val="20"/>
    </w:rPr>
  </w:style>
  <w:style w:type="character" w:customStyle="1" w:styleId="KoptekstChar">
    <w:name w:val="Koptekst Char"/>
    <w:basedOn w:val="Standaardalinea-lettertype"/>
    <w:link w:val="Koptekst"/>
    <w:rsid w:val="002527B0"/>
    <w:rPr>
      <w:rFonts w:ascii="Futura Light" w:hAnsi="Futura Light"/>
      <w:sz w:val="21"/>
      <w:lang w:val="nl-NL" w:eastAsia="nl-NL"/>
    </w:rPr>
  </w:style>
  <w:style w:type="paragraph" w:customStyle="1" w:styleId="tekst">
    <w:name w:val="tekst"/>
    <w:basedOn w:val="Standaard"/>
    <w:rsid w:val="002527B0"/>
    <w:rPr>
      <w:rFonts w:ascii="Trebuchet MS" w:hAnsi="Trebuchet MS"/>
      <w:color w:val="000000"/>
      <w:sz w:val="17"/>
      <w:szCs w:val="17"/>
    </w:rPr>
  </w:style>
  <w:style w:type="paragraph" w:styleId="Normaalweb">
    <w:name w:val="Normal (Web)"/>
    <w:basedOn w:val="Standaard"/>
    <w:uiPriority w:val="99"/>
    <w:unhideWhenUsed/>
    <w:rsid w:val="002527B0"/>
    <w:pPr>
      <w:spacing w:before="100" w:beforeAutospacing="1" w:after="100" w:afterAutospacing="1"/>
    </w:pPr>
    <w:rPr>
      <w:sz w:val="24"/>
      <w:lang w:val="nl-BE" w:eastAsia="ja-JP"/>
    </w:rPr>
  </w:style>
  <w:style w:type="paragraph" w:styleId="Lijstnummering2">
    <w:name w:val="List Number 2"/>
    <w:basedOn w:val="Standaard"/>
    <w:uiPriority w:val="99"/>
    <w:rsid w:val="000403BF"/>
    <w:pPr>
      <w:numPr>
        <w:numId w:val="3"/>
      </w:numPr>
    </w:pPr>
    <w:rPr>
      <w:sz w:val="24"/>
      <w:szCs w:val="20"/>
    </w:rPr>
  </w:style>
  <w:style w:type="character" w:styleId="Nadruk">
    <w:name w:val="Emphasis"/>
    <w:basedOn w:val="Standaardalinea-lettertype"/>
    <w:uiPriority w:val="20"/>
    <w:qFormat/>
    <w:rsid w:val="0047219B"/>
    <w:rPr>
      <w:i/>
      <w:iCs/>
    </w:rPr>
  </w:style>
  <w:style w:type="table" w:styleId="Tabellijst3">
    <w:name w:val="Table List 3"/>
    <w:basedOn w:val="Standaardtabel"/>
    <w:rsid w:val="000D20F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1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8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akantieparticipatie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kantieparticipatie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9CCD6-664F-4AF1-8666-BA22AB72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272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2014-04-04T08:31:00Z</cp:lastPrinted>
  <dcterms:created xsi:type="dcterms:W3CDTF">2014-04-10T13:47:00Z</dcterms:created>
  <dcterms:modified xsi:type="dcterms:W3CDTF">2014-04-10T13:47:00Z</dcterms:modified>
</cp:coreProperties>
</file>