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bookmarkEnd w:id="1"/>
      <w:r w:rsidR="00B233AB">
        <w:rPr>
          <w:szCs w:val="22"/>
        </w:rPr>
        <w:t>p</w:t>
      </w:r>
      <w:r w:rsidR="001C767D">
        <w:rPr>
          <w:noProof/>
          <w:szCs w:val="22"/>
        </w:rPr>
        <w:t>hilippe muyters</w:t>
      </w:r>
      <w:r>
        <w:rPr>
          <w:szCs w:val="22"/>
        </w:rPr>
        <w:fldChar w:fldCharType="end"/>
      </w:r>
      <w:bookmarkEnd w:id="0"/>
    </w:p>
    <w:bookmarkStart w:id="2" w:name="Text2"/>
    <w:p w:rsidR="000976E9" w:rsidRPr="00015BF7" w:rsidRDefault="00D71D9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A9424B">
        <w:t>v</w:t>
      </w:r>
      <w:r w:rsidR="004809DA">
        <w:t>laams minister van financiën, begroting, werk, ruimtelijke ordening en sport</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22787F">
        <w:rPr>
          <w:b w:val="0"/>
        </w:rPr>
        <w:t>472</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22787F">
        <w:rPr>
          <w:b w:val="0"/>
        </w:rPr>
        <w:t>26</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227084">
        <w:rPr>
          <w:b w:val="0"/>
        </w:rPr>
      </w:r>
      <w:r w:rsidR="00227084">
        <w:rPr>
          <w:b w:val="0"/>
        </w:rPr>
        <w:fldChar w:fldCharType="separate"/>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227084">
        <w:rPr>
          <w:b w:val="0"/>
        </w:rPr>
      </w:r>
      <w:r w:rsidR="00227084">
        <w:rPr>
          <w:b w:val="0"/>
        </w:rPr>
        <w:fldChar w:fldCharType="separate"/>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015D26">
        <w:rPr>
          <w:rStyle w:val="AntwoordNaamMinisterChar"/>
        </w:rPr>
        <w:t>r</w:t>
      </w:r>
      <w:r w:rsidR="0022787F">
        <w:rPr>
          <w:rStyle w:val="AntwoordNaamMinisterChar"/>
        </w:rPr>
        <w:t xml:space="preserve">obrecht </w:t>
      </w:r>
      <w:r w:rsidR="00015D26">
        <w:rPr>
          <w:rStyle w:val="AntwoordNaamMinisterChar"/>
        </w:rPr>
        <w:t>b</w:t>
      </w:r>
      <w:r w:rsidR="0022787F">
        <w:rPr>
          <w:rStyle w:val="AntwoordNaamMinisterChar"/>
        </w:rPr>
        <w:t>othuyne</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22787F" w:rsidRPr="0022787F" w:rsidRDefault="0022787F" w:rsidP="0022787F">
      <w:pPr>
        <w:pStyle w:val="StandaardSV"/>
        <w:rPr>
          <w:lang w:val="nl-BE"/>
        </w:rPr>
      </w:pPr>
      <w:r w:rsidRPr="0022787F">
        <w:rPr>
          <w:lang w:val="nl-BE"/>
        </w:rPr>
        <w:lastRenderedPageBreak/>
        <w:t>1. a</w:t>
      </w:r>
      <w:r w:rsidR="00015D26">
        <w:rPr>
          <w:lang w:val="nl-BE"/>
        </w:rPr>
        <w:t>)</w:t>
      </w:r>
      <w:r w:rsidRPr="0022787F">
        <w:rPr>
          <w:lang w:val="nl-BE"/>
        </w:rPr>
        <w:t xml:space="preserve"> en b)</w:t>
      </w:r>
    </w:p>
    <w:p w:rsidR="006258B7" w:rsidRDefault="006258B7" w:rsidP="0022787F">
      <w:pPr>
        <w:pStyle w:val="StandaardSV"/>
        <w:rPr>
          <w:lang w:val="nl-BE"/>
        </w:rPr>
      </w:pPr>
    </w:p>
    <w:p w:rsidR="000F25BF" w:rsidRDefault="000F25BF" w:rsidP="0022787F">
      <w:pPr>
        <w:pStyle w:val="StandaardSV"/>
        <w:rPr>
          <w:lang w:val="nl-BE"/>
        </w:rPr>
      </w:pPr>
      <w:r>
        <w:rPr>
          <w:color w:val="000000"/>
        </w:rPr>
        <w:t>Over de aantallen overdrachten als dusdanig heeft de Vlaamse Belastingdienst geen informatie. Enkel het aantal aanvragen dat de dienst ontvangt in het kader van vermindering van successierechten of vrijstelling van registratierechten kan door VLABEL worden opgevolgd.</w:t>
      </w:r>
    </w:p>
    <w:p w:rsidR="000F25BF" w:rsidRPr="0022787F" w:rsidRDefault="000F25BF" w:rsidP="0022787F">
      <w:pPr>
        <w:pStyle w:val="StandaardSV"/>
        <w:rPr>
          <w:lang w:val="nl-BE"/>
        </w:rPr>
      </w:pPr>
    </w:p>
    <w:p w:rsidR="0022787F" w:rsidRPr="0022787F" w:rsidRDefault="0022787F" w:rsidP="0022787F">
      <w:pPr>
        <w:pStyle w:val="StandaardSV"/>
        <w:rPr>
          <w:color w:val="000000"/>
          <w:szCs w:val="22"/>
        </w:rPr>
      </w:pPr>
      <w:r w:rsidRPr="0022787F">
        <w:rPr>
          <w:color w:val="000000"/>
          <w:szCs w:val="22"/>
        </w:rPr>
        <w:t xml:space="preserve">Hierbij een overzicht van het </w:t>
      </w:r>
      <w:r w:rsidRPr="000F25BF">
        <w:rPr>
          <w:color w:val="000000"/>
          <w:szCs w:val="22"/>
        </w:rPr>
        <w:t>aantal aanvragen</w:t>
      </w:r>
      <w:r w:rsidR="006258B7">
        <w:rPr>
          <w:color w:val="000000"/>
          <w:szCs w:val="22"/>
        </w:rPr>
        <w:t xml:space="preserve"> </w:t>
      </w:r>
      <w:r w:rsidRPr="0022787F">
        <w:rPr>
          <w:color w:val="000000"/>
          <w:szCs w:val="22"/>
        </w:rPr>
        <w:t>voor de vrijstelling van registratierechten ingediend in 2013, opgesplitst per maand en per provincie.</w:t>
      </w:r>
      <w:r w:rsidR="000F25BF">
        <w:rPr>
          <w:color w:val="000000"/>
          <w:szCs w:val="22"/>
        </w:rPr>
        <w:t xml:space="preserve"> </w:t>
      </w:r>
    </w:p>
    <w:p w:rsidR="0022787F" w:rsidRPr="0022787F" w:rsidRDefault="0022787F" w:rsidP="0022787F">
      <w:pPr>
        <w:pStyle w:val="StandaardSV"/>
      </w:pPr>
    </w:p>
    <w:tbl>
      <w:tblPr>
        <w:tblStyle w:val="Tabellijst4"/>
        <w:tblW w:w="0" w:type="auto"/>
        <w:tblInd w:w="108" w:type="dxa"/>
        <w:tblLayout w:type="fixed"/>
        <w:tblLook w:val="04A0" w:firstRow="1" w:lastRow="0" w:firstColumn="1" w:lastColumn="0" w:noHBand="0" w:noVBand="1"/>
      </w:tblPr>
      <w:tblGrid>
        <w:gridCol w:w="1560"/>
        <w:gridCol w:w="1270"/>
        <w:gridCol w:w="1270"/>
        <w:gridCol w:w="1270"/>
        <w:gridCol w:w="1270"/>
        <w:gridCol w:w="1270"/>
        <w:gridCol w:w="1270"/>
      </w:tblGrid>
      <w:tr w:rsidR="0022787F" w:rsidRPr="0022787F" w:rsidTr="00015D26">
        <w:trPr>
          <w:cnfStyle w:val="100000000000" w:firstRow="1" w:lastRow="0" w:firstColumn="0" w:lastColumn="0" w:oddVBand="0" w:evenVBand="0" w:oddHBand="0" w:evenHBand="0" w:firstRowFirstColumn="0" w:firstRowLastColumn="0" w:lastRowFirstColumn="0" w:lastRowLastColumn="0"/>
          <w:trHeight w:val="300"/>
        </w:trPr>
        <w:tc>
          <w:tcPr>
            <w:tcW w:w="1560" w:type="dxa"/>
            <w:noWrap/>
            <w:hideMark/>
          </w:tcPr>
          <w:p w:rsidR="0022787F" w:rsidRPr="0022787F" w:rsidRDefault="0022787F" w:rsidP="002B7045">
            <w:pPr>
              <w:pStyle w:val="StandaardSV"/>
              <w:jc w:val="right"/>
              <w:rPr>
                <w:sz w:val="18"/>
              </w:rPr>
            </w:pPr>
          </w:p>
        </w:tc>
        <w:tc>
          <w:tcPr>
            <w:tcW w:w="1270" w:type="dxa"/>
            <w:noWrap/>
            <w:hideMark/>
          </w:tcPr>
          <w:p w:rsidR="0022787F" w:rsidRPr="0022787F" w:rsidRDefault="0022787F" w:rsidP="0022787F">
            <w:pPr>
              <w:pStyle w:val="StandaardSV"/>
              <w:jc w:val="right"/>
              <w:rPr>
                <w:sz w:val="18"/>
              </w:rPr>
            </w:pPr>
            <w:r w:rsidRPr="0022787F">
              <w:rPr>
                <w:sz w:val="18"/>
              </w:rPr>
              <w:t>Antwerpen</w:t>
            </w:r>
          </w:p>
        </w:tc>
        <w:tc>
          <w:tcPr>
            <w:tcW w:w="1270" w:type="dxa"/>
            <w:noWrap/>
            <w:hideMark/>
          </w:tcPr>
          <w:p w:rsidR="0022787F" w:rsidRPr="0022787F" w:rsidRDefault="0022787F" w:rsidP="0022787F">
            <w:pPr>
              <w:pStyle w:val="StandaardSV"/>
              <w:jc w:val="right"/>
              <w:rPr>
                <w:sz w:val="18"/>
              </w:rPr>
            </w:pPr>
            <w:r w:rsidRPr="0022787F">
              <w:rPr>
                <w:sz w:val="18"/>
              </w:rPr>
              <w:t>Limburg</w:t>
            </w:r>
          </w:p>
        </w:tc>
        <w:tc>
          <w:tcPr>
            <w:tcW w:w="1270" w:type="dxa"/>
            <w:noWrap/>
            <w:hideMark/>
          </w:tcPr>
          <w:p w:rsidR="0022787F" w:rsidRPr="0022787F" w:rsidRDefault="0022787F" w:rsidP="0022787F">
            <w:pPr>
              <w:pStyle w:val="StandaardSV"/>
              <w:jc w:val="right"/>
              <w:rPr>
                <w:sz w:val="18"/>
              </w:rPr>
            </w:pPr>
            <w:r w:rsidRPr="0022787F">
              <w:rPr>
                <w:sz w:val="18"/>
              </w:rPr>
              <w:t>Oost-Vlaanderen</w:t>
            </w:r>
          </w:p>
        </w:tc>
        <w:tc>
          <w:tcPr>
            <w:tcW w:w="1270" w:type="dxa"/>
            <w:noWrap/>
            <w:hideMark/>
          </w:tcPr>
          <w:p w:rsidR="0022787F" w:rsidRPr="0022787F" w:rsidRDefault="0022787F" w:rsidP="0022787F">
            <w:pPr>
              <w:pStyle w:val="StandaardSV"/>
              <w:jc w:val="right"/>
              <w:rPr>
                <w:sz w:val="18"/>
              </w:rPr>
            </w:pPr>
            <w:r w:rsidRPr="0022787F">
              <w:rPr>
                <w:sz w:val="18"/>
              </w:rPr>
              <w:t>Vlaams-Brabant</w:t>
            </w:r>
          </w:p>
        </w:tc>
        <w:tc>
          <w:tcPr>
            <w:tcW w:w="1270" w:type="dxa"/>
            <w:noWrap/>
            <w:hideMark/>
          </w:tcPr>
          <w:p w:rsidR="0022787F" w:rsidRPr="0022787F" w:rsidRDefault="0022787F" w:rsidP="0022787F">
            <w:pPr>
              <w:pStyle w:val="StandaardSV"/>
              <w:jc w:val="right"/>
              <w:rPr>
                <w:sz w:val="18"/>
              </w:rPr>
            </w:pPr>
            <w:r w:rsidRPr="0022787F">
              <w:rPr>
                <w:sz w:val="18"/>
              </w:rPr>
              <w:t>West-Vlaanderen</w:t>
            </w:r>
          </w:p>
        </w:tc>
        <w:tc>
          <w:tcPr>
            <w:tcW w:w="1270" w:type="dxa"/>
            <w:noWrap/>
            <w:hideMark/>
          </w:tcPr>
          <w:p w:rsidR="0022787F" w:rsidRPr="0022787F" w:rsidRDefault="0022787F" w:rsidP="0022787F">
            <w:pPr>
              <w:pStyle w:val="StandaardSV"/>
              <w:jc w:val="right"/>
              <w:rPr>
                <w:sz w:val="18"/>
              </w:rPr>
            </w:pPr>
            <w:r w:rsidRPr="0022787F">
              <w:rPr>
                <w:sz w:val="18"/>
              </w:rPr>
              <w:t>Eindtotaal</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januari</w:t>
            </w:r>
          </w:p>
        </w:tc>
        <w:tc>
          <w:tcPr>
            <w:tcW w:w="1270" w:type="dxa"/>
            <w:noWrap/>
            <w:hideMark/>
          </w:tcPr>
          <w:p w:rsidR="0022787F" w:rsidRPr="0022787F" w:rsidRDefault="0022787F" w:rsidP="0022787F">
            <w:pPr>
              <w:pStyle w:val="StandaardSV"/>
              <w:jc w:val="right"/>
            </w:pPr>
            <w:r w:rsidRPr="0022787F">
              <w:t>11</w:t>
            </w:r>
          </w:p>
        </w:tc>
        <w:tc>
          <w:tcPr>
            <w:tcW w:w="1270" w:type="dxa"/>
            <w:noWrap/>
            <w:hideMark/>
          </w:tcPr>
          <w:p w:rsidR="0022787F" w:rsidRPr="0022787F" w:rsidRDefault="0022787F" w:rsidP="0022787F">
            <w:pPr>
              <w:pStyle w:val="StandaardSV"/>
              <w:jc w:val="right"/>
            </w:pPr>
            <w:r w:rsidRPr="0022787F">
              <w:t>8</w:t>
            </w:r>
          </w:p>
        </w:tc>
        <w:tc>
          <w:tcPr>
            <w:tcW w:w="1270" w:type="dxa"/>
            <w:noWrap/>
            <w:hideMark/>
          </w:tcPr>
          <w:p w:rsidR="0022787F" w:rsidRPr="0022787F" w:rsidRDefault="0022787F" w:rsidP="0022787F">
            <w:pPr>
              <w:pStyle w:val="StandaardSV"/>
              <w:jc w:val="right"/>
            </w:pPr>
            <w:r w:rsidRPr="0022787F">
              <w:t>22</w:t>
            </w:r>
          </w:p>
        </w:tc>
        <w:tc>
          <w:tcPr>
            <w:tcW w:w="1270" w:type="dxa"/>
            <w:noWrap/>
            <w:hideMark/>
          </w:tcPr>
          <w:p w:rsidR="0022787F" w:rsidRPr="0022787F" w:rsidRDefault="0022787F" w:rsidP="0022787F">
            <w:pPr>
              <w:pStyle w:val="StandaardSV"/>
              <w:jc w:val="right"/>
            </w:pPr>
            <w:r w:rsidRPr="0022787F">
              <w:t>11</w:t>
            </w:r>
          </w:p>
        </w:tc>
        <w:tc>
          <w:tcPr>
            <w:tcW w:w="1270" w:type="dxa"/>
            <w:noWrap/>
            <w:hideMark/>
          </w:tcPr>
          <w:p w:rsidR="0022787F" w:rsidRPr="0022787F" w:rsidRDefault="0022787F" w:rsidP="0022787F">
            <w:pPr>
              <w:pStyle w:val="StandaardSV"/>
              <w:jc w:val="right"/>
            </w:pPr>
            <w:r w:rsidRPr="0022787F">
              <w:t>38</w:t>
            </w:r>
          </w:p>
        </w:tc>
        <w:tc>
          <w:tcPr>
            <w:tcW w:w="1270" w:type="dxa"/>
            <w:noWrap/>
            <w:hideMark/>
          </w:tcPr>
          <w:p w:rsidR="0022787F" w:rsidRPr="0022787F" w:rsidRDefault="0022787F" w:rsidP="0022787F">
            <w:pPr>
              <w:pStyle w:val="StandaardSV"/>
              <w:jc w:val="right"/>
            </w:pPr>
            <w:r w:rsidRPr="0022787F">
              <w:t>90</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februari</w:t>
            </w:r>
          </w:p>
        </w:tc>
        <w:tc>
          <w:tcPr>
            <w:tcW w:w="1270" w:type="dxa"/>
            <w:noWrap/>
            <w:hideMark/>
          </w:tcPr>
          <w:p w:rsidR="0022787F" w:rsidRPr="0022787F" w:rsidRDefault="0022787F" w:rsidP="0022787F">
            <w:pPr>
              <w:pStyle w:val="StandaardSV"/>
              <w:jc w:val="right"/>
            </w:pPr>
            <w:r w:rsidRPr="0022787F">
              <w:t>12</w:t>
            </w:r>
          </w:p>
        </w:tc>
        <w:tc>
          <w:tcPr>
            <w:tcW w:w="1270" w:type="dxa"/>
            <w:noWrap/>
            <w:hideMark/>
          </w:tcPr>
          <w:p w:rsidR="0022787F" w:rsidRPr="0022787F" w:rsidRDefault="0022787F" w:rsidP="0022787F">
            <w:pPr>
              <w:pStyle w:val="StandaardSV"/>
              <w:jc w:val="right"/>
            </w:pPr>
            <w:r w:rsidRPr="0022787F">
              <w:t>13</w:t>
            </w:r>
          </w:p>
        </w:tc>
        <w:tc>
          <w:tcPr>
            <w:tcW w:w="1270" w:type="dxa"/>
            <w:noWrap/>
            <w:hideMark/>
          </w:tcPr>
          <w:p w:rsidR="0022787F" w:rsidRPr="0022787F" w:rsidRDefault="0022787F" w:rsidP="0022787F">
            <w:pPr>
              <w:pStyle w:val="StandaardSV"/>
              <w:jc w:val="right"/>
            </w:pPr>
            <w:r w:rsidRPr="0022787F">
              <w:t>29</w:t>
            </w:r>
          </w:p>
        </w:tc>
        <w:tc>
          <w:tcPr>
            <w:tcW w:w="1270" w:type="dxa"/>
            <w:noWrap/>
            <w:hideMark/>
          </w:tcPr>
          <w:p w:rsidR="0022787F" w:rsidRPr="0022787F" w:rsidRDefault="0022787F" w:rsidP="0022787F">
            <w:pPr>
              <w:pStyle w:val="StandaardSV"/>
              <w:jc w:val="right"/>
            </w:pPr>
            <w:r w:rsidRPr="0022787F">
              <w:t>9</w:t>
            </w:r>
          </w:p>
        </w:tc>
        <w:tc>
          <w:tcPr>
            <w:tcW w:w="1270" w:type="dxa"/>
            <w:noWrap/>
            <w:hideMark/>
          </w:tcPr>
          <w:p w:rsidR="0022787F" w:rsidRPr="0022787F" w:rsidRDefault="0022787F" w:rsidP="0022787F">
            <w:pPr>
              <w:pStyle w:val="StandaardSV"/>
              <w:jc w:val="right"/>
            </w:pPr>
            <w:r w:rsidRPr="0022787F">
              <w:t>30</w:t>
            </w:r>
          </w:p>
        </w:tc>
        <w:tc>
          <w:tcPr>
            <w:tcW w:w="1270" w:type="dxa"/>
            <w:noWrap/>
            <w:hideMark/>
          </w:tcPr>
          <w:p w:rsidR="0022787F" w:rsidRPr="0022787F" w:rsidRDefault="0022787F" w:rsidP="0022787F">
            <w:pPr>
              <w:pStyle w:val="StandaardSV"/>
              <w:jc w:val="right"/>
            </w:pPr>
            <w:r w:rsidRPr="0022787F">
              <w:t>93</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maart</w:t>
            </w:r>
          </w:p>
        </w:tc>
        <w:tc>
          <w:tcPr>
            <w:tcW w:w="1270" w:type="dxa"/>
            <w:noWrap/>
            <w:hideMark/>
          </w:tcPr>
          <w:p w:rsidR="0022787F" w:rsidRPr="0022787F" w:rsidRDefault="0022787F" w:rsidP="0022787F">
            <w:pPr>
              <w:pStyle w:val="StandaardSV"/>
              <w:jc w:val="right"/>
            </w:pPr>
            <w:r w:rsidRPr="0022787F">
              <w:t>25</w:t>
            </w:r>
          </w:p>
        </w:tc>
        <w:tc>
          <w:tcPr>
            <w:tcW w:w="1270" w:type="dxa"/>
            <w:noWrap/>
            <w:hideMark/>
          </w:tcPr>
          <w:p w:rsidR="0022787F" w:rsidRPr="0022787F" w:rsidRDefault="0022787F" w:rsidP="0022787F">
            <w:pPr>
              <w:pStyle w:val="StandaardSV"/>
              <w:jc w:val="right"/>
            </w:pPr>
            <w:r w:rsidRPr="0022787F">
              <w:t>25</w:t>
            </w:r>
          </w:p>
        </w:tc>
        <w:tc>
          <w:tcPr>
            <w:tcW w:w="1270" w:type="dxa"/>
            <w:noWrap/>
            <w:hideMark/>
          </w:tcPr>
          <w:p w:rsidR="0022787F" w:rsidRPr="0022787F" w:rsidRDefault="0022787F" w:rsidP="0022787F">
            <w:pPr>
              <w:pStyle w:val="StandaardSV"/>
              <w:jc w:val="right"/>
            </w:pPr>
            <w:r w:rsidRPr="0022787F">
              <w:t>27</w:t>
            </w:r>
          </w:p>
        </w:tc>
        <w:tc>
          <w:tcPr>
            <w:tcW w:w="1270" w:type="dxa"/>
            <w:noWrap/>
            <w:hideMark/>
          </w:tcPr>
          <w:p w:rsidR="0022787F" w:rsidRPr="0022787F" w:rsidRDefault="0022787F" w:rsidP="0022787F">
            <w:pPr>
              <w:pStyle w:val="StandaardSV"/>
              <w:jc w:val="right"/>
            </w:pPr>
            <w:r w:rsidRPr="0022787F">
              <w:t>21</w:t>
            </w:r>
          </w:p>
        </w:tc>
        <w:tc>
          <w:tcPr>
            <w:tcW w:w="1270" w:type="dxa"/>
            <w:noWrap/>
            <w:hideMark/>
          </w:tcPr>
          <w:p w:rsidR="0022787F" w:rsidRPr="0022787F" w:rsidRDefault="0022787F" w:rsidP="0022787F">
            <w:pPr>
              <w:pStyle w:val="StandaardSV"/>
              <w:jc w:val="right"/>
            </w:pPr>
            <w:r w:rsidRPr="0022787F">
              <w:t>44</w:t>
            </w:r>
          </w:p>
        </w:tc>
        <w:tc>
          <w:tcPr>
            <w:tcW w:w="1270" w:type="dxa"/>
            <w:noWrap/>
            <w:hideMark/>
          </w:tcPr>
          <w:p w:rsidR="0022787F" w:rsidRPr="0022787F" w:rsidRDefault="0022787F" w:rsidP="0022787F">
            <w:pPr>
              <w:pStyle w:val="StandaardSV"/>
              <w:jc w:val="right"/>
            </w:pPr>
            <w:r w:rsidRPr="0022787F">
              <w:t>142</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april</w:t>
            </w:r>
          </w:p>
        </w:tc>
        <w:tc>
          <w:tcPr>
            <w:tcW w:w="1270" w:type="dxa"/>
            <w:noWrap/>
            <w:hideMark/>
          </w:tcPr>
          <w:p w:rsidR="0022787F" w:rsidRPr="0022787F" w:rsidRDefault="0022787F" w:rsidP="0022787F">
            <w:pPr>
              <w:pStyle w:val="StandaardSV"/>
              <w:jc w:val="right"/>
            </w:pPr>
            <w:r w:rsidRPr="0022787F">
              <w:t>29</w:t>
            </w:r>
          </w:p>
        </w:tc>
        <w:tc>
          <w:tcPr>
            <w:tcW w:w="1270" w:type="dxa"/>
            <w:noWrap/>
            <w:hideMark/>
          </w:tcPr>
          <w:p w:rsidR="0022787F" w:rsidRPr="0022787F" w:rsidRDefault="0022787F" w:rsidP="0022787F">
            <w:pPr>
              <w:pStyle w:val="StandaardSV"/>
              <w:jc w:val="right"/>
            </w:pPr>
            <w:r w:rsidRPr="0022787F">
              <w:t>14</w:t>
            </w:r>
          </w:p>
        </w:tc>
        <w:tc>
          <w:tcPr>
            <w:tcW w:w="1270" w:type="dxa"/>
            <w:noWrap/>
            <w:hideMark/>
          </w:tcPr>
          <w:p w:rsidR="0022787F" w:rsidRPr="0022787F" w:rsidRDefault="0022787F" w:rsidP="0022787F">
            <w:pPr>
              <w:pStyle w:val="StandaardSV"/>
              <w:jc w:val="right"/>
            </w:pPr>
            <w:r w:rsidRPr="0022787F">
              <w:t>18</w:t>
            </w:r>
          </w:p>
        </w:tc>
        <w:tc>
          <w:tcPr>
            <w:tcW w:w="1270" w:type="dxa"/>
            <w:noWrap/>
            <w:hideMark/>
          </w:tcPr>
          <w:p w:rsidR="0022787F" w:rsidRPr="0022787F" w:rsidRDefault="0022787F" w:rsidP="0022787F">
            <w:pPr>
              <w:pStyle w:val="StandaardSV"/>
              <w:jc w:val="right"/>
            </w:pPr>
            <w:r w:rsidRPr="0022787F">
              <w:t>16</w:t>
            </w:r>
          </w:p>
        </w:tc>
        <w:tc>
          <w:tcPr>
            <w:tcW w:w="1270" w:type="dxa"/>
            <w:noWrap/>
            <w:hideMark/>
          </w:tcPr>
          <w:p w:rsidR="0022787F" w:rsidRPr="0022787F" w:rsidRDefault="0022787F" w:rsidP="0022787F">
            <w:pPr>
              <w:pStyle w:val="StandaardSV"/>
              <w:jc w:val="right"/>
            </w:pPr>
            <w:r w:rsidRPr="0022787F">
              <w:t>47</w:t>
            </w:r>
          </w:p>
        </w:tc>
        <w:tc>
          <w:tcPr>
            <w:tcW w:w="1270" w:type="dxa"/>
            <w:noWrap/>
            <w:hideMark/>
          </w:tcPr>
          <w:p w:rsidR="0022787F" w:rsidRPr="0022787F" w:rsidRDefault="0022787F" w:rsidP="0022787F">
            <w:pPr>
              <w:pStyle w:val="StandaardSV"/>
              <w:jc w:val="right"/>
            </w:pPr>
            <w:r w:rsidRPr="0022787F">
              <w:t>124</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mei</w:t>
            </w:r>
          </w:p>
        </w:tc>
        <w:tc>
          <w:tcPr>
            <w:tcW w:w="1270" w:type="dxa"/>
            <w:noWrap/>
            <w:hideMark/>
          </w:tcPr>
          <w:p w:rsidR="0022787F" w:rsidRPr="0022787F" w:rsidRDefault="0022787F" w:rsidP="0022787F">
            <w:pPr>
              <w:pStyle w:val="StandaardSV"/>
              <w:jc w:val="right"/>
            </w:pPr>
            <w:r w:rsidRPr="0022787F">
              <w:t>33</w:t>
            </w:r>
          </w:p>
        </w:tc>
        <w:tc>
          <w:tcPr>
            <w:tcW w:w="1270" w:type="dxa"/>
            <w:noWrap/>
            <w:hideMark/>
          </w:tcPr>
          <w:p w:rsidR="0022787F" w:rsidRPr="0022787F" w:rsidRDefault="0022787F" w:rsidP="0022787F">
            <w:pPr>
              <w:pStyle w:val="StandaardSV"/>
              <w:jc w:val="right"/>
            </w:pPr>
            <w:r w:rsidRPr="0022787F">
              <w:t>10</w:t>
            </w:r>
          </w:p>
        </w:tc>
        <w:tc>
          <w:tcPr>
            <w:tcW w:w="1270" w:type="dxa"/>
            <w:noWrap/>
            <w:hideMark/>
          </w:tcPr>
          <w:p w:rsidR="0022787F" w:rsidRPr="0022787F" w:rsidRDefault="0022787F" w:rsidP="0022787F">
            <w:pPr>
              <w:pStyle w:val="StandaardSV"/>
              <w:jc w:val="right"/>
            </w:pPr>
            <w:r w:rsidRPr="0022787F">
              <w:t>37</w:t>
            </w:r>
          </w:p>
        </w:tc>
        <w:tc>
          <w:tcPr>
            <w:tcW w:w="1270" w:type="dxa"/>
            <w:noWrap/>
            <w:hideMark/>
          </w:tcPr>
          <w:p w:rsidR="0022787F" w:rsidRPr="0022787F" w:rsidRDefault="0022787F" w:rsidP="0022787F">
            <w:pPr>
              <w:pStyle w:val="StandaardSV"/>
              <w:jc w:val="right"/>
            </w:pPr>
            <w:r w:rsidRPr="0022787F">
              <w:t>10</w:t>
            </w:r>
          </w:p>
        </w:tc>
        <w:tc>
          <w:tcPr>
            <w:tcW w:w="1270" w:type="dxa"/>
            <w:noWrap/>
            <w:hideMark/>
          </w:tcPr>
          <w:p w:rsidR="0022787F" w:rsidRPr="0022787F" w:rsidRDefault="0022787F" w:rsidP="0022787F">
            <w:pPr>
              <w:pStyle w:val="StandaardSV"/>
              <w:jc w:val="right"/>
            </w:pPr>
            <w:r w:rsidRPr="0022787F">
              <w:t>36</w:t>
            </w:r>
          </w:p>
        </w:tc>
        <w:tc>
          <w:tcPr>
            <w:tcW w:w="1270" w:type="dxa"/>
            <w:noWrap/>
            <w:hideMark/>
          </w:tcPr>
          <w:p w:rsidR="0022787F" w:rsidRPr="0022787F" w:rsidRDefault="0022787F" w:rsidP="0022787F">
            <w:pPr>
              <w:pStyle w:val="StandaardSV"/>
              <w:jc w:val="right"/>
            </w:pPr>
            <w:r w:rsidRPr="0022787F">
              <w:t>126</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juni</w:t>
            </w:r>
          </w:p>
        </w:tc>
        <w:tc>
          <w:tcPr>
            <w:tcW w:w="1270" w:type="dxa"/>
            <w:noWrap/>
            <w:hideMark/>
          </w:tcPr>
          <w:p w:rsidR="0022787F" w:rsidRPr="0022787F" w:rsidRDefault="0022787F" w:rsidP="0022787F">
            <w:pPr>
              <w:pStyle w:val="StandaardSV"/>
              <w:jc w:val="right"/>
            </w:pPr>
            <w:r w:rsidRPr="0022787F">
              <w:t>24</w:t>
            </w:r>
          </w:p>
        </w:tc>
        <w:tc>
          <w:tcPr>
            <w:tcW w:w="1270" w:type="dxa"/>
            <w:noWrap/>
            <w:hideMark/>
          </w:tcPr>
          <w:p w:rsidR="0022787F" w:rsidRPr="0022787F" w:rsidRDefault="0022787F" w:rsidP="0022787F">
            <w:pPr>
              <w:pStyle w:val="StandaardSV"/>
              <w:jc w:val="right"/>
            </w:pPr>
            <w:r w:rsidRPr="0022787F">
              <w:t>16</w:t>
            </w:r>
          </w:p>
        </w:tc>
        <w:tc>
          <w:tcPr>
            <w:tcW w:w="1270" w:type="dxa"/>
            <w:noWrap/>
            <w:hideMark/>
          </w:tcPr>
          <w:p w:rsidR="0022787F" w:rsidRPr="0022787F" w:rsidRDefault="0022787F" w:rsidP="0022787F">
            <w:pPr>
              <w:pStyle w:val="StandaardSV"/>
              <w:jc w:val="right"/>
            </w:pPr>
            <w:r w:rsidRPr="0022787F">
              <w:t>25</w:t>
            </w:r>
          </w:p>
        </w:tc>
        <w:tc>
          <w:tcPr>
            <w:tcW w:w="1270" w:type="dxa"/>
            <w:noWrap/>
            <w:hideMark/>
          </w:tcPr>
          <w:p w:rsidR="0022787F" w:rsidRPr="0022787F" w:rsidRDefault="0022787F" w:rsidP="0022787F">
            <w:pPr>
              <w:pStyle w:val="StandaardSV"/>
              <w:jc w:val="right"/>
            </w:pPr>
            <w:r w:rsidRPr="0022787F">
              <w:t>13</w:t>
            </w:r>
          </w:p>
        </w:tc>
        <w:tc>
          <w:tcPr>
            <w:tcW w:w="1270" w:type="dxa"/>
            <w:noWrap/>
            <w:hideMark/>
          </w:tcPr>
          <w:p w:rsidR="0022787F" w:rsidRPr="0022787F" w:rsidRDefault="0022787F" w:rsidP="0022787F">
            <w:pPr>
              <w:pStyle w:val="StandaardSV"/>
              <w:jc w:val="right"/>
            </w:pPr>
            <w:r w:rsidRPr="0022787F">
              <w:t>38</w:t>
            </w:r>
          </w:p>
        </w:tc>
        <w:tc>
          <w:tcPr>
            <w:tcW w:w="1270" w:type="dxa"/>
            <w:noWrap/>
            <w:hideMark/>
          </w:tcPr>
          <w:p w:rsidR="0022787F" w:rsidRPr="0022787F" w:rsidRDefault="0022787F" w:rsidP="0022787F">
            <w:pPr>
              <w:pStyle w:val="StandaardSV"/>
              <w:jc w:val="right"/>
            </w:pPr>
            <w:r w:rsidRPr="0022787F">
              <w:t>116</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juli</w:t>
            </w:r>
          </w:p>
        </w:tc>
        <w:tc>
          <w:tcPr>
            <w:tcW w:w="1270" w:type="dxa"/>
            <w:noWrap/>
            <w:hideMark/>
          </w:tcPr>
          <w:p w:rsidR="0022787F" w:rsidRPr="0022787F" w:rsidRDefault="0022787F" w:rsidP="0022787F">
            <w:pPr>
              <w:pStyle w:val="StandaardSV"/>
              <w:jc w:val="right"/>
            </w:pPr>
            <w:r w:rsidRPr="0022787F">
              <w:t>23</w:t>
            </w:r>
          </w:p>
        </w:tc>
        <w:tc>
          <w:tcPr>
            <w:tcW w:w="1270" w:type="dxa"/>
            <w:noWrap/>
            <w:hideMark/>
          </w:tcPr>
          <w:p w:rsidR="0022787F" w:rsidRPr="0022787F" w:rsidRDefault="0022787F" w:rsidP="0022787F">
            <w:pPr>
              <w:pStyle w:val="StandaardSV"/>
              <w:jc w:val="right"/>
            </w:pPr>
            <w:r w:rsidRPr="0022787F">
              <w:t>10</w:t>
            </w:r>
          </w:p>
        </w:tc>
        <w:tc>
          <w:tcPr>
            <w:tcW w:w="1270" w:type="dxa"/>
            <w:noWrap/>
            <w:hideMark/>
          </w:tcPr>
          <w:p w:rsidR="0022787F" w:rsidRPr="0022787F" w:rsidRDefault="0022787F" w:rsidP="0022787F">
            <w:pPr>
              <w:pStyle w:val="StandaardSV"/>
              <w:jc w:val="right"/>
            </w:pPr>
            <w:r w:rsidRPr="0022787F">
              <w:t>27</w:t>
            </w:r>
          </w:p>
        </w:tc>
        <w:tc>
          <w:tcPr>
            <w:tcW w:w="1270" w:type="dxa"/>
            <w:noWrap/>
            <w:hideMark/>
          </w:tcPr>
          <w:p w:rsidR="0022787F" w:rsidRPr="0022787F" w:rsidRDefault="0022787F" w:rsidP="0022787F">
            <w:pPr>
              <w:pStyle w:val="StandaardSV"/>
              <w:jc w:val="right"/>
            </w:pPr>
            <w:r w:rsidRPr="0022787F">
              <w:t>8</w:t>
            </w:r>
          </w:p>
        </w:tc>
        <w:tc>
          <w:tcPr>
            <w:tcW w:w="1270" w:type="dxa"/>
            <w:noWrap/>
            <w:hideMark/>
          </w:tcPr>
          <w:p w:rsidR="0022787F" w:rsidRPr="0022787F" w:rsidRDefault="0022787F" w:rsidP="0022787F">
            <w:pPr>
              <w:pStyle w:val="StandaardSV"/>
              <w:jc w:val="right"/>
            </w:pPr>
            <w:r w:rsidRPr="0022787F">
              <w:t>53</w:t>
            </w:r>
          </w:p>
        </w:tc>
        <w:tc>
          <w:tcPr>
            <w:tcW w:w="1270" w:type="dxa"/>
            <w:noWrap/>
            <w:hideMark/>
          </w:tcPr>
          <w:p w:rsidR="0022787F" w:rsidRPr="0022787F" w:rsidRDefault="0022787F" w:rsidP="0022787F">
            <w:pPr>
              <w:pStyle w:val="StandaardSV"/>
              <w:jc w:val="right"/>
            </w:pPr>
            <w:r w:rsidRPr="0022787F">
              <w:t>121</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augustus</w:t>
            </w:r>
          </w:p>
        </w:tc>
        <w:tc>
          <w:tcPr>
            <w:tcW w:w="1270" w:type="dxa"/>
            <w:noWrap/>
            <w:hideMark/>
          </w:tcPr>
          <w:p w:rsidR="0022787F" w:rsidRPr="0022787F" w:rsidRDefault="0022787F" w:rsidP="0022787F">
            <w:pPr>
              <w:pStyle w:val="StandaardSV"/>
              <w:jc w:val="right"/>
            </w:pPr>
            <w:r w:rsidRPr="0022787F">
              <w:t>25</w:t>
            </w:r>
          </w:p>
        </w:tc>
        <w:tc>
          <w:tcPr>
            <w:tcW w:w="1270" w:type="dxa"/>
            <w:noWrap/>
            <w:hideMark/>
          </w:tcPr>
          <w:p w:rsidR="0022787F" w:rsidRPr="0022787F" w:rsidRDefault="0022787F" w:rsidP="0022787F">
            <w:pPr>
              <w:pStyle w:val="StandaardSV"/>
              <w:jc w:val="right"/>
            </w:pPr>
            <w:r w:rsidRPr="0022787F">
              <w:t>12</w:t>
            </w:r>
          </w:p>
        </w:tc>
        <w:tc>
          <w:tcPr>
            <w:tcW w:w="1270" w:type="dxa"/>
            <w:noWrap/>
            <w:hideMark/>
          </w:tcPr>
          <w:p w:rsidR="0022787F" w:rsidRPr="0022787F" w:rsidRDefault="0022787F" w:rsidP="0022787F">
            <w:pPr>
              <w:pStyle w:val="StandaardSV"/>
              <w:jc w:val="right"/>
            </w:pPr>
            <w:r w:rsidRPr="0022787F">
              <w:t>9</w:t>
            </w:r>
          </w:p>
        </w:tc>
        <w:tc>
          <w:tcPr>
            <w:tcW w:w="1270" w:type="dxa"/>
            <w:noWrap/>
            <w:hideMark/>
          </w:tcPr>
          <w:p w:rsidR="0022787F" w:rsidRPr="0022787F" w:rsidRDefault="0022787F" w:rsidP="0022787F">
            <w:pPr>
              <w:pStyle w:val="StandaardSV"/>
              <w:jc w:val="right"/>
            </w:pPr>
            <w:r w:rsidRPr="0022787F">
              <w:t>10</w:t>
            </w:r>
          </w:p>
        </w:tc>
        <w:tc>
          <w:tcPr>
            <w:tcW w:w="1270" w:type="dxa"/>
            <w:noWrap/>
            <w:hideMark/>
          </w:tcPr>
          <w:p w:rsidR="0022787F" w:rsidRPr="0022787F" w:rsidRDefault="0022787F" w:rsidP="0022787F">
            <w:pPr>
              <w:pStyle w:val="StandaardSV"/>
              <w:jc w:val="right"/>
            </w:pPr>
            <w:r w:rsidRPr="0022787F">
              <w:t>25</w:t>
            </w:r>
          </w:p>
        </w:tc>
        <w:tc>
          <w:tcPr>
            <w:tcW w:w="1270" w:type="dxa"/>
            <w:noWrap/>
            <w:hideMark/>
          </w:tcPr>
          <w:p w:rsidR="0022787F" w:rsidRPr="0022787F" w:rsidRDefault="0022787F" w:rsidP="0022787F">
            <w:pPr>
              <w:pStyle w:val="StandaardSV"/>
              <w:jc w:val="right"/>
            </w:pPr>
            <w:r w:rsidRPr="0022787F">
              <w:t>81</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september</w:t>
            </w:r>
          </w:p>
        </w:tc>
        <w:tc>
          <w:tcPr>
            <w:tcW w:w="1270" w:type="dxa"/>
            <w:noWrap/>
            <w:hideMark/>
          </w:tcPr>
          <w:p w:rsidR="0022787F" w:rsidRPr="0022787F" w:rsidRDefault="0022787F" w:rsidP="0022787F">
            <w:pPr>
              <w:pStyle w:val="StandaardSV"/>
              <w:jc w:val="right"/>
            </w:pPr>
            <w:r w:rsidRPr="0022787F">
              <w:t>10</w:t>
            </w:r>
          </w:p>
        </w:tc>
        <w:tc>
          <w:tcPr>
            <w:tcW w:w="1270" w:type="dxa"/>
            <w:noWrap/>
            <w:hideMark/>
          </w:tcPr>
          <w:p w:rsidR="0022787F" w:rsidRPr="0022787F" w:rsidRDefault="0022787F" w:rsidP="0022787F">
            <w:pPr>
              <w:pStyle w:val="StandaardSV"/>
              <w:jc w:val="right"/>
            </w:pPr>
            <w:r w:rsidRPr="0022787F">
              <w:t>23</w:t>
            </w:r>
          </w:p>
        </w:tc>
        <w:tc>
          <w:tcPr>
            <w:tcW w:w="1270" w:type="dxa"/>
            <w:noWrap/>
            <w:hideMark/>
          </w:tcPr>
          <w:p w:rsidR="0022787F" w:rsidRPr="0022787F" w:rsidRDefault="0022787F" w:rsidP="0022787F">
            <w:pPr>
              <w:pStyle w:val="StandaardSV"/>
              <w:jc w:val="right"/>
            </w:pPr>
            <w:r w:rsidRPr="0022787F">
              <w:t>26</w:t>
            </w:r>
          </w:p>
        </w:tc>
        <w:tc>
          <w:tcPr>
            <w:tcW w:w="1270" w:type="dxa"/>
            <w:noWrap/>
            <w:hideMark/>
          </w:tcPr>
          <w:p w:rsidR="0022787F" w:rsidRPr="0022787F" w:rsidRDefault="0022787F" w:rsidP="0022787F">
            <w:pPr>
              <w:pStyle w:val="StandaardSV"/>
              <w:jc w:val="right"/>
            </w:pPr>
            <w:r w:rsidRPr="0022787F">
              <w:t>15</w:t>
            </w:r>
          </w:p>
        </w:tc>
        <w:tc>
          <w:tcPr>
            <w:tcW w:w="1270" w:type="dxa"/>
            <w:noWrap/>
            <w:hideMark/>
          </w:tcPr>
          <w:p w:rsidR="0022787F" w:rsidRPr="0022787F" w:rsidRDefault="0022787F" w:rsidP="0022787F">
            <w:pPr>
              <w:pStyle w:val="StandaardSV"/>
              <w:jc w:val="right"/>
            </w:pPr>
            <w:r w:rsidRPr="0022787F">
              <w:t>27</w:t>
            </w:r>
          </w:p>
        </w:tc>
        <w:tc>
          <w:tcPr>
            <w:tcW w:w="1270" w:type="dxa"/>
            <w:noWrap/>
            <w:hideMark/>
          </w:tcPr>
          <w:p w:rsidR="0022787F" w:rsidRPr="0022787F" w:rsidRDefault="0022787F" w:rsidP="0022787F">
            <w:pPr>
              <w:pStyle w:val="StandaardSV"/>
              <w:jc w:val="right"/>
            </w:pPr>
            <w:r w:rsidRPr="0022787F">
              <w:t>101</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oktober</w:t>
            </w:r>
          </w:p>
        </w:tc>
        <w:tc>
          <w:tcPr>
            <w:tcW w:w="1270" w:type="dxa"/>
            <w:noWrap/>
            <w:hideMark/>
          </w:tcPr>
          <w:p w:rsidR="0022787F" w:rsidRPr="0022787F" w:rsidRDefault="0022787F" w:rsidP="0022787F">
            <w:pPr>
              <w:pStyle w:val="StandaardSV"/>
              <w:jc w:val="right"/>
            </w:pPr>
            <w:r w:rsidRPr="0022787F">
              <w:t>33</w:t>
            </w:r>
          </w:p>
        </w:tc>
        <w:tc>
          <w:tcPr>
            <w:tcW w:w="1270" w:type="dxa"/>
            <w:noWrap/>
            <w:hideMark/>
          </w:tcPr>
          <w:p w:rsidR="0022787F" w:rsidRPr="0022787F" w:rsidRDefault="0022787F" w:rsidP="0022787F">
            <w:pPr>
              <w:pStyle w:val="StandaardSV"/>
              <w:jc w:val="right"/>
            </w:pPr>
            <w:r w:rsidRPr="0022787F">
              <w:t>23</w:t>
            </w:r>
          </w:p>
        </w:tc>
        <w:tc>
          <w:tcPr>
            <w:tcW w:w="1270" w:type="dxa"/>
            <w:noWrap/>
            <w:hideMark/>
          </w:tcPr>
          <w:p w:rsidR="0022787F" w:rsidRPr="0022787F" w:rsidRDefault="0022787F" w:rsidP="0022787F">
            <w:pPr>
              <w:pStyle w:val="StandaardSV"/>
              <w:jc w:val="right"/>
            </w:pPr>
            <w:r w:rsidRPr="0022787F">
              <w:t>42</w:t>
            </w:r>
          </w:p>
        </w:tc>
        <w:tc>
          <w:tcPr>
            <w:tcW w:w="1270" w:type="dxa"/>
            <w:noWrap/>
            <w:hideMark/>
          </w:tcPr>
          <w:p w:rsidR="0022787F" w:rsidRPr="0022787F" w:rsidRDefault="0022787F" w:rsidP="0022787F">
            <w:pPr>
              <w:pStyle w:val="StandaardSV"/>
              <w:jc w:val="right"/>
            </w:pPr>
            <w:r w:rsidRPr="0022787F">
              <w:t>18</w:t>
            </w:r>
          </w:p>
        </w:tc>
        <w:tc>
          <w:tcPr>
            <w:tcW w:w="1270" w:type="dxa"/>
            <w:noWrap/>
            <w:hideMark/>
          </w:tcPr>
          <w:p w:rsidR="0022787F" w:rsidRPr="0022787F" w:rsidRDefault="0022787F" w:rsidP="0022787F">
            <w:pPr>
              <w:pStyle w:val="StandaardSV"/>
              <w:jc w:val="right"/>
            </w:pPr>
            <w:r w:rsidRPr="0022787F">
              <w:t>51</w:t>
            </w:r>
          </w:p>
        </w:tc>
        <w:tc>
          <w:tcPr>
            <w:tcW w:w="1270" w:type="dxa"/>
            <w:noWrap/>
            <w:hideMark/>
          </w:tcPr>
          <w:p w:rsidR="0022787F" w:rsidRPr="0022787F" w:rsidRDefault="0022787F" w:rsidP="0022787F">
            <w:pPr>
              <w:pStyle w:val="StandaardSV"/>
              <w:jc w:val="right"/>
            </w:pPr>
            <w:r w:rsidRPr="0022787F">
              <w:t>167</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november</w:t>
            </w:r>
          </w:p>
        </w:tc>
        <w:tc>
          <w:tcPr>
            <w:tcW w:w="1270" w:type="dxa"/>
            <w:noWrap/>
            <w:hideMark/>
          </w:tcPr>
          <w:p w:rsidR="0022787F" w:rsidRPr="0022787F" w:rsidRDefault="0022787F" w:rsidP="0022787F">
            <w:pPr>
              <w:pStyle w:val="StandaardSV"/>
              <w:jc w:val="right"/>
            </w:pPr>
            <w:r w:rsidRPr="0022787F">
              <w:t>29</w:t>
            </w:r>
          </w:p>
        </w:tc>
        <w:tc>
          <w:tcPr>
            <w:tcW w:w="1270" w:type="dxa"/>
            <w:noWrap/>
            <w:hideMark/>
          </w:tcPr>
          <w:p w:rsidR="0022787F" w:rsidRPr="0022787F" w:rsidRDefault="0022787F" w:rsidP="0022787F">
            <w:pPr>
              <w:pStyle w:val="StandaardSV"/>
              <w:jc w:val="right"/>
            </w:pPr>
            <w:r w:rsidRPr="0022787F">
              <w:t>28</w:t>
            </w:r>
          </w:p>
        </w:tc>
        <w:tc>
          <w:tcPr>
            <w:tcW w:w="1270" w:type="dxa"/>
            <w:noWrap/>
            <w:hideMark/>
          </w:tcPr>
          <w:p w:rsidR="0022787F" w:rsidRPr="0022787F" w:rsidRDefault="0022787F" w:rsidP="0022787F">
            <w:pPr>
              <w:pStyle w:val="StandaardSV"/>
              <w:jc w:val="right"/>
            </w:pPr>
            <w:r w:rsidRPr="0022787F">
              <w:t>36</w:t>
            </w:r>
          </w:p>
        </w:tc>
        <w:tc>
          <w:tcPr>
            <w:tcW w:w="1270" w:type="dxa"/>
            <w:noWrap/>
            <w:hideMark/>
          </w:tcPr>
          <w:p w:rsidR="0022787F" w:rsidRPr="0022787F" w:rsidRDefault="0022787F" w:rsidP="0022787F">
            <w:pPr>
              <w:pStyle w:val="StandaardSV"/>
              <w:jc w:val="right"/>
            </w:pPr>
            <w:r w:rsidRPr="0022787F">
              <w:t>18</w:t>
            </w:r>
          </w:p>
        </w:tc>
        <w:tc>
          <w:tcPr>
            <w:tcW w:w="1270" w:type="dxa"/>
            <w:noWrap/>
            <w:hideMark/>
          </w:tcPr>
          <w:p w:rsidR="0022787F" w:rsidRPr="0022787F" w:rsidRDefault="0022787F" w:rsidP="0022787F">
            <w:pPr>
              <w:pStyle w:val="StandaardSV"/>
              <w:jc w:val="right"/>
            </w:pPr>
            <w:r w:rsidRPr="0022787F">
              <w:t>52</w:t>
            </w:r>
          </w:p>
        </w:tc>
        <w:tc>
          <w:tcPr>
            <w:tcW w:w="1270" w:type="dxa"/>
            <w:noWrap/>
            <w:hideMark/>
          </w:tcPr>
          <w:p w:rsidR="0022787F" w:rsidRPr="0022787F" w:rsidRDefault="0022787F" w:rsidP="0022787F">
            <w:pPr>
              <w:pStyle w:val="StandaardSV"/>
              <w:jc w:val="right"/>
            </w:pPr>
            <w:r w:rsidRPr="0022787F">
              <w:t>163</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december</w:t>
            </w:r>
          </w:p>
        </w:tc>
        <w:tc>
          <w:tcPr>
            <w:tcW w:w="1270" w:type="dxa"/>
            <w:noWrap/>
            <w:hideMark/>
          </w:tcPr>
          <w:p w:rsidR="0022787F" w:rsidRPr="0022787F" w:rsidRDefault="0022787F" w:rsidP="0022787F">
            <w:pPr>
              <w:pStyle w:val="StandaardSV"/>
              <w:jc w:val="right"/>
            </w:pPr>
            <w:r w:rsidRPr="0022787F">
              <w:t>19</w:t>
            </w:r>
          </w:p>
        </w:tc>
        <w:tc>
          <w:tcPr>
            <w:tcW w:w="1270" w:type="dxa"/>
            <w:noWrap/>
            <w:hideMark/>
          </w:tcPr>
          <w:p w:rsidR="0022787F" w:rsidRPr="0022787F" w:rsidRDefault="0022787F" w:rsidP="0022787F">
            <w:pPr>
              <w:pStyle w:val="StandaardSV"/>
              <w:jc w:val="right"/>
            </w:pPr>
            <w:r w:rsidRPr="0022787F">
              <w:t>30</w:t>
            </w:r>
          </w:p>
        </w:tc>
        <w:tc>
          <w:tcPr>
            <w:tcW w:w="1270" w:type="dxa"/>
            <w:noWrap/>
            <w:hideMark/>
          </w:tcPr>
          <w:p w:rsidR="0022787F" w:rsidRPr="0022787F" w:rsidRDefault="0022787F" w:rsidP="0022787F">
            <w:pPr>
              <w:pStyle w:val="StandaardSV"/>
              <w:jc w:val="right"/>
            </w:pPr>
            <w:r w:rsidRPr="0022787F">
              <w:t>37</w:t>
            </w:r>
          </w:p>
        </w:tc>
        <w:tc>
          <w:tcPr>
            <w:tcW w:w="1270" w:type="dxa"/>
            <w:noWrap/>
            <w:hideMark/>
          </w:tcPr>
          <w:p w:rsidR="0022787F" w:rsidRPr="0022787F" w:rsidRDefault="0022787F" w:rsidP="0022787F">
            <w:pPr>
              <w:pStyle w:val="StandaardSV"/>
              <w:jc w:val="right"/>
            </w:pPr>
            <w:r w:rsidRPr="0022787F">
              <w:t>11</w:t>
            </w:r>
          </w:p>
        </w:tc>
        <w:tc>
          <w:tcPr>
            <w:tcW w:w="1270" w:type="dxa"/>
            <w:noWrap/>
            <w:hideMark/>
          </w:tcPr>
          <w:p w:rsidR="0022787F" w:rsidRPr="0022787F" w:rsidRDefault="0022787F" w:rsidP="0022787F">
            <w:pPr>
              <w:pStyle w:val="StandaardSV"/>
              <w:jc w:val="right"/>
            </w:pPr>
            <w:r w:rsidRPr="0022787F">
              <w:t>49</w:t>
            </w:r>
          </w:p>
        </w:tc>
        <w:tc>
          <w:tcPr>
            <w:tcW w:w="1270" w:type="dxa"/>
            <w:noWrap/>
            <w:hideMark/>
          </w:tcPr>
          <w:p w:rsidR="0022787F" w:rsidRPr="0022787F" w:rsidRDefault="0022787F" w:rsidP="0022787F">
            <w:pPr>
              <w:pStyle w:val="StandaardSV"/>
              <w:jc w:val="right"/>
            </w:pPr>
            <w:r w:rsidRPr="0022787F">
              <w:t>146</w:t>
            </w:r>
          </w:p>
        </w:tc>
      </w:tr>
      <w:tr w:rsidR="0022787F" w:rsidRPr="0022787F" w:rsidTr="00015D26">
        <w:trPr>
          <w:trHeight w:val="300"/>
        </w:trPr>
        <w:tc>
          <w:tcPr>
            <w:tcW w:w="1560" w:type="dxa"/>
            <w:noWrap/>
            <w:hideMark/>
          </w:tcPr>
          <w:p w:rsidR="0022787F" w:rsidRPr="0022787F" w:rsidRDefault="0022787F" w:rsidP="002B7045">
            <w:pPr>
              <w:pStyle w:val="StandaardSV"/>
            </w:pPr>
            <w:r w:rsidRPr="0022787F">
              <w:t>Eindtotaal</w:t>
            </w:r>
          </w:p>
        </w:tc>
        <w:tc>
          <w:tcPr>
            <w:tcW w:w="1270" w:type="dxa"/>
            <w:noWrap/>
            <w:hideMark/>
          </w:tcPr>
          <w:p w:rsidR="0022787F" w:rsidRPr="0022787F" w:rsidRDefault="0022787F" w:rsidP="0022787F">
            <w:pPr>
              <w:pStyle w:val="StandaardSV"/>
              <w:jc w:val="right"/>
              <w:rPr>
                <w:b/>
                <w:bCs/>
              </w:rPr>
            </w:pPr>
            <w:r w:rsidRPr="0022787F">
              <w:rPr>
                <w:b/>
                <w:bCs/>
              </w:rPr>
              <w:t>273</w:t>
            </w:r>
          </w:p>
        </w:tc>
        <w:tc>
          <w:tcPr>
            <w:tcW w:w="1270" w:type="dxa"/>
            <w:noWrap/>
            <w:hideMark/>
          </w:tcPr>
          <w:p w:rsidR="0022787F" w:rsidRPr="0022787F" w:rsidRDefault="0022787F" w:rsidP="0022787F">
            <w:pPr>
              <w:pStyle w:val="StandaardSV"/>
              <w:jc w:val="right"/>
              <w:rPr>
                <w:b/>
                <w:bCs/>
              </w:rPr>
            </w:pPr>
            <w:r w:rsidRPr="0022787F">
              <w:rPr>
                <w:b/>
                <w:bCs/>
              </w:rPr>
              <w:t>212</w:t>
            </w:r>
          </w:p>
        </w:tc>
        <w:tc>
          <w:tcPr>
            <w:tcW w:w="1270" w:type="dxa"/>
            <w:noWrap/>
            <w:hideMark/>
          </w:tcPr>
          <w:p w:rsidR="0022787F" w:rsidRPr="0022787F" w:rsidRDefault="0022787F" w:rsidP="0022787F">
            <w:pPr>
              <w:pStyle w:val="StandaardSV"/>
              <w:jc w:val="right"/>
              <w:rPr>
                <w:b/>
                <w:bCs/>
              </w:rPr>
            </w:pPr>
            <w:r w:rsidRPr="0022787F">
              <w:rPr>
                <w:b/>
                <w:bCs/>
              </w:rPr>
              <w:t>335</w:t>
            </w:r>
          </w:p>
        </w:tc>
        <w:tc>
          <w:tcPr>
            <w:tcW w:w="1270" w:type="dxa"/>
            <w:noWrap/>
            <w:hideMark/>
          </w:tcPr>
          <w:p w:rsidR="0022787F" w:rsidRPr="0022787F" w:rsidRDefault="0022787F" w:rsidP="0022787F">
            <w:pPr>
              <w:pStyle w:val="StandaardSV"/>
              <w:jc w:val="right"/>
              <w:rPr>
                <w:b/>
                <w:bCs/>
              </w:rPr>
            </w:pPr>
            <w:r w:rsidRPr="0022787F">
              <w:rPr>
                <w:b/>
                <w:bCs/>
              </w:rPr>
              <w:t>160</w:t>
            </w:r>
          </w:p>
        </w:tc>
        <w:tc>
          <w:tcPr>
            <w:tcW w:w="1270" w:type="dxa"/>
            <w:noWrap/>
            <w:hideMark/>
          </w:tcPr>
          <w:p w:rsidR="0022787F" w:rsidRPr="0022787F" w:rsidRDefault="0022787F" w:rsidP="0022787F">
            <w:pPr>
              <w:pStyle w:val="StandaardSV"/>
              <w:jc w:val="right"/>
              <w:rPr>
                <w:b/>
                <w:bCs/>
              </w:rPr>
            </w:pPr>
            <w:r w:rsidRPr="0022787F">
              <w:rPr>
                <w:b/>
                <w:bCs/>
              </w:rPr>
              <w:t>490</w:t>
            </w:r>
          </w:p>
        </w:tc>
        <w:tc>
          <w:tcPr>
            <w:tcW w:w="1270" w:type="dxa"/>
            <w:noWrap/>
            <w:hideMark/>
          </w:tcPr>
          <w:p w:rsidR="0022787F" w:rsidRPr="0022787F" w:rsidRDefault="0022787F" w:rsidP="0022787F">
            <w:pPr>
              <w:pStyle w:val="StandaardSV"/>
              <w:jc w:val="right"/>
              <w:rPr>
                <w:b/>
                <w:bCs/>
              </w:rPr>
            </w:pPr>
            <w:r w:rsidRPr="0022787F">
              <w:rPr>
                <w:b/>
                <w:bCs/>
              </w:rPr>
              <w:t>1</w:t>
            </w:r>
            <w:r>
              <w:rPr>
                <w:b/>
                <w:bCs/>
              </w:rPr>
              <w:t>.</w:t>
            </w:r>
            <w:r w:rsidRPr="0022787F">
              <w:rPr>
                <w:b/>
                <w:bCs/>
              </w:rPr>
              <w:t>470</w:t>
            </w:r>
          </w:p>
        </w:tc>
      </w:tr>
    </w:tbl>
    <w:p w:rsidR="0022787F" w:rsidRPr="0022787F" w:rsidRDefault="0022787F" w:rsidP="0022787F">
      <w:pPr>
        <w:pStyle w:val="StandaardSV"/>
        <w:rPr>
          <w:lang w:val="nl-BE"/>
        </w:rPr>
      </w:pPr>
    </w:p>
    <w:p w:rsidR="0022787F" w:rsidRPr="0022787F" w:rsidRDefault="0022787F" w:rsidP="0022787F">
      <w:pPr>
        <w:pStyle w:val="StandaardSV"/>
        <w:rPr>
          <w:lang w:val="nl-BE"/>
        </w:rPr>
      </w:pPr>
    </w:p>
    <w:p w:rsidR="0022787F" w:rsidRPr="0022787F" w:rsidRDefault="0022787F" w:rsidP="0022787F">
      <w:pPr>
        <w:jc w:val="both"/>
        <w:rPr>
          <w:color w:val="000000"/>
          <w:szCs w:val="22"/>
        </w:rPr>
      </w:pPr>
      <w:r w:rsidRPr="0022787F">
        <w:rPr>
          <w:color w:val="000000"/>
          <w:szCs w:val="22"/>
        </w:rPr>
        <w:t>Hierbij een overzicht van het aantal aanvragen voor de vermindering van successierechten ingediend in 2013, opgesplitst per maand en per provincie.</w:t>
      </w:r>
    </w:p>
    <w:p w:rsidR="0022787F" w:rsidRPr="0022787F" w:rsidRDefault="0022787F" w:rsidP="0022787F">
      <w:pPr>
        <w:pStyle w:val="StandaardSV"/>
      </w:pPr>
    </w:p>
    <w:tbl>
      <w:tblPr>
        <w:tblStyle w:val="Tabellijst4"/>
        <w:tblW w:w="0" w:type="auto"/>
        <w:tblInd w:w="108" w:type="dxa"/>
        <w:tblLayout w:type="fixed"/>
        <w:tblLook w:val="04A0" w:firstRow="1" w:lastRow="0" w:firstColumn="1" w:lastColumn="0" w:noHBand="0" w:noVBand="1"/>
      </w:tblPr>
      <w:tblGrid>
        <w:gridCol w:w="1668"/>
        <w:gridCol w:w="1252"/>
        <w:gridCol w:w="1252"/>
        <w:gridCol w:w="1252"/>
        <w:gridCol w:w="1252"/>
        <w:gridCol w:w="1252"/>
        <w:gridCol w:w="1252"/>
      </w:tblGrid>
      <w:tr w:rsidR="0022787F" w:rsidRPr="0022787F" w:rsidTr="00015D26">
        <w:trPr>
          <w:cnfStyle w:val="100000000000" w:firstRow="1" w:lastRow="0" w:firstColumn="0" w:lastColumn="0" w:oddVBand="0" w:evenVBand="0" w:oddHBand="0" w:evenHBand="0" w:firstRowFirstColumn="0" w:firstRowLastColumn="0" w:lastRowFirstColumn="0" w:lastRowLastColumn="0"/>
          <w:trHeight w:val="300"/>
        </w:trPr>
        <w:tc>
          <w:tcPr>
            <w:tcW w:w="1668" w:type="dxa"/>
            <w:noWrap/>
            <w:hideMark/>
          </w:tcPr>
          <w:p w:rsidR="0022787F" w:rsidRPr="0022787F" w:rsidRDefault="0022787F" w:rsidP="002B7045">
            <w:pPr>
              <w:pStyle w:val="StandaardSV"/>
              <w:rPr>
                <w:sz w:val="18"/>
              </w:rPr>
            </w:pPr>
          </w:p>
        </w:tc>
        <w:tc>
          <w:tcPr>
            <w:tcW w:w="1252" w:type="dxa"/>
            <w:noWrap/>
            <w:hideMark/>
          </w:tcPr>
          <w:p w:rsidR="0022787F" w:rsidRPr="0022787F" w:rsidRDefault="0022787F" w:rsidP="0022787F">
            <w:pPr>
              <w:pStyle w:val="StandaardSV"/>
              <w:jc w:val="right"/>
              <w:rPr>
                <w:sz w:val="18"/>
              </w:rPr>
            </w:pPr>
            <w:r w:rsidRPr="0022787F">
              <w:rPr>
                <w:sz w:val="18"/>
              </w:rPr>
              <w:t>Antwerpen</w:t>
            </w:r>
          </w:p>
        </w:tc>
        <w:tc>
          <w:tcPr>
            <w:tcW w:w="1252" w:type="dxa"/>
            <w:noWrap/>
            <w:hideMark/>
          </w:tcPr>
          <w:p w:rsidR="0022787F" w:rsidRPr="0022787F" w:rsidRDefault="0022787F" w:rsidP="0022787F">
            <w:pPr>
              <w:pStyle w:val="StandaardSV"/>
              <w:jc w:val="right"/>
              <w:rPr>
                <w:sz w:val="18"/>
              </w:rPr>
            </w:pPr>
            <w:r w:rsidRPr="0022787F">
              <w:rPr>
                <w:sz w:val="18"/>
              </w:rPr>
              <w:t>Limburg</w:t>
            </w:r>
          </w:p>
        </w:tc>
        <w:tc>
          <w:tcPr>
            <w:tcW w:w="1252" w:type="dxa"/>
            <w:noWrap/>
            <w:hideMark/>
          </w:tcPr>
          <w:p w:rsidR="0022787F" w:rsidRPr="0022787F" w:rsidRDefault="0022787F" w:rsidP="0022787F">
            <w:pPr>
              <w:pStyle w:val="StandaardSV"/>
              <w:jc w:val="right"/>
              <w:rPr>
                <w:sz w:val="18"/>
              </w:rPr>
            </w:pPr>
            <w:r w:rsidRPr="0022787F">
              <w:rPr>
                <w:sz w:val="18"/>
              </w:rPr>
              <w:t>Oost-Vlaanderen</w:t>
            </w:r>
          </w:p>
        </w:tc>
        <w:tc>
          <w:tcPr>
            <w:tcW w:w="1252" w:type="dxa"/>
            <w:noWrap/>
            <w:hideMark/>
          </w:tcPr>
          <w:p w:rsidR="0022787F" w:rsidRPr="0022787F" w:rsidRDefault="0022787F" w:rsidP="0022787F">
            <w:pPr>
              <w:pStyle w:val="StandaardSV"/>
              <w:jc w:val="right"/>
              <w:rPr>
                <w:sz w:val="18"/>
              </w:rPr>
            </w:pPr>
            <w:r w:rsidRPr="0022787F">
              <w:rPr>
                <w:sz w:val="18"/>
              </w:rPr>
              <w:t>Vlaams-Brabant</w:t>
            </w:r>
          </w:p>
        </w:tc>
        <w:tc>
          <w:tcPr>
            <w:tcW w:w="1252" w:type="dxa"/>
            <w:noWrap/>
            <w:hideMark/>
          </w:tcPr>
          <w:p w:rsidR="0022787F" w:rsidRPr="0022787F" w:rsidRDefault="0022787F" w:rsidP="0022787F">
            <w:pPr>
              <w:pStyle w:val="StandaardSV"/>
              <w:jc w:val="right"/>
              <w:rPr>
                <w:sz w:val="18"/>
              </w:rPr>
            </w:pPr>
            <w:r w:rsidRPr="0022787F">
              <w:rPr>
                <w:sz w:val="18"/>
              </w:rPr>
              <w:t>West-Vlaanderen</w:t>
            </w:r>
          </w:p>
        </w:tc>
        <w:tc>
          <w:tcPr>
            <w:tcW w:w="1252" w:type="dxa"/>
            <w:noWrap/>
            <w:hideMark/>
          </w:tcPr>
          <w:p w:rsidR="0022787F" w:rsidRPr="0022787F" w:rsidRDefault="0022787F" w:rsidP="0022787F">
            <w:pPr>
              <w:pStyle w:val="StandaardSV"/>
              <w:jc w:val="right"/>
              <w:rPr>
                <w:sz w:val="18"/>
              </w:rPr>
            </w:pPr>
            <w:r w:rsidRPr="0022787F">
              <w:rPr>
                <w:sz w:val="18"/>
              </w:rPr>
              <w:t>Eindtotaal</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januari</w:t>
            </w:r>
          </w:p>
        </w:tc>
        <w:tc>
          <w:tcPr>
            <w:tcW w:w="1252" w:type="dxa"/>
            <w:noWrap/>
            <w:hideMark/>
          </w:tcPr>
          <w:p w:rsidR="0022787F" w:rsidRPr="0022787F" w:rsidRDefault="0022787F" w:rsidP="0022787F">
            <w:pPr>
              <w:pStyle w:val="StandaardSV"/>
              <w:jc w:val="right"/>
            </w:pPr>
            <w:r w:rsidRPr="0022787F">
              <w:t>7</w:t>
            </w:r>
          </w:p>
        </w:tc>
        <w:tc>
          <w:tcPr>
            <w:tcW w:w="1252" w:type="dxa"/>
            <w:noWrap/>
            <w:hideMark/>
          </w:tcPr>
          <w:p w:rsidR="0022787F" w:rsidRPr="0022787F" w:rsidRDefault="0022787F" w:rsidP="0022787F">
            <w:pPr>
              <w:pStyle w:val="StandaardSV"/>
              <w:jc w:val="right"/>
            </w:pP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14</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februari</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r w:rsidRPr="0022787F">
              <w:t>1</w:t>
            </w:r>
          </w:p>
        </w:tc>
        <w:tc>
          <w:tcPr>
            <w:tcW w:w="1252" w:type="dxa"/>
            <w:noWrap/>
            <w:hideMark/>
          </w:tcPr>
          <w:p w:rsidR="0022787F" w:rsidRPr="0022787F" w:rsidRDefault="0022787F" w:rsidP="0022787F">
            <w:pPr>
              <w:pStyle w:val="StandaardSV"/>
              <w:jc w:val="right"/>
            </w:pPr>
            <w:r w:rsidRPr="0022787F">
              <w:t>7</w:t>
            </w:r>
          </w:p>
        </w:tc>
        <w:tc>
          <w:tcPr>
            <w:tcW w:w="1252" w:type="dxa"/>
            <w:noWrap/>
            <w:hideMark/>
          </w:tcPr>
          <w:p w:rsidR="0022787F" w:rsidRPr="0022787F" w:rsidRDefault="0022787F" w:rsidP="0022787F">
            <w:pPr>
              <w:pStyle w:val="StandaardSV"/>
              <w:jc w:val="right"/>
            </w:pPr>
            <w:r w:rsidRPr="0022787F">
              <w:t>17</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maart</w:t>
            </w:r>
          </w:p>
        </w:tc>
        <w:tc>
          <w:tcPr>
            <w:tcW w:w="1252" w:type="dxa"/>
            <w:noWrap/>
            <w:hideMark/>
          </w:tcPr>
          <w:p w:rsidR="0022787F" w:rsidRPr="0022787F" w:rsidRDefault="0022787F" w:rsidP="0022787F">
            <w:pPr>
              <w:pStyle w:val="StandaardSV"/>
              <w:jc w:val="right"/>
            </w:pPr>
            <w:r w:rsidRPr="0022787F">
              <w:t>6</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7</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p>
        </w:tc>
        <w:tc>
          <w:tcPr>
            <w:tcW w:w="1252" w:type="dxa"/>
            <w:noWrap/>
            <w:hideMark/>
          </w:tcPr>
          <w:p w:rsidR="0022787F" w:rsidRPr="0022787F" w:rsidRDefault="0022787F" w:rsidP="0022787F">
            <w:pPr>
              <w:pStyle w:val="StandaardSV"/>
              <w:jc w:val="right"/>
            </w:pPr>
            <w:r w:rsidRPr="0022787F">
              <w:t>18</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april</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1</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7</w:t>
            </w:r>
          </w:p>
        </w:tc>
        <w:tc>
          <w:tcPr>
            <w:tcW w:w="1252" w:type="dxa"/>
            <w:noWrap/>
            <w:hideMark/>
          </w:tcPr>
          <w:p w:rsidR="0022787F" w:rsidRPr="0022787F" w:rsidRDefault="0022787F" w:rsidP="0022787F">
            <w:pPr>
              <w:pStyle w:val="StandaardSV"/>
              <w:jc w:val="right"/>
            </w:pPr>
            <w:r w:rsidRPr="0022787F">
              <w:t>16</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mei</w:t>
            </w: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r w:rsidRPr="0022787F">
              <w:t>6</w:t>
            </w:r>
          </w:p>
        </w:tc>
        <w:tc>
          <w:tcPr>
            <w:tcW w:w="1252" w:type="dxa"/>
            <w:noWrap/>
            <w:hideMark/>
          </w:tcPr>
          <w:p w:rsidR="0022787F" w:rsidRPr="0022787F" w:rsidRDefault="0022787F" w:rsidP="0022787F">
            <w:pPr>
              <w:pStyle w:val="StandaardSV"/>
              <w:jc w:val="right"/>
            </w:pPr>
            <w:r w:rsidRPr="0022787F">
              <w:t>20</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juni</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p>
        </w:tc>
        <w:tc>
          <w:tcPr>
            <w:tcW w:w="1252" w:type="dxa"/>
            <w:noWrap/>
            <w:hideMark/>
          </w:tcPr>
          <w:p w:rsidR="0022787F" w:rsidRPr="0022787F" w:rsidRDefault="0022787F" w:rsidP="0022787F">
            <w:pPr>
              <w:pStyle w:val="StandaardSV"/>
              <w:jc w:val="right"/>
            </w:pPr>
            <w:r w:rsidRPr="0022787F">
              <w:t>8</w:t>
            </w:r>
          </w:p>
        </w:tc>
        <w:tc>
          <w:tcPr>
            <w:tcW w:w="1252" w:type="dxa"/>
            <w:noWrap/>
            <w:hideMark/>
          </w:tcPr>
          <w:p w:rsidR="0022787F" w:rsidRPr="0022787F" w:rsidRDefault="0022787F" w:rsidP="0022787F">
            <w:pPr>
              <w:pStyle w:val="StandaardSV"/>
              <w:jc w:val="right"/>
            </w:pPr>
            <w:r w:rsidRPr="0022787F">
              <w:t>5</w:t>
            </w:r>
          </w:p>
        </w:tc>
        <w:tc>
          <w:tcPr>
            <w:tcW w:w="1252" w:type="dxa"/>
            <w:noWrap/>
            <w:hideMark/>
          </w:tcPr>
          <w:p w:rsidR="0022787F" w:rsidRPr="0022787F" w:rsidRDefault="0022787F" w:rsidP="0022787F">
            <w:pPr>
              <w:pStyle w:val="StandaardSV"/>
              <w:jc w:val="right"/>
            </w:pPr>
            <w:r w:rsidRPr="0022787F">
              <w:t>6</w:t>
            </w:r>
          </w:p>
        </w:tc>
        <w:tc>
          <w:tcPr>
            <w:tcW w:w="1252" w:type="dxa"/>
            <w:noWrap/>
            <w:hideMark/>
          </w:tcPr>
          <w:p w:rsidR="0022787F" w:rsidRPr="0022787F" w:rsidRDefault="0022787F" w:rsidP="0022787F">
            <w:pPr>
              <w:pStyle w:val="StandaardSV"/>
              <w:jc w:val="right"/>
            </w:pPr>
            <w:r w:rsidRPr="0022787F">
              <w:t>21</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juli</w:t>
            </w:r>
          </w:p>
        </w:tc>
        <w:tc>
          <w:tcPr>
            <w:tcW w:w="1252" w:type="dxa"/>
            <w:noWrap/>
            <w:hideMark/>
          </w:tcPr>
          <w:p w:rsidR="0022787F" w:rsidRPr="0022787F" w:rsidRDefault="0022787F" w:rsidP="0022787F">
            <w:pPr>
              <w:pStyle w:val="StandaardSV"/>
              <w:jc w:val="right"/>
            </w:pP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r w:rsidRPr="0022787F">
              <w:t>1</w:t>
            </w:r>
          </w:p>
        </w:tc>
        <w:tc>
          <w:tcPr>
            <w:tcW w:w="1252" w:type="dxa"/>
            <w:noWrap/>
            <w:hideMark/>
          </w:tcPr>
          <w:p w:rsidR="0022787F" w:rsidRPr="0022787F" w:rsidRDefault="0022787F" w:rsidP="0022787F">
            <w:pPr>
              <w:pStyle w:val="StandaardSV"/>
              <w:jc w:val="right"/>
            </w:pPr>
            <w:r w:rsidRPr="0022787F">
              <w:t>6</w:t>
            </w:r>
          </w:p>
        </w:tc>
        <w:tc>
          <w:tcPr>
            <w:tcW w:w="1252" w:type="dxa"/>
            <w:noWrap/>
            <w:hideMark/>
          </w:tcPr>
          <w:p w:rsidR="0022787F" w:rsidRPr="0022787F" w:rsidRDefault="0022787F" w:rsidP="0022787F">
            <w:pPr>
              <w:pStyle w:val="StandaardSV"/>
              <w:jc w:val="right"/>
            </w:pPr>
            <w:r w:rsidRPr="0022787F">
              <w:t>15</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augustus</w:t>
            </w:r>
          </w:p>
        </w:tc>
        <w:tc>
          <w:tcPr>
            <w:tcW w:w="1252" w:type="dxa"/>
            <w:noWrap/>
            <w:hideMark/>
          </w:tcPr>
          <w:p w:rsidR="0022787F" w:rsidRPr="0022787F" w:rsidRDefault="0022787F" w:rsidP="0022787F">
            <w:pPr>
              <w:pStyle w:val="StandaardSV"/>
              <w:jc w:val="right"/>
            </w:pPr>
            <w:r w:rsidRPr="0022787F">
              <w:t>5</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1</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13</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lastRenderedPageBreak/>
              <w:t>september</w:t>
            </w: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11</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oktober</w:t>
            </w: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9</w:t>
            </w:r>
          </w:p>
        </w:tc>
        <w:tc>
          <w:tcPr>
            <w:tcW w:w="1252" w:type="dxa"/>
            <w:noWrap/>
            <w:hideMark/>
          </w:tcPr>
          <w:p w:rsidR="0022787F" w:rsidRPr="0022787F" w:rsidRDefault="0022787F" w:rsidP="0022787F">
            <w:pPr>
              <w:pStyle w:val="StandaardSV"/>
              <w:jc w:val="right"/>
            </w:pPr>
            <w:r w:rsidRPr="0022787F">
              <w:t>8</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27</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november</w:t>
            </w: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15</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december</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2</w:t>
            </w:r>
          </w:p>
        </w:tc>
        <w:tc>
          <w:tcPr>
            <w:tcW w:w="1252" w:type="dxa"/>
            <w:noWrap/>
            <w:hideMark/>
          </w:tcPr>
          <w:p w:rsidR="0022787F" w:rsidRPr="0022787F" w:rsidRDefault="0022787F" w:rsidP="0022787F">
            <w:pPr>
              <w:pStyle w:val="StandaardSV"/>
              <w:jc w:val="right"/>
            </w:pPr>
            <w:r w:rsidRPr="0022787F">
              <w:t>4</w:t>
            </w:r>
          </w:p>
        </w:tc>
        <w:tc>
          <w:tcPr>
            <w:tcW w:w="1252" w:type="dxa"/>
            <w:noWrap/>
            <w:hideMark/>
          </w:tcPr>
          <w:p w:rsidR="0022787F" w:rsidRPr="0022787F" w:rsidRDefault="0022787F" w:rsidP="0022787F">
            <w:pPr>
              <w:pStyle w:val="StandaardSV"/>
              <w:jc w:val="right"/>
            </w:pPr>
            <w:r w:rsidRPr="0022787F">
              <w:t>3</w:t>
            </w:r>
          </w:p>
        </w:tc>
        <w:tc>
          <w:tcPr>
            <w:tcW w:w="1252" w:type="dxa"/>
            <w:noWrap/>
            <w:hideMark/>
          </w:tcPr>
          <w:p w:rsidR="0022787F" w:rsidRPr="0022787F" w:rsidRDefault="0022787F" w:rsidP="0022787F">
            <w:pPr>
              <w:pStyle w:val="StandaardSV"/>
              <w:jc w:val="right"/>
            </w:pPr>
            <w:r w:rsidRPr="0022787F">
              <w:t>13</w:t>
            </w:r>
          </w:p>
        </w:tc>
      </w:tr>
      <w:tr w:rsidR="0022787F" w:rsidRPr="0022787F" w:rsidTr="00015D26">
        <w:trPr>
          <w:trHeight w:val="300"/>
        </w:trPr>
        <w:tc>
          <w:tcPr>
            <w:tcW w:w="1668" w:type="dxa"/>
            <w:noWrap/>
            <w:hideMark/>
          </w:tcPr>
          <w:p w:rsidR="0022787F" w:rsidRPr="0022787F" w:rsidRDefault="0022787F" w:rsidP="002B7045">
            <w:pPr>
              <w:pStyle w:val="StandaardSV"/>
            </w:pPr>
            <w:r w:rsidRPr="0022787F">
              <w:t>Eindtotaal</w:t>
            </w:r>
          </w:p>
        </w:tc>
        <w:tc>
          <w:tcPr>
            <w:tcW w:w="1252" w:type="dxa"/>
            <w:noWrap/>
            <w:hideMark/>
          </w:tcPr>
          <w:p w:rsidR="0022787F" w:rsidRPr="0022787F" w:rsidRDefault="0022787F" w:rsidP="0022787F">
            <w:pPr>
              <w:pStyle w:val="StandaardSV"/>
              <w:jc w:val="right"/>
              <w:rPr>
                <w:b/>
                <w:bCs/>
              </w:rPr>
            </w:pPr>
            <w:r w:rsidRPr="0022787F">
              <w:rPr>
                <w:b/>
                <w:bCs/>
              </w:rPr>
              <w:t>43</w:t>
            </w:r>
          </w:p>
        </w:tc>
        <w:tc>
          <w:tcPr>
            <w:tcW w:w="1252" w:type="dxa"/>
            <w:noWrap/>
            <w:hideMark/>
          </w:tcPr>
          <w:p w:rsidR="0022787F" w:rsidRPr="0022787F" w:rsidRDefault="0022787F" w:rsidP="0022787F">
            <w:pPr>
              <w:pStyle w:val="StandaardSV"/>
              <w:jc w:val="right"/>
              <w:rPr>
                <w:b/>
                <w:bCs/>
              </w:rPr>
            </w:pPr>
            <w:r w:rsidRPr="0022787F">
              <w:rPr>
                <w:b/>
                <w:bCs/>
              </w:rPr>
              <w:t>24</w:t>
            </w:r>
          </w:p>
        </w:tc>
        <w:tc>
          <w:tcPr>
            <w:tcW w:w="1252" w:type="dxa"/>
            <w:noWrap/>
            <w:hideMark/>
          </w:tcPr>
          <w:p w:rsidR="0022787F" w:rsidRPr="0022787F" w:rsidRDefault="0022787F" w:rsidP="0022787F">
            <w:pPr>
              <w:pStyle w:val="StandaardSV"/>
              <w:jc w:val="right"/>
              <w:rPr>
                <w:b/>
                <w:bCs/>
              </w:rPr>
            </w:pPr>
            <w:r w:rsidRPr="0022787F">
              <w:rPr>
                <w:b/>
                <w:bCs/>
              </w:rPr>
              <w:t>51</w:t>
            </w:r>
          </w:p>
        </w:tc>
        <w:tc>
          <w:tcPr>
            <w:tcW w:w="1252" w:type="dxa"/>
            <w:noWrap/>
            <w:hideMark/>
          </w:tcPr>
          <w:p w:rsidR="0022787F" w:rsidRPr="0022787F" w:rsidRDefault="0022787F" w:rsidP="0022787F">
            <w:pPr>
              <w:pStyle w:val="StandaardSV"/>
              <w:jc w:val="right"/>
              <w:rPr>
                <w:b/>
                <w:bCs/>
              </w:rPr>
            </w:pPr>
            <w:r w:rsidRPr="0022787F">
              <w:rPr>
                <w:b/>
                <w:bCs/>
              </w:rPr>
              <w:t>35</w:t>
            </w:r>
          </w:p>
        </w:tc>
        <w:tc>
          <w:tcPr>
            <w:tcW w:w="1252" w:type="dxa"/>
            <w:noWrap/>
            <w:hideMark/>
          </w:tcPr>
          <w:p w:rsidR="0022787F" w:rsidRPr="0022787F" w:rsidRDefault="0022787F" w:rsidP="0022787F">
            <w:pPr>
              <w:pStyle w:val="StandaardSV"/>
              <w:jc w:val="right"/>
              <w:rPr>
                <w:b/>
                <w:bCs/>
              </w:rPr>
            </w:pPr>
            <w:r w:rsidRPr="0022787F">
              <w:rPr>
                <w:b/>
                <w:bCs/>
              </w:rPr>
              <w:t>47</w:t>
            </w:r>
          </w:p>
        </w:tc>
        <w:tc>
          <w:tcPr>
            <w:tcW w:w="1252" w:type="dxa"/>
            <w:noWrap/>
            <w:hideMark/>
          </w:tcPr>
          <w:p w:rsidR="0022787F" w:rsidRPr="0022787F" w:rsidRDefault="0022787F" w:rsidP="0022787F">
            <w:pPr>
              <w:pStyle w:val="StandaardSV"/>
              <w:jc w:val="right"/>
              <w:rPr>
                <w:b/>
                <w:bCs/>
              </w:rPr>
            </w:pPr>
            <w:r w:rsidRPr="0022787F">
              <w:rPr>
                <w:b/>
                <w:bCs/>
              </w:rPr>
              <w:t>200</w:t>
            </w:r>
          </w:p>
        </w:tc>
      </w:tr>
    </w:tbl>
    <w:p w:rsidR="0022787F" w:rsidRDefault="0022787F" w:rsidP="0022787F">
      <w:pPr>
        <w:pStyle w:val="StandaardSV"/>
      </w:pPr>
    </w:p>
    <w:p w:rsidR="0022787F" w:rsidRPr="0022787F" w:rsidRDefault="0022787F" w:rsidP="0022787F">
      <w:pPr>
        <w:pStyle w:val="StandaardSV"/>
      </w:pPr>
    </w:p>
    <w:p w:rsidR="0022787F" w:rsidRPr="0022787F" w:rsidRDefault="0022787F" w:rsidP="0022787F">
      <w:pPr>
        <w:pStyle w:val="StandaardSV"/>
        <w:rPr>
          <w:lang w:val="nl-BE"/>
        </w:rPr>
      </w:pPr>
      <w:r w:rsidRPr="0022787F">
        <w:rPr>
          <w:lang w:val="nl-BE"/>
        </w:rPr>
        <w:t>c) De overgedragen bedrijven waren actief in de volgende sectoren:</w:t>
      </w:r>
    </w:p>
    <w:p w:rsidR="0022787F" w:rsidRPr="0022787F" w:rsidRDefault="0022787F" w:rsidP="0022787F">
      <w:pPr>
        <w:pStyle w:val="StandaardSV"/>
        <w:rPr>
          <w:lang w:val="nl-BE"/>
        </w:rPr>
      </w:pPr>
    </w:p>
    <w:p w:rsidR="0022787F" w:rsidRPr="0022787F" w:rsidRDefault="0022787F" w:rsidP="0022787F">
      <w:pPr>
        <w:pStyle w:val="StandaardSV"/>
        <w:rPr>
          <w:lang w:val="nl-BE"/>
        </w:rPr>
      </w:pPr>
    </w:p>
    <w:p w:rsidR="0022787F" w:rsidRPr="0022787F" w:rsidRDefault="0022787F" w:rsidP="0022787F">
      <w:pPr>
        <w:pStyle w:val="StandaardSV"/>
        <w:rPr>
          <w:lang w:val="nl-BE"/>
        </w:rPr>
      </w:pPr>
      <w:r w:rsidRPr="0022787F">
        <w:rPr>
          <w:lang w:val="nl-BE"/>
        </w:rPr>
        <w:t>Voor wat betreft de vrijstelling van schenkingsrechten:</w:t>
      </w:r>
    </w:p>
    <w:p w:rsidR="0022787F" w:rsidRPr="0022787F" w:rsidRDefault="0022787F" w:rsidP="0022787F">
      <w:pPr>
        <w:pStyle w:val="StandaardSV"/>
        <w:rPr>
          <w:lang w:val="nl-BE"/>
        </w:rPr>
      </w:pPr>
    </w:p>
    <w:p w:rsidR="0022787F" w:rsidRPr="0022787F" w:rsidRDefault="0022787F" w:rsidP="0022787F">
      <w:pPr>
        <w:pStyle w:val="StandaardSV"/>
        <w:jc w:val="right"/>
        <w:rPr>
          <w:lang w:val="nl-BE"/>
        </w:rPr>
      </w:pPr>
      <w:r w:rsidRPr="0022787F">
        <w:rPr>
          <w:noProof/>
          <w:lang w:val="nl-BE" w:eastAsia="nl-BE"/>
        </w:rPr>
        <w:drawing>
          <wp:inline distT="0" distB="0" distL="0" distR="0" wp14:anchorId="5DECDA4E" wp14:editId="627FC10B">
            <wp:extent cx="5210175" cy="5743575"/>
            <wp:effectExtent l="0" t="0" r="9525" b="952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787F" w:rsidRPr="0022787F" w:rsidRDefault="0022787F" w:rsidP="0022787F">
      <w:pPr>
        <w:pStyle w:val="StandaardSV"/>
        <w:rPr>
          <w:lang w:val="nl-BE"/>
        </w:rPr>
      </w:pPr>
    </w:p>
    <w:p w:rsidR="0022787F" w:rsidRDefault="0022787F" w:rsidP="0022787F">
      <w:pPr>
        <w:pStyle w:val="StandaardSV"/>
        <w:rPr>
          <w:lang w:val="nl-BE"/>
        </w:rPr>
      </w:pPr>
    </w:p>
    <w:p w:rsidR="00015D26" w:rsidRDefault="00015D26" w:rsidP="0022787F">
      <w:pPr>
        <w:pStyle w:val="StandaardSV"/>
        <w:rPr>
          <w:lang w:val="nl-BE"/>
        </w:rPr>
      </w:pPr>
    </w:p>
    <w:p w:rsidR="00015D26" w:rsidRDefault="00015D26" w:rsidP="0022787F">
      <w:pPr>
        <w:pStyle w:val="StandaardSV"/>
        <w:rPr>
          <w:lang w:val="nl-BE"/>
        </w:rPr>
      </w:pPr>
    </w:p>
    <w:p w:rsidR="00015D26" w:rsidRDefault="00015D26" w:rsidP="0022787F">
      <w:pPr>
        <w:pStyle w:val="StandaardSV"/>
        <w:rPr>
          <w:lang w:val="nl-BE"/>
        </w:rPr>
      </w:pPr>
    </w:p>
    <w:p w:rsidR="00015D26" w:rsidRPr="0022787F" w:rsidRDefault="00015D26" w:rsidP="0022787F">
      <w:pPr>
        <w:pStyle w:val="StandaardSV"/>
        <w:rPr>
          <w:lang w:val="nl-BE"/>
        </w:rPr>
      </w:pPr>
    </w:p>
    <w:p w:rsidR="0022787F" w:rsidRPr="0022787F" w:rsidRDefault="0022787F" w:rsidP="0022787F">
      <w:pPr>
        <w:pStyle w:val="StandaardSV"/>
        <w:rPr>
          <w:lang w:val="nl-BE"/>
        </w:rPr>
      </w:pPr>
      <w:r w:rsidRPr="0022787F">
        <w:rPr>
          <w:lang w:val="nl-BE"/>
        </w:rPr>
        <w:lastRenderedPageBreak/>
        <w:t>Voor wat betreft de vermindering van Successierechten:</w:t>
      </w:r>
    </w:p>
    <w:p w:rsidR="0022787F" w:rsidRPr="0022787F" w:rsidRDefault="0022787F" w:rsidP="0022787F">
      <w:pPr>
        <w:pStyle w:val="StandaardSV"/>
        <w:rPr>
          <w:lang w:val="nl-BE"/>
        </w:rPr>
      </w:pPr>
    </w:p>
    <w:p w:rsidR="0022787F" w:rsidRPr="0022787F" w:rsidRDefault="0022787F" w:rsidP="0022787F">
      <w:pPr>
        <w:pStyle w:val="StandaardSV"/>
        <w:jc w:val="right"/>
        <w:rPr>
          <w:lang w:val="nl-BE"/>
        </w:rPr>
      </w:pPr>
      <w:r w:rsidRPr="0022787F">
        <w:rPr>
          <w:noProof/>
          <w:lang w:val="nl-BE" w:eastAsia="nl-BE"/>
        </w:rPr>
        <w:drawing>
          <wp:inline distT="0" distB="0" distL="0" distR="0" wp14:anchorId="5A1DB39D" wp14:editId="40806819">
            <wp:extent cx="5210175" cy="5743575"/>
            <wp:effectExtent l="0" t="0" r="9525" b="952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787F" w:rsidRPr="0022787F" w:rsidRDefault="0022787F" w:rsidP="0022787F">
      <w:pPr>
        <w:pStyle w:val="StandaardSV"/>
        <w:rPr>
          <w:lang w:val="nl-BE"/>
        </w:rPr>
      </w:pPr>
    </w:p>
    <w:p w:rsidR="0022787F" w:rsidRDefault="0022787F" w:rsidP="0022787F">
      <w:pPr>
        <w:pStyle w:val="StandaardSV"/>
        <w:rPr>
          <w:lang w:val="nl-BE"/>
        </w:rPr>
      </w:pPr>
    </w:p>
    <w:p w:rsidR="0022787F" w:rsidRPr="0022787F" w:rsidRDefault="0022787F" w:rsidP="0022787F">
      <w:pPr>
        <w:pStyle w:val="StandaardSV"/>
        <w:ind w:left="709" w:hanging="709"/>
        <w:rPr>
          <w:lang w:val="nl-BE"/>
        </w:rPr>
      </w:pPr>
      <w:r>
        <w:rPr>
          <w:lang w:val="nl-BE"/>
        </w:rPr>
        <w:t>2.</w:t>
      </w:r>
      <w:r>
        <w:rPr>
          <w:lang w:val="nl-BE"/>
        </w:rPr>
        <w:tab/>
      </w:r>
      <w:r w:rsidRPr="0022787F">
        <w:rPr>
          <w:lang w:val="nl-BE"/>
        </w:rPr>
        <w:t>De tewerkstellingsvoorwaarde is reeds jaren geleden gewijzigd in een loonlastenvoorwaarde en nadien werd de loonlastenvoorwaarde ook nog eens geschrapt ingevolge de crisismaatregel van 1 januari 2009. In de nieuwe regeling geldt e</w:t>
      </w:r>
      <w:r w:rsidR="00015D26">
        <w:rPr>
          <w:lang w:val="nl-BE"/>
        </w:rPr>
        <w:t xml:space="preserve">r een </w:t>
      </w:r>
      <w:proofErr w:type="spellStart"/>
      <w:r w:rsidR="00015D26">
        <w:rPr>
          <w:lang w:val="nl-BE"/>
        </w:rPr>
        <w:t>activiteitsvoorwaarde</w:t>
      </w:r>
      <w:proofErr w:type="spellEnd"/>
      <w:r w:rsidRPr="0022787F">
        <w:rPr>
          <w:lang w:val="nl-BE"/>
        </w:rPr>
        <w:t>.</w:t>
      </w:r>
      <w:r w:rsidR="00015D26">
        <w:rPr>
          <w:lang w:val="nl-BE"/>
        </w:rPr>
        <w:t xml:space="preserve"> </w:t>
      </w:r>
      <w:r w:rsidRPr="0022787F">
        <w:rPr>
          <w:lang w:val="nl-BE"/>
        </w:rPr>
        <w:t>Voor het uitsluiten van vennootschappen zonder reële economische activiteit wordt het percentage bezoldigingen, sociale lasten en pensioenen t.o.v. de totale activa gecontroleerd. Het aantal werknemers per overgedragen bedrijf is dus niet ter beschikking.</w:t>
      </w:r>
    </w:p>
    <w:p w:rsidR="00AF1FF0" w:rsidRPr="0022787F" w:rsidRDefault="00AF1FF0" w:rsidP="00015D26">
      <w:pPr>
        <w:jc w:val="both"/>
        <w:rPr>
          <w:szCs w:val="22"/>
        </w:rPr>
      </w:pPr>
    </w:p>
    <w:p w:rsidR="0022787F" w:rsidRDefault="0022787F" w:rsidP="0022787F">
      <w:pPr>
        <w:ind w:left="709" w:hanging="709"/>
        <w:jc w:val="both"/>
        <w:rPr>
          <w:szCs w:val="22"/>
        </w:rPr>
      </w:pPr>
      <w:r>
        <w:rPr>
          <w:szCs w:val="22"/>
        </w:rPr>
        <w:t>3 en 4.</w:t>
      </w:r>
      <w:r>
        <w:rPr>
          <w:szCs w:val="22"/>
        </w:rPr>
        <w:tab/>
      </w:r>
      <w:r w:rsidRPr="0022787F">
        <w:rPr>
          <w:szCs w:val="22"/>
        </w:rPr>
        <w:t>Dit zijn gegevens die niet systematisch worden bijgehouden of geanalyseerd. Het is heel uitzonderlijk dat een familiebedrijf niet in rechte lijn wordt overgedragen (zij het via nalate</w:t>
      </w:r>
      <w:r w:rsidR="007848F5">
        <w:rPr>
          <w:szCs w:val="22"/>
        </w:rPr>
        <w:t>nschap, zij het via schenking).</w:t>
      </w:r>
    </w:p>
    <w:p w:rsidR="0022787F" w:rsidRDefault="0022787F" w:rsidP="00826146">
      <w:pPr>
        <w:ind w:left="360" w:hanging="360"/>
        <w:jc w:val="both"/>
        <w:rPr>
          <w:szCs w:val="22"/>
        </w:rPr>
      </w:pPr>
    </w:p>
    <w:p w:rsidR="0022787F" w:rsidRPr="0022787F" w:rsidRDefault="0022787F" w:rsidP="00826146">
      <w:pPr>
        <w:ind w:left="360" w:hanging="360"/>
        <w:jc w:val="both"/>
        <w:rPr>
          <w:szCs w:val="22"/>
        </w:rPr>
      </w:pPr>
    </w:p>
    <w:p w:rsidR="0022787F" w:rsidRPr="0022787F" w:rsidRDefault="0022787F" w:rsidP="003D2A65">
      <w:pPr>
        <w:ind w:left="709" w:hanging="709"/>
        <w:jc w:val="both"/>
        <w:rPr>
          <w:szCs w:val="22"/>
        </w:rPr>
      </w:pPr>
      <w:r>
        <w:rPr>
          <w:szCs w:val="22"/>
        </w:rPr>
        <w:t>5 en 6.</w:t>
      </w:r>
      <w:r>
        <w:rPr>
          <w:szCs w:val="22"/>
        </w:rPr>
        <w:tab/>
      </w:r>
      <w:r w:rsidRPr="0022787F">
        <w:rPr>
          <w:szCs w:val="22"/>
        </w:rPr>
        <w:t>De erfgenamen of begiftigden van de overgedragen bedrijven kunnen van de vrijstelling of het verlaagd tarief blijven genieten indien het betrokken bedrijf in een bepaalde periode na het overlijden of de schenking aan bepaalde voorwaarden blijft voldoen.</w:t>
      </w:r>
    </w:p>
    <w:p w:rsidR="0022787F" w:rsidRPr="0022787F" w:rsidRDefault="0022787F" w:rsidP="003D2A65">
      <w:pPr>
        <w:ind w:left="709"/>
        <w:jc w:val="both"/>
        <w:rPr>
          <w:szCs w:val="22"/>
        </w:rPr>
      </w:pPr>
      <w:r w:rsidRPr="0022787F">
        <w:rPr>
          <w:szCs w:val="22"/>
        </w:rPr>
        <w:t>De bedrijven die in 2012 zijn overgedragen en die dus onder de nieuwe regeling vallen, moeten gedurende een periode van drie jaar aan een aantal voorwaarden voldoen (waaronder behoud van activiteit). Deze dossiers worden in 2015 gecontroleerd.</w:t>
      </w:r>
    </w:p>
    <w:p w:rsidR="003D2A65" w:rsidRDefault="003D2A65" w:rsidP="00015D26">
      <w:pPr>
        <w:jc w:val="both"/>
        <w:rPr>
          <w:szCs w:val="22"/>
        </w:rPr>
      </w:pPr>
    </w:p>
    <w:p w:rsidR="003D2A65" w:rsidRPr="003D2A65" w:rsidRDefault="003D2A65" w:rsidP="003D2A65">
      <w:pPr>
        <w:ind w:left="709" w:hanging="709"/>
        <w:jc w:val="both"/>
        <w:rPr>
          <w:szCs w:val="22"/>
        </w:rPr>
      </w:pPr>
      <w:r>
        <w:rPr>
          <w:szCs w:val="22"/>
        </w:rPr>
        <w:t>7.</w:t>
      </w:r>
      <w:r>
        <w:rPr>
          <w:szCs w:val="22"/>
        </w:rPr>
        <w:tab/>
      </w:r>
      <w:r w:rsidR="00F82840">
        <w:rPr>
          <w:szCs w:val="22"/>
        </w:rPr>
        <w:t>E</w:t>
      </w:r>
      <w:r w:rsidRPr="003D2A65">
        <w:rPr>
          <w:szCs w:val="22"/>
        </w:rPr>
        <w:t xml:space="preserve">ind december 2011 </w:t>
      </w:r>
      <w:r w:rsidR="00F82840">
        <w:rPr>
          <w:szCs w:val="22"/>
        </w:rPr>
        <w:t xml:space="preserve">werd </w:t>
      </w:r>
      <w:r w:rsidRPr="003D2A65">
        <w:rPr>
          <w:szCs w:val="22"/>
        </w:rPr>
        <w:t xml:space="preserve">een geheel nieuwe regeling voor </w:t>
      </w:r>
      <w:r w:rsidR="00F82840">
        <w:rPr>
          <w:szCs w:val="22"/>
        </w:rPr>
        <w:t xml:space="preserve">overdrachten van </w:t>
      </w:r>
      <w:r w:rsidRPr="003D2A65">
        <w:rPr>
          <w:szCs w:val="22"/>
        </w:rPr>
        <w:t xml:space="preserve">familiale ondernemingen en vennootschappen ingevoerd. De oude regeling </w:t>
      </w:r>
      <w:r w:rsidR="00F82840">
        <w:rPr>
          <w:szCs w:val="22"/>
        </w:rPr>
        <w:t>kende</w:t>
      </w:r>
      <w:r w:rsidRPr="003D2A65">
        <w:rPr>
          <w:szCs w:val="22"/>
        </w:rPr>
        <w:t xml:space="preserve"> immers een aantal pijnpunten. </w:t>
      </w:r>
    </w:p>
    <w:p w:rsidR="00674AA6" w:rsidRDefault="00674AA6" w:rsidP="003D2A65">
      <w:pPr>
        <w:ind w:left="709"/>
        <w:jc w:val="both"/>
        <w:rPr>
          <w:szCs w:val="22"/>
        </w:rPr>
      </w:pPr>
    </w:p>
    <w:p w:rsidR="00674AA6" w:rsidRDefault="003D2A65" w:rsidP="003D2A65">
      <w:pPr>
        <w:ind w:left="709"/>
        <w:jc w:val="both"/>
        <w:rPr>
          <w:szCs w:val="22"/>
        </w:rPr>
      </w:pPr>
      <w:r w:rsidRPr="003D2A65">
        <w:rPr>
          <w:szCs w:val="22"/>
        </w:rPr>
        <w:t xml:space="preserve">Een van die pijnpunten was de onderbenutting van de regeling. </w:t>
      </w:r>
    </w:p>
    <w:p w:rsidR="00674AA6" w:rsidRDefault="00674AA6" w:rsidP="003D2A65">
      <w:pPr>
        <w:ind w:left="709"/>
        <w:jc w:val="both"/>
        <w:rPr>
          <w:szCs w:val="22"/>
        </w:rPr>
      </w:pPr>
    </w:p>
    <w:p w:rsidR="00674AA6" w:rsidRDefault="003D2A65" w:rsidP="003D2A65">
      <w:pPr>
        <w:ind w:left="709"/>
        <w:jc w:val="both"/>
        <w:rPr>
          <w:szCs w:val="22"/>
        </w:rPr>
      </w:pPr>
      <w:r w:rsidRPr="003D2A65">
        <w:rPr>
          <w:szCs w:val="22"/>
        </w:rPr>
        <w:t>De nieuwe regeling h</w:t>
      </w:r>
      <w:r w:rsidR="00674AA6">
        <w:rPr>
          <w:szCs w:val="22"/>
        </w:rPr>
        <w:t>eeft</w:t>
      </w:r>
      <w:r w:rsidRPr="003D2A65">
        <w:rPr>
          <w:szCs w:val="22"/>
        </w:rPr>
        <w:t xml:space="preserve"> tot doel om bedrijfsleiders te stimuleren tijdig hun onderneming of vennootschap door te geven aan de volgende generatie. Dit om te vermijden dat de continuïteit van de onderneming of vennootschap in het gedrang zou komen. Uit onderzoek bleek immers dat de nodige ervaring, </w:t>
      </w:r>
      <w:proofErr w:type="spellStart"/>
      <w:r w:rsidRPr="003D2A65">
        <w:rPr>
          <w:szCs w:val="22"/>
        </w:rPr>
        <w:t>know</w:t>
      </w:r>
      <w:proofErr w:type="spellEnd"/>
      <w:r w:rsidRPr="003D2A65">
        <w:rPr>
          <w:szCs w:val="22"/>
        </w:rPr>
        <w:t xml:space="preserve"> </w:t>
      </w:r>
      <w:proofErr w:type="spellStart"/>
      <w:r w:rsidRPr="003D2A65">
        <w:rPr>
          <w:szCs w:val="22"/>
        </w:rPr>
        <w:t>how</w:t>
      </w:r>
      <w:proofErr w:type="spellEnd"/>
      <w:r w:rsidRPr="003D2A65">
        <w:rPr>
          <w:szCs w:val="22"/>
        </w:rPr>
        <w:t xml:space="preserve">, </w:t>
      </w:r>
      <w:proofErr w:type="spellStart"/>
      <w:r w:rsidRPr="003D2A65">
        <w:rPr>
          <w:szCs w:val="22"/>
        </w:rPr>
        <w:t>e.d.m</w:t>
      </w:r>
      <w:proofErr w:type="spellEnd"/>
      <w:r w:rsidRPr="003D2A65">
        <w:rPr>
          <w:szCs w:val="22"/>
        </w:rPr>
        <w:t xml:space="preserve">. cruciaal zijn voor het voortbestaan van een onderneming of vennootschap. In het licht hiervan werd de vrijstelling van successierechten hervormd tot een vrijstelling van schenkingsrechten. Inzake successierechten bleef een ‘vangnet’ bestaan voor die gevallen waarin de bedrijfsleider nog niet was toegekomen aan de bedrijfsopvolging. </w:t>
      </w:r>
    </w:p>
    <w:p w:rsidR="003D2A65" w:rsidRDefault="000F25BF" w:rsidP="003D2A65">
      <w:pPr>
        <w:ind w:left="709"/>
        <w:jc w:val="both"/>
        <w:rPr>
          <w:szCs w:val="22"/>
        </w:rPr>
      </w:pPr>
      <w:r>
        <w:rPr>
          <w:color w:val="000000"/>
        </w:rPr>
        <w:t xml:space="preserve">Uit de cijfergegevens met betrekking tot het aantal aanvragen bedoeld in het antwoord op de eerste vraag, </w:t>
      </w:r>
      <w:r w:rsidR="003D2A65" w:rsidRPr="003D2A65">
        <w:rPr>
          <w:szCs w:val="22"/>
        </w:rPr>
        <w:t>blijkt dat zeer veel bedrijfsleiders van de mogelijkheid gebruik hebben gemaakt om hun onderneming aan de volgende generatie door te geven</w:t>
      </w:r>
      <w:r>
        <w:rPr>
          <w:szCs w:val="22"/>
        </w:rPr>
        <w:t>, en minder overdrachten pas bij het overlijden gebeuren</w:t>
      </w:r>
      <w:r w:rsidR="003D2A65" w:rsidRPr="003D2A65">
        <w:rPr>
          <w:szCs w:val="22"/>
        </w:rPr>
        <w:t>. D</w:t>
      </w:r>
      <w:r>
        <w:rPr>
          <w:szCs w:val="22"/>
        </w:rPr>
        <w:t>e hervorming is dus een succes.</w:t>
      </w:r>
    </w:p>
    <w:p w:rsidR="00674AA6" w:rsidRDefault="00674AA6" w:rsidP="003D2A65">
      <w:pPr>
        <w:ind w:left="709"/>
        <w:jc w:val="both"/>
        <w:rPr>
          <w:color w:val="000000"/>
        </w:rPr>
      </w:pPr>
    </w:p>
    <w:p w:rsidR="003D2A65" w:rsidRDefault="003D2A65" w:rsidP="003D2A65">
      <w:pPr>
        <w:ind w:left="709"/>
        <w:jc w:val="both"/>
        <w:rPr>
          <w:szCs w:val="22"/>
        </w:rPr>
      </w:pPr>
      <w:r w:rsidRPr="003D2A65">
        <w:rPr>
          <w:szCs w:val="22"/>
        </w:rPr>
        <w:t xml:space="preserve">Een ander </w:t>
      </w:r>
      <w:r w:rsidR="007848F5">
        <w:rPr>
          <w:szCs w:val="22"/>
        </w:rPr>
        <w:t xml:space="preserve">pluspunt aan de nieuwe regelgeving is de transparantie van het decreet.  Daar werd op ingespeeld </w:t>
      </w:r>
      <w:r w:rsidRPr="003D2A65">
        <w:rPr>
          <w:szCs w:val="22"/>
        </w:rPr>
        <w:t>onder meer door het invoegen van definities en duidelijke parameters. Een pluspunt is ook dat de regelgeving voor successie- en registratierechten gelijklopend is, wat de transparantie enkel maar kan verhogen.</w:t>
      </w:r>
    </w:p>
    <w:p w:rsidR="000F25BF" w:rsidRDefault="000F25BF" w:rsidP="003D2A65">
      <w:pPr>
        <w:ind w:left="709"/>
        <w:jc w:val="both"/>
        <w:rPr>
          <w:szCs w:val="22"/>
        </w:rPr>
      </w:pPr>
    </w:p>
    <w:p w:rsidR="000F25BF" w:rsidRDefault="000F25BF" w:rsidP="003D2A65">
      <w:pPr>
        <w:ind w:left="709"/>
        <w:jc w:val="both"/>
        <w:rPr>
          <w:szCs w:val="22"/>
        </w:rPr>
      </w:pPr>
    </w:p>
    <w:p w:rsidR="000F25BF" w:rsidRDefault="000F25BF" w:rsidP="003D2A65">
      <w:pPr>
        <w:ind w:left="709"/>
        <w:jc w:val="both"/>
        <w:rPr>
          <w:szCs w:val="22"/>
        </w:rPr>
      </w:pPr>
    </w:p>
    <w:sectPr w:rsidR="000F25B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38" w:rsidRDefault="001B6338">
      <w:r>
        <w:separator/>
      </w:r>
    </w:p>
  </w:endnote>
  <w:endnote w:type="continuationSeparator" w:id="0">
    <w:p w:rsidR="001B6338" w:rsidRDefault="001B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38" w:rsidRDefault="001B6338">
      <w:r>
        <w:separator/>
      </w:r>
    </w:p>
  </w:footnote>
  <w:footnote w:type="continuationSeparator" w:id="0">
    <w:p w:rsidR="001B6338" w:rsidRDefault="001B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079"/>
    <w:multiLevelType w:val="hybridMultilevel"/>
    <w:tmpl w:val="0EAADA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A5B4BCB"/>
    <w:multiLevelType w:val="hybridMultilevel"/>
    <w:tmpl w:val="EB7482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0BA32E7"/>
    <w:multiLevelType w:val="hybridMultilevel"/>
    <w:tmpl w:val="EB84D43E"/>
    <w:lvl w:ilvl="0" w:tplc="C2EC4FEE">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4"/>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QfZUW/tmHsKzbwNohCqZfcHPLA=" w:salt="scYI7779khSPQRH00rYQ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7F"/>
    <w:rsid w:val="00004AD4"/>
    <w:rsid w:val="00011AA3"/>
    <w:rsid w:val="00014048"/>
    <w:rsid w:val="00015D26"/>
    <w:rsid w:val="0002264A"/>
    <w:rsid w:val="00042574"/>
    <w:rsid w:val="00060CAF"/>
    <w:rsid w:val="000704E0"/>
    <w:rsid w:val="00077CB6"/>
    <w:rsid w:val="00092E90"/>
    <w:rsid w:val="000976E9"/>
    <w:rsid w:val="000C2BF2"/>
    <w:rsid w:val="000C4E8C"/>
    <w:rsid w:val="000E0169"/>
    <w:rsid w:val="000F25BF"/>
    <w:rsid w:val="000F3532"/>
    <w:rsid w:val="000F457E"/>
    <w:rsid w:val="00111393"/>
    <w:rsid w:val="00113D30"/>
    <w:rsid w:val="00115A86"/>
    <w:rsid w:val="00117812"/>
    <w:rsid w:val="00142290"/>
    <w:rsid w:val="00162ED2"/>
    <w:rsid w:val="00175898"/>
    <w:rsid w:val="0018437F"/>
    <w:rsid w:val="001B6338"/>
    <w:rsid w:val="001C385B"/>
    <w:rsid w:val="001C6D2A"/>
    <w:rsid w:val="001C767D"/>
    <w:rsid w:val="00210C07"/>
    <w:rsid w:val="002200AB"/>
    <w:rsid w:val="00227084"/>
    <w:rsid w:val="0022787F"/>
    <w:rsid w:val="00227D8E"/>
    <w:rsid w:val="0029398C"/>
    <w:rsid w:val="00297E99"/>
    <w:rsid w:val="002A7BA2"/>
    <w:rsid w:val="002B5D7E"/>
    <w:rsid w:val="0031095D"/>
    <w:rsid w:val="00326A58"/>
    <w:rsid w:val="003568BA"/>
    <w:rsid w:val="00357979"/>
    <w:rsid w:val="00365143"/>
    <w:rsid w:val="003750AC"/>
    <w:rsid w:val="003B65FF"/>
    <w:rsid w:val="003C33C2"/>
    <w:rsid w:val="003D2A65"/>
    <w:rsid w:val="003D4A9C"/>
    <w:rsid w:val="00414B2D"/>
    <w:rsid w:val="00432AB7"/>
    <w:rsid w:val="00436455"/>
    <w:rsid w:val="004809DA"/>
    <w:rsid w:val="004859AB"/>
    <w:rsid w:val="004B2A99"/>
    <w:rsid w:val="004B579E"/>
    <w:rsid w:val="004C133F"/>
    <w:rsid w:val="004C1A8D"/>
    <w:rsid w:val="004D7505"/>
    <w:rsid w:val="004D7536"/>
    <w:rsid w:val="004E548B"/>
    <w:rsid w:val="004F6C81"/>
    <w:rsid w:val="00542EC1"/>
    <w:rsid w:val="00586236"/>
    <w:rsid w:val="005B50D5"/>
    <w:rsid w:val="005B757C"/>
    <w:rsid w:val="005D17E7"/>
    <w:rsid w:val="005E38CA"/>
    <w:rsid w:val="005F3B71"/>
    <w:rsid w:val="00601D11"/>
    <w:rsid w:val="006021A3"/>
    <w:rsid w:val="006114D8"/>
    <w:rsid w:val="00613AA2"/>
    <w:rsid w:val="006258B7"/>
    <w:rsid w:val="006260E2"/>
    <w:rsid w:val="00674AA6"/>
    <w:rsid w:val="006A5636"/>
    <w:rsid w:val="006B7E6F"/>
    <w:rsid w:val="006C5EEB"/>
    <w:rsid w:val="006E0A01"/>
    <w:rsid w:val="006E2F76"/>
    <w:rsid w:val="007103D2"/>
    <w:rsid w:val="0071248C"/>
    <w:rsid w:val="007252C7"/>
    <w:rsid w:val="00747203"/>
    <w:rsid w:val="00776442"/>
    <w:rsid w:val="0078256A"/>
    <w:rsid w:val="007848F5"/>
    <w:rsid w:val="007927A3"/>
    <w:rsid w:val="00793F26"/>
    <w:rsid w:val="007B21BB"/>
    <w:rsid w:val="007C7B7A"/>
    <w:rsid w:val="007D0E2A"/>
    <w:rsid w:val="007D2CE5"/>
    <w:rsid w:val="007D3128"/>
    <w:rsid w:val="00806962"/>
    <w:rsid w:val="008112DC"/>
    <w:rsid w:val="008206E8"/>
    <w:rsid w:val="008241FD"/>
    <w:rsid w:val="00826146"/>
    <w:rsid w:val="00834D15"/>
    <w:rsid w:val="00851FDB"/>
    <w:rsid w:val="00873C65"/>
    <w:rsid w:val="008A2FF6"/>
    <w:rsid w:val="008D5DB4"/>
    <w:rsid w:val="009058B7"/>
    <w:rsid w:val="00924130"/>
    <w:rsid w:val="00941C06"/>
    <w:rsid w:val="00944B1F"/>
    <w:rsid w:val="00947E8A"/>
    <w:rsid w:val="00953DDC"/>
    <w:rsid w:val="00954DC8"/>
    <w:rsid w:val="009663B8"/>
    <w:rsid w:val="00990DDA"/>
    <w:rsid w:val="0099419F"/>
    <w:rsid w:val="00995BF9"/>
    <w:rsid w:val="009C2AA0"/>
    <w:rsid w:val="009D6AD7"/>
    <w:rsid w:val="009D7043"/>
    <w:rsid w:val="009D763F"/>
    <w:rsid w:val="009F5B1B"/>
    <w:rsid w:val="009F5FD8"/>
    <w:rsid w:val="00A075B3"/>
    <w:rsid w:val="00A10835"/>
    <w:rsid w:val="00A21360"/>
    <w:rsid w:val="00A737E8"/>
    <w:rsid w:val="00A81356"/>
    <w:rsid w:val="00A9424B"/>
    <w:rsid w:val="00A947B3"/>
    <w:rsid w:val="00AC572C"/>
    <w:rsid w:val="00AD6E12"/>
    <w:rsid w:val="00AE58C0"/>
    <w:rsid w:val="00AF1FF0"/>
    <w:rsid w:val="00B05DD7"/>
    <w:rsid w:val="00B233AB"/>
    <w:rsid w:val="00B417DF"/>
    <w:rsid w:val="00B45EB2"/>
    <w:rsid w:val="00B51A62"/>
    <w:rsid w:val="00B523F1"/>
    <w:rsid w:val="00B65213"/>
    <w:rsid w:val="00B65D8D"/>
    <w:rsid w:val="00BA4671"/>
    <w:rsid w:val="00BC4515"/>
    <w:rsid w:val="00BE425A"/>
    <w:rsid w:val="00C12557"/>
    <w:rsid w:val="00C16D61"/>
    <w:rsid w:val="00C23819"/>
    <w:rsid w:val="00C51D62"/>
    <w:rsid w:val="00C83DE3"/>
    <w:rsid w:val="00C93043"/>
    <w:rsid w:val="00C94C4A"/>
    <w:rsid w:val="00CA45DB"/>
    <w:rsid w:val="00CA6A72"/>
    <w:rsid w:val="00CE1D4A"/>
    <w:rsid w:val="00CE6203"/>
    <w:rsid w:val="00CF525E"/>
    <w:rsid w:val="00CF6877"/>
    <w:rsid w:val="00D03C03"/>
    <w:rsid w:val="00D06C22"/>
    <w:rsid w:val="00D13702"/>
    <w:rsid w:val="00D20DEB"/>
    <w:rsid w:val="00D30EAF"/>
    <w:rsid w:val="00D41ABB"/>
    <w:rsid w:val="00D65ABD"/>
    <w:rsid w:val="00D71D99"/>
    <w:rsid w:val="00D754F2"/>
    <w:rsid w:val="00D84C17"/>
    <w:rsid w:val="00D861C5"/>
    <w:rsid w:val="00DB41C0"/>
    <w:rsid w:val="00DB6963"/>
    <w:rsid w:val="00DC32B0"/>
    <w:rsid w:val="00DC4DB6"/>
    <w:rsid w:val="00DF25FE"/>
    <w:rsid w:val="00E13862"/>
    <w:rsid w:val="00E55200"/>
    <w:rsid w:val="00E663EC"/>
    <w:rsid w:val="00E863F5"/>
    <w:rsid w:val="00EA0884"/>
    <w:rsid w:val="00EB1AA4"/>
    <w:rsid w:val="00EE566C"/>
    <w:rsid w:val="00F41B70"/>
    <w:rsid w:val="00F50C62"/>
    <w:rsid w:val="00F74912"/>
    <w:rsid w:val="00F77692"/>
    <w:rsid w:val="00F82840"/>
    <w:rsid w:val="00FA29D6"/>
    <w:rsid w:val="00FD5BF4"/>
    <w:rsid w:val="00FE2F02"/>
    <w:rsid w:val="00FE46C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qFormat/>
    <w:rsid w:val="008A2FF6"/>
    <w:pPr>
      <w:ind w:left="708"/>
    </w:pPr>
    <w:rPr>
      <w:sz w:val="24"/>
    </w:rPr>
  </w:style>
  <w:style w:type="paragraph" w:customStyle="1" w:styleId="StandaardSV">
    <w:name w:val="Standaard SV"/>
    <w:basedOn w:val="Standaard"/>
    <w:rsid w:val="0022787F"/>
    <w:pPr>
      <w:jc w:val="both"/>
    </w:pPr>
    <w:rPr>
      <w:szCs w:val="20"/>
    </w:rPr>
  </w:style>
  <w:style w:type="table" w:customStyle="1" w:styleId="Indicatoren">
    <w:name w:val="Indicatoren"/>
    <w:basedOn w:val="Lichtelijst-accent2"/>
    <w:uiPriority w:val="99"/>
    <w:rsid w:val="0022787F"/>
    <w:pPr>
      <w:jc w:val="right"/>
    </w:pPr>
    <w:rPr>
      <w:rFonts w:asciiTheme="minorHAnsi" w:eastAsiaTheme="minorHAnsi" w:hAnsiTheme="minorHAnsi" w:cstheme="minorBidi"/>
      <w:sz w:val="16"/>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vAlign w:val="center"/>
    </w:tcPr>
    <w:tblStylePr w:type="firstRow">
      <w:pPr>
        <w:wordWrap/>
        <w:spacing w:before="0" w:beforeAutospacing="0" w:after="0" w:afterAutospacing="0" w:line="240" w:lineRule="auto"/>
      </w:pPr>
      <w:rPr>
        <w:rFonts w:asciiTheme="minorHAnsi" w:hAnsiTheme="minorHAnsi"/>
        <w:b/>
        <w:bCs/>
        <w:color w:val="auto"/>
        <w:sz w:val="18"/>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2">
    <w:name w:val="Light List Accent 2"/>
    <w:basedOn w:val="Standaardtabel"/>
    <w:uiPriority w:val="61"/>
    <w:rsid w:val="0022787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envoudigetabel1">
    <w:name w:val="Table Simple 1"/>
    <w:basedOn w:val="Standaardtabel"/>
    <w:rsid w:val="0022787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ijst4">
    <w:name w:val="Table List 4"/>
    <w:basedOn w:val="Standaardtabel"/>
    <w:rsid w:val="0022787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qFormat/>
    <w:rsid w:val="008A2FF6"/>
    <w:pPr>
      <w:ind w:left="708"/>
    </w:pPr>
    <w:rPr>
      <w:sz w:val="24"/>
    </w:rPr>
  </w:style>
  <w:style w:type="paragraph" w:customStyle="1" w:styleId="StandaardSV">
    <w:name w:val="Standaard SV"/>
    <w:basedOn w:val="Standaard"/>
    <w:rsid w:val="0022787F"/>
    <w:pPr>
      <w:jc w:val="both"/>
    </w:pPr>
    <w:rPr>
      <w:szCs w:val="20"/>
    </w:rPr>
  </w:style>
  <w:style w:type="table" w:customStyle="1" w:styleId="Indicatoren">
    <w:name w:val="Indicatoren"/>
    <w:basedOn w:val="Lichtelijst-accent2"/>
    <w:uiPriority w:val="99"/>
    <w:rsid w:val="0022787F"/>
    <w:pPr>
      <w:jc w:val="right"/>
    </w:pPr>
    <w:rPr>
      <w:rFonts w:asciiTheme="minorHAnsi" w:eastAsiaTheme="minorHAnsi" w:hAnsiTheme="minorHAnsi" w:cstheme="minorBidi"/>
      <w:sz w:val="16"/>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cPr>
      <w:vAlign w:val="center"/>
    </w:tcPr>
    <w:tblStylePr w:type="firstRow">
      <w:pPr>
        <w:wordWrap/>
        <w:spacing w:before="0" w:beforeAutospacing="0" w:after="0" w:afterAutospacing="0" w:line="240" w:lineRule="auto"/>
      </w:pPr>
      <w:rPr>
        <w:rFonts w:asciiTheme="minorHAnsi" w:hAnsiTheme="minorHAnsi"/>
        <w:b/>
        <w:bCs/>
        <w:color w:val="auto"/>
        <w:sz w:val="18"/>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2">
    <w:name w:val="Light List Accent 2"/>
    <w:basedOn w:val="Standaardtabel"/>
    <w:uiPriority w:val="61"/>
    <w:rsid w:val="0022787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envoudigetabel1">
    <w:name w:val="Table Simple 1"/>
    <w:basedOn w:val="Standaardtabel"/>
    <w:rsid w:val="0022787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ijst4">
    <w:name w:val="Table List 4"/>
    <w:basedOn w:val="Standaardtabel"/>
    <w:rsid w:val="0022787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aghkr\Desktop\Briefsjablonen\SV.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desaghkr\Documents\KrisWerk\ParlementaireVragen\tebehandelen\Vrijstelling%20schenkingsrecht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desaghkr\Documents\KrisWerk\ParlementaireVragen\tebehandelen\60_1Indeling%20per%20activite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scene3d>
              <a:camera prst="orthographicFront"/>
              <a:lightRig rig="threePt" dir="t"/>
            </a:scene3d>
            <a:sp3d>
              <a:bevelT/>
            </a:sp3d>
          </c:spPr>
          <c:dPt>
            <c:idx val="8"/>
            <c:bubble3D val="0"/>
          </c:dPt>
          <c:dPt>
            <c:idx val="10"/>
            <c:bubble3D val="0"/>
          </c:dPt>
          <c:dPt>
            <c:idx val="14"/>
            <c:bubble3D val="0"/>
            <c:explosion val="5"/>
          </c:dPt>
          <c:dLbls>
            <c:showLegendKey val="0"/>
            <c:showVal val="0"/>
            <c:showCatName val="0"/>
            <c:showSerName val="0"/>
            <c:showPercent val="1"/>
            <c:showBubbleSize val="0"/>
            <c:showLeaderLines val="1"/>
          </c:dLbls>
          <c:cat>
            <c:strRef>
              <c:f>Blad2!$A$3:$A$13</c:f>
              <c:strCache>
                <c:ptCount val="11"/>
                <c:pt idx="0">
                  <c:v>apotheek - medische sector</c:v>
                </c:pt>
                <c:pt idx="1">
                  <c:v>bouwnijverheid en industrie</c:v>
                </c:pt>
                <c:pt idx="2">
                  <c:v>detail- en groothandel</c:v>
                </c:pt>
                <c:pt idx="3">
                  <c:v>dienstverlening - verzekeringen</c:v>
                </c:pt>
                <c:pt idx="4">
                  <c:v>garage</c:v>
                </c:pt>
                <c:pt idx="5">
                  <c:v>holding</c:v>
                </c:pt>
                <c:pt idx="6">
                  <c:v>horeca</c:v>
                </c:pt>
                <c:pt idx="7">
                  <c:v>immobiliën</c:v>
                </c:pt>
                <c:pt idx="8">
                  <c:v>land- en tuinbouw</c:v>
                </c:pt>
                <c:pt idx="9">
                  <c:v>textielnijverheid</c:v>
                </c:pt>
                <c:pt idx="10">
                  <c:v>transportsektor</c:v>
                </c:pt>
              </c:strCache>
            </c:strRef>
          </c:cat>
          <c:val>
            <c:numRef>
              <c:f>Blad2!$B$3:$B$13</c:f>
              <c:numCache>
                <c:formatCode>General</c:formatCode>
                <c:ptCount val="11"/>
                <c:pt idx="0">
                  <c:v>24</c:v>
                </c:pt>
                <c:pt idx="1">
                  <c:v>169</c:v>
                </c:pt>
                <c:pt idx="2">
                  <c:v>319</c:v>
                </c:pt>
                <c:pt idx="3">
                  <c:v>165</c:v>
                </c:pt>
                <c:pt idx="4">
                  <c:v>43</c:v>
                </c:pt>
                <c:pt idx="5">
                  <c:v>214</c:v>
                </c:pt>
                <c:pt idx="6">
                  <c:v>35</c:v>
                </c:pt>
                <c:pt idx="7">
                  <c:v>72</c:v>
                </c:pt>
                <c:pt idx="8">
                  <c:v>389</c:v>
                </c:pt>
                <c:pt idx="9">
                  <c:v>1</c:v>
                </c:pt>
                <c:pt idx="10">
                  <c:v>41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scene3d>
              <a:camera prst="orthographicFront"/>
              <a:lightRig rig="threePt" dir="t"/>
            </a:scene3d>
            <a:sp3d>
              <a:bevelT/>
            </a:sp3d>
          </c:spPr>
          <c:dPt>
            <c:idx val="8"/>
            <c:bubble3D val="0"/>
          </c:dPt>
          <c:dPt>
            <c:idx val="10"/>
            <c:bubble3D val="0"/>
          </c:dPt>
          <c:dPt>
            <c:idx val="14"/>
            <c:bubble3D val="0"/>
            <c:explosion val="5"/>
          </c:dPt>
          <c:dLbls>
            <c:showLegendKey val="0"/>
            <c:showVal val="0"/>
            <c:showCatName val="0"/>
            <c:showSerName val="0"/>
            <c:showPercent val="1"/>
            <c:showBubbleSize val="0"/>
            <c:showLeaderLines val="1"/>
          </c:dLbls>
          <c:cat>
            <c:strRef>
              <c:f>Blad2!$A$3:$A$13</c:f>
              <c:strCache>
                <c:ptCount val="11"/>
                <c:pt idx="0">
                  <c:v>apotheek - medische sector</c:v>
                </c:pt>
                <c:pt idx="1">
                  <c:v>bouwnijverheid en industrie</c:v>
                </c:pt>
                <c:pt idx="2">
                  <c:v>detail- en groothandel</c:v>
                </c:pt>
                <c:pt idx="3">
                  <c:v>dienstverlening - verzekeringen</c:v>
                </c:pt>
                <c:pt idx="4">
                  <c:v>garage</c:v>
                </c:pt>
                <c:pt idx="5">
                  <c:v>holding</c:v>
                </c:pt>
                <c:pt idx="6">
                  <c:v>horeca</c:v>
                </c:pt>
                <c:pt idx="7">
                  <c:v>immobiliën</c:v>
                </c:pt>
                <c:pt idx="8">
                  <c:v>land- en tuinbouw</c:v>
                </c:pt>
                <c:pt idx="9">
                  <c:v>textielnijverheid</c:v>
                </c:pt>
                <c:pt idx="10">
                  <c:v>transportsektor</c:v>
                </c:pt>
              </c:strCache>
            </c:strRef>
          </c:cat>
          <c:val>
            <c:numRef>
              <c:f>Blad2!$B$3:$B$13</c:f>
              <c:numCache>
                <c:formatCode>General</c:formatCode>
                <c:ptCount val="11"/>
                <c:pt idx="0">
                  <c:v>4</c:v>
                </c:pt>
                <c:pt idx="1">
                  <c:v>4</c:v>
                </c:pt>
                <c:pt idx="2">
                  <c:v>64</c:v>
                </c:pt>
                <c:pt idx="3">
                  <c:v>28</c:v>
                </c:pt>
                <c:pt idx="4">
                  <c:v>3</c:v>
                </c:pt>
                <c:pt idx="5">
                  <c:v>16</c:v>
                </c:pt>
                <c:pt idx="6">
                  <c:v>22</c:v>
                </c:pt>
                <c:pt idx="7">
                  <c:v>7</c:v>
                </c:pt>
                <c:pt idx="8">
                  <c:v>38</c:v>
                </c:pt>
                <c:pt idx="9">
                  <c:v>3</c:v>
                </c:pt>
                <c:pt idx="10">
                  <c:v>11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Template>
  <TotalTime>5</TotalTime>
  <Pages>4</Pages>
  <Words>715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 Sagher, Kris</dc:creator>
  <cp:lastModifiedBy>Sandra Quaethoven</cp:lastModifiedBy>
  <cp:revision>3</cp:revision>
  <cp:lastPrinted>2012-04-19T09:12:00Z</cp:lastPrinted>
  <dcterms:created xsi:type="dcterms:W3CDTF">2014-03-26T16:23:00Z</dcterms:created>
  <dcterms:modified xsi:type="dcterms:W3CDTF">2014-03-26T16:27:00Z</dcterms:modified>
</cp:coreProperties>
</file>