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BE0ED3" w:rsidRDefault="0018703D" w:rsidP="006F7B19">
      <w:pPr>
        <w:pStyle w:val="A-Type"/>
        <w:outlineLvl w:val="0"/>
        <w:sectPr w:rsidR="00210C07" w:rsidRPr="00BE0ED3" w:rsidSect="000976E9">
          <w:type w:val="continuous"/>
          <w:pgSz w:w="11906" w:h="16838"/>
          <w:pgMar w:top="1417" w:right="1417" w:bottom="1417" w:left="1417" w:header="708" w:footer="708" w:gutter="0"/>
          <w:cols w:space="708"/>
          <w:formProt w:val="0"/>
          <w:docGrid w:linePitch="360"/>
        </w:sectPr>
      </w:pPr>
      <w:r>
        <w:lastRenderedPageBreak/>
        <w:t>g</w:t>
      </w:r>
      <w:r w:rsidR="00F716B9">
        <w:t>ecoördineerd antwoord</w:t>
      </w:r>
      <w:r w:rsidR="000976E9" w:rsidRPr="00BE0ED3">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C524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C52465" w:rsidRPr="00326A58">
        <w:rPr>
          <w:b w:val="0"/>
        </w:rPr>
      </w:r>
      <w:r w:rsidR="00C52465" w:rsidRPr="00326A58">
        <w:rPr>
          <w:b w:val="0"/>
        </w:rPr>
        <w:fldChar w:fldCharType="separate"/>
      </w:r>
      <w:r w:rsidR="00D67490">
        <w:rPr>
          <w:b w:val="0"/>
        </w:rPr>
        <w:t>2</w:t>
      </w:r>
      <w:r w:rsidR="00BE0ED3">
        <w:rPr>
          <w:b w:val="0"/>
        </w:rPr>
        <w:t>34</w:t>
      </w:r>
      <w:r w:rsidR="00C524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C524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C52465">
        <w:rPr>
          <w:b w:val="0"/>
        </w:rPr>
      </w:r>
      <w:r w:rsidR="00C52465">
        <w:rPr>
          <w:b w:val="0"/>
        </w:rPr>
        <w:fldChar w:fldCharType="separate"/>
      </w:r>
      <w:r w:rsidR="00BE0ED3">
        <w:rPr>
          <w:b w:val="0"/>
        </w:rPr>
        <w:t>7</w:t>
      </w:r>
      <w:r w:rsidR="00C52465">
        <w:rPr>
          <w:b w:val="0"/>
        </w:rPr>
        <w:fldChar w:fldCharType="end"/>
      </w:r>
      <w:bookmarkEnd w:id="3"/>
      <w:r w:rsidRPr="00326A58">
        <w:rPr>
          <w:b w:val="0"/>
        </w:rPr>
        <w:t xml:space="preserve"> </w:t>
      </w:r>
      <w:bookmarkStart w:id="4" w:name="Dropdown2"/>
      <w:r w:rsidR="00C52465">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8703D">
        <w:rPr>
          <w:b w:val="0"/>
        </w:rPr>
      </w:r>
      <w:r w:rsidR="0018703D">
        <w:rPr>
          <w:b w:val="0"/>
        </w:rPr>
        <w:fldChar w:fldCharType="separate"/>
      </w:r>
      <w:r w:rsidR="00C52465">
        <w:rPr>
          <w:b w:val="0"/>
        </w:rPr>
        <w:fldChar w:fldCharType="end"/>
      </w:r>
      <w:bookmarkEnd w:id="4"/>
      <w:r w:rsidRPr="00326A58">
        <w:rPr>
          <w:b w:val="0"/>
        </w:rPr>
        <w:t xml:space="preserve"> </w:t>
      </w:r>
      <w:bookmarkStart w:id="5" w:name="Dropdown3"/>
      <w:r w:rsidR="00C52465">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8703D">
        <w:rPr>
          <w:b w:val="0"/>
        </w:rPr>
      </w:r>
      <w:r w:rsidR="0018703D">
        <w:rPr>
          <w:b w:val="0"/>
        </w:rPr>
        <w:fldChar w:fldCharType="separate"/>
      </w:r>
      <w:r w:rsidR="00C52465">
        <w:rPr>
          <w:b w:val="0"/>
        </w:rPr>
        <w:fldChar w:fldCharType="end"/>
      </w:r>
      <w:bookmarkEnd w:id="5"/>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F716B9">
        <w:rPr>
          <w:rStyle w:val="AntwoordNaamMinisterChar"/>
        </w:rPr>
        <w:t>c</w:t>
      </w:r>
      <w:r w:rsidR="00BE0ED3">
        <w:rPr>
          <w:rStyle w:val="AntwoordNaamMinisterChar"/>
        </w:rPr>
        <w:t xml:space="preserve">hokri </w:t>
      </w:r>
      <w:r w:rsidR="00F716B9">
        <w:rPr>
          <w:rStyle w:val="AntwoordNaamMinisterChar"/>
        </w:rPr>
        <w:t>m</w:t>
      </w:r>
      <w:r w:rsidR="00BE0ED3">
        <w:rPr>
          <w:rStyle w:val="AntwoordNaamMinisterChar"/>
        </w:rPr>
        <w:t>ahassine</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E4E1A" w:rsidRPr="00CE4E1A" w:rsidRDefault="00CE4E1A" w:rsidP="00CB0A32">
      <w:pPr>
        <w:ind w:left="426" w:hanging="426"/>
        <w:contextualSpacing/>
      </w:pPr>
      <w:bookmarkStart w:id="6" w:name="_GoBack"/>
      <w:bookmarkEnd w:id="6"/>
    </w:p>
    <w:p w:rsidR="00BE0ED3" w:rsidRDefault="00BE0ED3" w:rsidP="00616FCC">
      <w:pPr>
        <w:pStyle w:val="Lijstalinea"/>
        <w:numPr>
          <w:ilvl w:val="0"/>
          <w:numId w:val="23"/>
        </w:numPr>
        <w:contextualSpacing/>
        <w:jc w:val="both"/>
      </w:pPr>
      <w:r>
        <w:t xml:space="preserve">Op uitzondering van enkele kleinere acties, die niet wezenlijk zijn voor het eindresultaat,  zijn alle acties van het actieplan afgerond. Er is de voorbije jaren veel gewerkt </w:t>
      </w:r>
      <w:r w:rsidR="00CD7C08">
        <w:t>inzake</w:t>
      </w:r>
      <w:r>
        <w:t>:</w:t>
      </w:r>
    </w:p>
    <w:p w:rsidR="00BE0ED3" w:rsidRDefault="00BE0ED3" w:rsidP="00616FCC">
      <w:pPr>
        <w:pStyle w:val="Lijstalinea"/>
        <w:numPr>
          <w:ilvl w:val="0"/>
          <w:numId w:val="25"/>
        </w:numPr>
        <w:contextualSpacing/>
        <w:jc w:val="both"/>
      </w:pPr>
      <w:r>
        <w:t>gemeenten sensibiliseren en informeren over jeugdtoerisme (jeugddiensten);</w:t>
      </w:r>
    </w:p>
    <w:p w:rsidR="00BE0ED3" w:rsidRDefault="00BE0ED3" w:rsidP="00616FCC">
      <w:pPr>
        <w:pStyle w:val="Lijstalinea"/>
        <w:numPr>
          <w:ilvl w:val="0"/>
          <w:numId w:val="25"/>
        </w:numPr>
        <w:contextualSpacing/>
        <w:jc w:val="both"/>
      </w:pPr>
      <w:r>
        <w:t>gemeenten sensibiliseren en informeren over de problematiek van de zonevreemde jeugdverblijven (diensten Ruimtelijke Ordening, maar ook jeugddiensten);</w:t>
      </w:r>
    </w:p>
    <w:p w:rsidR="00BE0ED3" w:rsidRDefault="00BE0ED3" w:rsidP="00616FCC">
      <w:pPr>
        <w:pStyle w:val="Lijstalinea"/>
        <w:numPr>
          <w:ilvl w:val="0"/>
          <w:numId w:val="25"/>
        </w:numPr>
        <w:contextualSpacing/>
        <w:jc w:val="both"/>
      </w:pPr>
      <w:r>
        <w:t>oplossingen zoeken voor de zonevreemde jeugdverblijven;</w:t>
      </w:r>
    </w:p>
    <w:p w:rsidR="00BE0ED3" w:rsidRDefault="00BE0ED3" w:rsidP="00616FCC">
      <w:pPr>
        <w:pStyle w:val="Lijstalinea"/>
        <w:numPr>
          <w:ilvl w:val="0"/>
          <w:numId w:val="25"/>
        </w:numPr>
        <w:contextualSpacing/>
        <w:jc w:val="both"/>
      </w:pPr>
      <w:r>
        <w:t>jeugdverblijven begeleiden om zich in orde te stellen met de vergunningsplicht;</w:t>
      </w:r>
    </w:p>
    <w:p w:rsidR="00BE0ED3" w:rsidRDefault="00BE0ED3" w:rsidP="00616FCC">
      <w:pPr>
        <w:pStyle w:val="Lijstalinea"/>
        <w:numPr>
          <w:ilvl w:val="0"/>
          <w:numId w:val="25"/>
        </w:numPr>
        <w:contextualSpacing/>
        <w:jc w:val="both"/>
      </w:pPr>
      <w:r>
        <w:t>jeugdverblijfcentra ondersteunen door oplossingen te zoeken voor de kampvuurplaatsen, groene speelruimte in de omgeving, afval,  …</w:t>
      </w:r>
    </w:p>
    <w:p w:rsidR="00BE0ED3" w:rsidRDefault="00BE0ED3" w:rsidP="00616FCC">
      <w:pPr>
        <w:pStyle w:val="Lijstalinea"/>
        <w:numPr>
          <w:ilvl w:val="0"/>
          <w:numId w:val="25"/>
        </w:numPr>
        <w:contextualSpacing/>
        <w:jc w:val="both"/>
      </w:pPr>
      <w:r>
        <w:t>jeugdverblijfsuitbaters sensibiliseren over omgevingshinder;</w:t>
      </w:r>
    </w:p>
    <w:p w:rsidR="00BE0ED3" w:rsidRDefault="00BE0ED3" w:rsidP="00616FCC">
      <w:pPr>
        <w:ind w:left="360"/>
        <w:contextualSpacing/>
        <w:jc w:val="both"/>
      </w:pPr>
    </w:p>
    <w:p w:rsidR="00FC467D" w:rsidRDefault="00BE0ED3" w:rsidP="00616FCC">
      <w:pPr>
        <w:ind w:left="360"/>
        <w:contextualSpacing/>
        <w:jc w:val="both"/>
      </w:pPr>
      <w:r>
        <w:t>De belangrijkste actie, die nog een verdere uitwerking krijgt, is het uitwerken van het plan van aanpak voor de zonevreemde jeugdverblijven.</w:t>
      </w:r>
    </w:p>
    <w:p w:rsidR="00BE0ED3" w:rsidRDefault="00BE0ED3" w:rsidP="00616FCC">
      <w:pPr>
        <w:ind w:left="360"/>
        <w:contextualSpacing/>
        <w:jc w:val="both"/>
      </w:pPr>
    </w:p>
    <w:p w:rsidR="007D0110" w:rsidRDefault="007D0110" w:rsidP="00616FCC">
      <w:pPr>
        <w:pStyle w:val="Lijstalinea"/>
        <w:numPr>
          <w:ilvl w:val="0"/>
          <w:numId w:val="23"/>
        </w:numPr>
        <w:contextualSpacing/>
        <w:jc w:val="both"/>
      </w:pPr>
      <w:r>
        <w:t xml:space="preserve">Hierbij gaat een </w:t>
      </w:r>
      <w:r w:rsidR="00616FCC">
        <w:t xml:space="preserve">actuele </w:t>
      </w:r>
      <w:r>
        <w:t>stand van zaken</w:t>
      </w:r>
      <w:r w:rsidR="00616FCC">
        <w:t xml:space="preserve"> (februari 2014) van</w:t>
      </w:r>
      <w:r>
        <w:t xml:space="preserve"> de zonering van de jeugdverblijven:</w:t>
      </w:r>
    </w:p>
    <w:p w:rsidR="00616FCC" w:rsidRDefault="00616FCC" w:rsidP="00616FCC">
      <w:pPr>
        <w:pStyle w:val="Lijstalinea"/>
        <w:ind w:left="360"/>
        <w:contextualSpacing/>
        <w:jc w:val="both"/>
      </w:pPr>
    </w:p>
    <w:tbl>
      <w:tblPr>
        <w:tblStyle w:val="Eenvoudigetabel1"/>
        <w:tblW w:w="8505" w:type="dxa"/>
        <w:tblInd w:w="534" w:type="dxa"/>
        <w:tblLayout w:type="fixed"/>
        <w:tblLook w:val="04A0" w:firstRow="1" w:lastRow="0" w:firstColumn="1" w:lastColumn="0" w:noHBand="0" w:noVBand="1"/>
      </w:tblPr>
      <w:tblGrid>
        <w:gridCol w:w="1858"/>
        <w:gridCol w:w="1782"/>
        <w:gridCol w:w="1053"/>
        <w:gridCol w:w="1843"/>
        <w:gridCol w:w="835"/>
        <w:gridCol w:w="1134"/>
      </w:tblGrid>
      <w:tr w:rsidR="007D0110" w:rsidRPr="007D0110" w:rsidTr="007D0110">
        <w:trPr>
          <w:cnfStyle w:val="100000000000" w:firstRow="1" w:lastRow="0" w:firstColumn="0" w:lastColumn="0" w:oddVBand="0" w:evenVBand="0" w:oddHBand="0" w:evenHBand="0" w:firstRowFirstColumn="0" w:firstRowLastColumn="0" w:lastRowFirstColumn="0" w:lastRowLastColumn="0"/>
          <w:trHeight w:val="435"/>
        </w:trPr>
        <w:tc>
          <w:tcPr>
            <w:tcW w:w="1858" w:type="dxa"/>
            <w:noWrap/>
            <w:hideMark/>
          </w:tcPr>
          <w:p w:rsidR="007D0110" w:rsidRPr="007D0110" w:rsidRDefault="007D0110" w:rsidP="00616FCC">
            <w:pPr>
              <w:pStyle w:val="Lijstalinea"/>
              <w:ind w:left="360"/>
              <w:contextualSpacing/>
              <w:jc w:val="both"/>
              <w:rPr>
                <w:b/>
                <w:lang w:val="nl-BE"/>
              </w:rPr>
            </w:pPr>
          </w:p>
        </w:tc>
        <w:tc>
          <w:tcPr>
            <w:tcW w:w="2835" w:type="dxa"/>
            <w:gridSpan w:val="2"/>
            <w:noWrap/>
            <w:hideMark/>
          </w:tcPr>
          <w:p w:rsidR="007D0110" w:rsidRPr="007D0110" w:rsidRDefault="007D0110" w:rsidP="00616FCC">
            <w:pPr>
              <w:pStyle w:val="Lijstalinea"/>
              <w:ind w:left="360"/>
              <w:contextualSpacing/>
              <w:jc w:val="both"/>
              <w:rPr>
                <w:b/>
                <w:bCs/>
                <w:lang w:val="nl-BE"/>
              </w:rPr>
            </w:pPr>
            <w:r w:rsidRPr="007D0110">
              <w:rPr>
                <w:b/>
                <w:bCs/>
                <w:lang w:val="nl-BE"/>
              </w:rPr>
              <w:t>In orde met stedenbouwkundige vergunning</w:t>
            </w:r>
          </w:p>
        </w:tc>
        <w:tc>
          <w:tcPr>
            <w:tcW w:w="2678" w:type="dxa"/>
            <w:gridSpan w:val="2"/>
            <w:noWrap/>
            <w:hideMark/>
          </w:tcPr>
          <w:p w:rsidR="007D0110" w:rsidRPr="007D0110" w:rsidRDefault="007D0110" w:rsidP="00616FCC">
            <w:pPr>
              <w:pStyle w:val="Lijstalinea"/>
              <w:ind w:left="360"/>
              <w:contextualSpacing/>
              <w:jc w:val="both"/>
              <w:rPr>
                <w:lang w:val="nl-BE"/>
              </w:rPr>
            </w:pPr>
            <w:r w:rsidRPr="007D0110">
              <w:rPr>
                <w:b/>
                <w:bCs/>
                <w:lang w:val="nl-BE"/>
              </w:rPr>
              <w:t>Niet in orde met stedenbouwkundige vergunning</w:t>
            </w:r>
          </w:p>
        </w:tc>
        <w:tc>
          <w:tcPr>
            <w:tcW w:w="1134" w:type="dxa"/>
          </w:tcPr>
          <w:p w:rsidR="007D0110" w:rsidRPr="007D0110" w:rsidRDefault="007D0110" w:rsidP="00616FCC">
            <w:pPr>
              <w:pStyle w:val="Lijstalinea"/>
              <w:ind w:left="127"/>
              <w:contextualSpacing/>
              <w:jc w:val="both"/>
              <w:rPr>
                <w:lang w:val="nl-BE"/>
              </w:rPr>
            </w:pPr>
            <w:r w:rsidRPr="007D0110">
              <w:rPr>
                <w:b/>
                <w:bCs/>
                <w:lang w:val="nl-BE"/>
              </w:rPr>
              <w:t>Totaal zone-vreemd</w:t>
            </w:r>
          </w:p>
        </w:tc>
      </w:tr>
      <w:tr w:rsidR="007D0110" w:rsidRPr="007D0110" w:rsidTr="007D0110">
        <w:trPr>
          <w:trHeight w:val="525"/>
        </w:trPr>
        <w:tc>
          <w:tcPr>
            <w:tcW w:w="1858" w:type="dxa"/>
            <w:hideMark/>
          </w:tcPr>
          <w:p w:rsidR="007D0110" w:rsidRPr="007D0110" w:rsidRDefault="007D0110" w:rsidP="00616FCC">
            <w:pPr>
              <w:pStyle w:val="Lijstalinea"/>
              <w:ind w:left="360"/>
              <w:contextualSpacing/>
              <w:jc w:val="both"/>
              <w:rPr>
                <w:lang w:val="nl-BE"/>
              </w:rPr>
            </w:pPr>
            <w:r w:rsidRPr="007D0110">
              <w:rPr>
                <w:lang w:val="nl-BE"/>
              </w:rPr>
              <w:t> </w:t>
            </w:r>
          </w:p>
        </w:tc>
        <w:tc>
          <w:tcPr>
            <w:tcW w:w="1782" w:type="dxa"/>
            <w:hideMark/>
          </w:tcPr>
          <w:p w:rsidR="007D0110" w:rsidRPr="007D0110" w:rsidRDefault="007D0110" w:rsidP="00616FCC">
            <w:pPr>
              <w:pStyle w:val="Lijstalinea"/>
              <w:ind w:left="360"/>
              <w:contextualSpacing/>
              <w:jc w:val="both"/>
              <w:rPr>
                <w:bCs/>
                <w:lang w:val="nl-BE"/>
              </w:rPr>
            </w:pPr>
            <w:r w:rsidRPr="007D0110">
              <w:rPr>
                <w:bCs/>
                <w:lang w:val="nl-BE"/>
              </w:rPr>
              <w:t>Aantal verblijven</w:t>
            </w:r>
          </w:p>
        </w:tc>
        <w:tc>
          <w:tcPr>
            <w:tcW w:w="1053" w:type="dxa"/>
            <w:hideMark/>
          </w:tcPr>
          <w:p w:rsidR="007D0110" w:rsidRPr="007D0110" w:rsidRDefault="007D0110" w:rsidP="00616FCC">
            <w:pPr>
              <w:pStyle w:val="Lijstalinea"/>
              <w:ind w:left="360"/>
              <w:contextualSpacing/>
              <w:jc w:val="both"/>
              <w:rPr>
                <w:bCs/>
                <w:lang w:val="nl-BE"/>
              </w:rPr>
            </w:pPr>
            <w:r w:rsidRPr="007D0110">
              <w:rPr>
                <w:bCs/>
                <w:lang w:val="nl-BE"/>
              </w:rPr>
              <w:t>%</w:t>
            </w:r>
          </w:p>
        </w:tc>
        <w:tc>
          <w:tcPr>
            <w:tcW w:w="1843" w:type="dxa"/>
            <w:hideMark/>
          </w:tcPr>
          <w:p w:rsidR="007D0110" w:rsidRPr="007D0110" w:rsidRDefault="007D0110" w:rsidP="00616FCC">
            <w:pPr>
              <w:pStyle w:val="Lijstalinea"/>
              <w:ind w:left="360"/>
              <w:contextualSpacing/>
              <w:jc w:val="both"/>
              <w:rPr>
                <w:bCs/>
                <w:lang w:val="nl-BE"/>
              </w:rPr>
            </w:pPr>
            <w:r w:rsidRPr="007D0110">
              <w:rPr>
                <w:bCs/>
                <w:lang w:val="nl-BE"/>
              </w:rPr>
              <w:t>Aantal verblijven</w:t>
            </w:r>
          </w:p>
        </w:tc>
        <w:tc>
          <w:tcPr>
            <w:tcW w:w="835" w:type="dxa"/>
            <w:hideMark/>
          </w:tcPr>
          <w:p w:rsidR="007D0110" w:rsidRPr="007D0110" w:rsidRDefault="007D0110" w:rsidP="00616FCC">
            <w:pPr>
              <w:pStyle w:val="Lijstalinea"/>
              <w:ind w:left="360"/>
              <w:contextualSpacing/>
              <w:jc w:val="both"/>
              <w:rPr>
                <w:bCs/>
                <w:lang w:val="nl-BE"/>
              </w:rPr>
            </w:pPr>
            <w:r w:rsidRPr="007D0110">
              <w:rPr>
                <w:bCs/>
                <w:lang w:val="nl-BE"/>
              </w:rPr>
              <w:t>%</w:t>
            </w:r>
          </w:p>
        </w:tc>
        <w:tc>
          <w:tcPr>
            <w:tcW w:w="1134" w:type="dxa"/>
          </w:tcPr>
          <w:p w:rsidR="007D0110" w:rsidRPr="007D0110" w:rsidRDefault="007D0110" w:rsidP="00616FCC">
            <w:pPr>
              <w:pStyle w:val="Lijstalinea"/>
              <w:ind w:left="360"/>
              <w:contextualSpacing/>
              <w:jc w:val="both"/>
              <w:rPr>
                <w:bCs/>
                <w:lang w:val="nl-BE"/>
              </w:rPr>
            </w:pPr>
          </w:p>
        </w:tc>
      </w:tr>
      <w:tr w:rsidR="007D0110" w:rsidRPr="007D0110" w:rsidTr="007D0110">
        <w:trPr>
          <w:trHeight w:val="525"/>
        </w:trPr>
        <w:tc>
          <w:tcPr>
            <w:tcW w:w="1858" w:type="dxa"/>
            <w:hideMark/>
          </w:tcPr>
          <w:p w:rsidR="007D0110" w:rsidRPr="007D0110" w:rsidRDefault="007D0110" w:rsidP="00616FCC">
            <w:pPr>
              <w:pStyle w:val="Lijstalinea"/>
              <w:ind w:left="360"/>
              <w:contextualSpacing/>
              <w:jc w:val="both"/>
              <w:rPr>
                <w:b/>
                <w:bCs/>
                <w:lang w:val="nl-BE"/>
              </w:rPr>
            </w:pPr>
            <w:r w:rsidRPr="007D0110">
              <w:rPr>
                <w:b/>
                <w:bCs/>
                <w:lang w:val="nl-BE"/>
              </w:rPr>
              <w:t>Zone-eigen</w:t>
            </w:r>
          </w:p>
        </w:tc>
        <w:tc>
          <w:tcPr>
            <w:tcW w:w="1782" w:type="dxa"/>
            <w:hideMark/>
          </w:tcPr>
          <w:p w:rsidR="007D0110" w:rsidRPr="007D0110" w:rsidRDefault="007D0110" w:rsidP="00616FCC">
            <w:pPr>
              <w:pStyle w:val="Lijstalinea"/>
              <w:ind w:left="360"/>
              <w:contextualSpacing/>
              <w:jc w:val="both"/>
              <w:rPr>
                <w:lang w:val="nl-BE"/>
              </w:rPr>
            </w:pPr>
            <w:r w:rsidRPr="007D0110">
              <w:rPr>
                <w:lang w:val="nl-BE"/>
              </w:rPr>
              <w:t>302</w:t>
            </w:r>
          </w:p>
        </w:tc>
        <w:tc>
          <w:tcPr>
            <w:tcW w:w="1053" w:type="dxa"/>
            <w:hideMark/>
          </w:tcPr>
          <w:p w:rsidR="007D0110" w:rsidRPr="007D0110" w:rsidRDefault="007D0110" w:rsidP="00616FCC">
            <w:pPr>
              <w:pStyle w:val="Lijstalinea"/>
              <w:ind w:left="360"/>
              <w:contextualSpacing/>
              <w:jc w:val="both"/>
              <w:rPr>
                <w:lang w:val="nl-BE"/>
              </w:rPr>
            </w:pPr>
            <w:r w:rsidRPr="007D0110">
              <w:rPr>
                <w:lang w:val="nl-BE"/>
              </w:rPr>
              <w:t>56</w:t>
            </w:r>
          </w:p>
        </w:tc>
        <w:tc>
          <w:tcPr>
            <w:tcW w:w="1843" w:type="dxa"/>
            <w:hideMark/>
          </w:tcPr>
          <w:p w:rsidR="007D0110" w:rsidRPr="007D0110" w:rsidRDefault="007D0110" w:rsidP="00616FCC">
            <w:pPr>
              <w:pStyle w:val="Lijstalinea"/>
              <w:ind w:left="360"/>
              <w:contextualSpacing/>
              <w:jc w:val="both"/>
              <w:rPr>
                <w:lang w:val="nl-BE"/>
              </w:rPr>
            </w:pPr>
            <w:r w:rsidRPr="007D0110">
              <w:rPr>
                <w:lang w:val="nl-BE"/>
              </w:rPr>
              <w:t>64</w:t>
            </w:r>
          </w:p>
        </w:tc>
        <w:tc>
          <w:tcPr>
            <w:tcW w:w="835" w:type="dxa"/>
            <w:hideMark/>
          </w:tcPr>
          <w:p w:rsidR="007D0110" w:rsidRPr="007D0110" w:rsidRDefault="007D0110" w:rsidP="00616FCC">
            <w:pPr>
              <w:pStyle w:val="Lijstalinea"/>
              <w:ind w:left="360"/>
              <w:contextualSpacing/>
              <w:jc w:val="both"/>
              <w:rPr>
                <w:lang w:val="nl-BE"/>
              </w:rPr>
            </w:pPr>
            <w:r w:rsidRPr="007D0110">
              <w:rPr>
                <w:lang w:val="nl-BE"/>
              </w:rPr>
              <w:t>12</w:t>
            </w:r>
          </w:p>
        </w:tc>
        <w:tc>
          <w:tcPr>
            <w:tcW w:w="1134" w:type="dxa"/>
          </w:tcPr>
          <w:p w:rsidR="007D0110" w:rsidRPr="007D0110" w:rsidRDefault="007D0110" w:rsidP="00616FCC">
            <w:pPr>
              <w:pStyle w:val="Lijstalinea"/>
              <w:ind w:left="360"/>
              <w:contextualSpacing/>
              <w:jc w:val="both"/>
              <w:rPr>
                <w:b/>
                <w:lang w:val="nl-BE"/>
              </w:rPr>
            </w:pPr>
            <w:r w:rsidRPr="007D0110">
              <w:rPr>
                <w:b/>
                <w:lang w:val="nl-BE"/>
              </w:rPr>
              <w:t>366</w:t>
            </w:r>
          </w:p>
        </w:tc>
      </w:tr>
      <w:tr w:rsidR="007D0110" w:rsidRPr="007D0110" w:rsidTr="007D0110">
        <w:trPr>
          <w:trHeight w:val="315"/>
        </w:trPr>
        <w:tc>
          <w:tcPr>
            <w:tcW w:w="1858" w:type="dxa"/>
            <w:hideMark/>
          </w:tcPr>
          <w:p w:rsidR="007D0110" w:rsidRPr="007D0110" w:rsidRDefault="007D0110" w:rsidP="00616FCC">
            <w:pPr>
              <w:pStyle w:val="Lijstalinea"/>
              <w:ind w:left="360"/>
              <w:contextualSpacing/>
              <w:jc w:val="both"/>
              <w:rPr>
                <w:b/>
                <w:bCs/>
                <w:lang w:val="nl-BE"/>
              </w:rPr>
            </w:pPr>
            <w:r w:rsidRPr="007D0110">
              <w:rPr>
                <w:b/>
                <w:bCs/>
                <w:lang w:val="nl-BE"/>
              </w:rPr>
              <w:t>Zonevreemd</w:t>
            </w:r>
          </w:p>
        </w:tc>
        <w:tc>
          <w:tcPr>
            <w:tcW w:w="1782" w:type="dxa"/>
            <w:hideMark/>
          </w:tcPr>
          <w:p w:rsidR="007D0110" w:rsidRPr="007D0110" w:rsidRDefault="007D0110" w:rsidP="00616FCC">
            <w:pPr>
              <w:pStyle w:val="Lijstalinea"/>
              <w:ind w:left="360"/>
              <w:contextualSpacing/>
              <w:jc w:val="both"/>
              <w:rPr>
                <w:lang w:val="nl-BE"/>
              </w:rPr>
            </w:pPr>
            <w:r w:rsidRPr="007D0110">
              <w:rPr>
                <w:lang w:val="nl-BE"/>
              </w:rPr>
              <w:t>112</w:t>
            </w:r>
          </w:p>
        </w:tc>
        <w:tc>
          <w:tcPr>
            <w:tcW w:w="1053" w:type="dxa"/>
            <w:hideMark/>
          </w:tcPr>
          <w:p w:rsidR="007D0110" w:rsidRPr="007D0110" w:rsidRDefault="007D0110" w:rsidP="00616FCC">
            <w:pPr>
              <w:pStyle w:val="Lijstalinea"/>
              <w:ind w:left="360"/>
              <w:contextualSpacing/>
              <w:jc w:val="both"/>
              <w:rPr>
                <w:lang w:val="nl-BE"/>
              </w:rPr>
            </w:pPr>
            <w:r w:rsidRPr="007D0110">
              <w:rPr>
                <w:lang w:val="nl-BE"/>
              </w:rPr>
              <w:t>21</w:t>
            </w:r>
          </w:p>
        </w:tc>
        <w:tc>
          <w:tcPr>
            <w:tcW w:w="1843" w:type="dxa"/>
            <w:hideMark/>
          </w:tcPr>
          <w:p w:rsidR="007D0110" w:rsidRPr="007D0110" w:rsidRDefault="007D0110" w:rsidP="00616FCC">
            <w:pPr>
              <w:pStyle w:val="Lijstalinea"/>
              <w:ind w:left="360"/>
              <w:contextualSpacing/>
              <w:jc w:val="both"/>
              <w:rPr>
                <w:lang w:val="nl-BE"/>
              </w:rPr>
            </w:pPr>
            <w:r w:rsidRPr="007D0110">
              <w:rPr>
                <w:lang w:val="nl-BE"/>
              </w:rPr>
              <w:t>41</w:t>
            </w:r>
          </w:p>
        </w:tc>
        <w:tc>
          <w:tcPr>
            <w:tcW w:w="835" w:type="dxa"/>
            <w:hideMark/>
          </w:tcPr>
          <w:p w:rsidR="007D0110" w:rsidRPr="007D0110" w:rsidRDefault="007D0110" w:rsidP="00616FCC">
            <w:pPr>
              <w:pStyle w:val="Lijstalinea"/>
              <w:ind w:left="360"/>
              <w:contextualSpacing/>
              <w:jc w:val="both"/>
              <w:rPr>
                <w:lang w:val="nl-BE"/>
              </w:rPr>
            </w:pPr>
            <w:r w:rsidRPr="007D0110">
              <w:rPr>
                <w:lang w:val="nl-BE"/>
              </w:rPr>
              <w:t>8</w:t>
            </w:r>
          </w:p>
        </w:tc>
        <w:tc>
          <w:tcPr>
            <w:tcW w:w="1134" w:type="dxa"/>
          </w:tcPr>
          <w:p w:rsidR="007D0110" w:rsidRPr="007D0110" w:rsidRDefault="007D0110" w:rsidP="00616FCC">
            <w:pPr>
              <w:pStyle w:val="Lijstalinea"/>
              <w:ind w:left="360"/>
              <w:contextualSpacing/>
              <w:jc w:val="both"/>
              <w:rPr>
                <w:b/>
                <w:lang w:val="nl-BE"/>
              </w:rPr>
            </w:pPr>
            <w:r w:rsidRPr="007D0110">
              <w:rPr>
                <w:b/>
                <w:lang w:val="nl-BE"/>
              </w:rPr>
              <w:t>153</w:t>
            </w:r>
          </w:p>
        </w:tc>
      </w:tr>
      <w:tr w:rsidR="007D0110" w:rsidRPr="007D0110" w:rsidTr="007D0110">
        <w:trPr>
          <w:trHeight w:val="525"/>
        </w:trPr>
        <w:tc>
          <w:tcPr>
            <w:tcW w:w="1858" w:type="dxa"/>
            <w:hideMark/>
          </w:tcPr>
          <w:p w:rsidR="007D0110" w:rsidRPr="007D0110" w:rsidRDefault="007D0110" w:rsidP="00616FCC">
            <w:pPr>
              <w:pStyle w:val="Lijstalinea"/>
              <w:ind w:left="360"/>
              <w:contextualSpacing/>
              <w:jc w:val="both"/>
              <w:rPr>
                <w:b/>
                <w:bCs/>
                <w:lang w:val="nl-BE"/>
              </w:rPr>
            </w:pPr>
            <w:r w:rsidRPr="007D0110">
              <w:rPr>
                <w:b/>
                <w:bCs/>
                <w:lang w:val="nl-BE"/>
              </w:rPr>
              <w:t>Gedeeltelijk zonevreemd</w:t>
            </w:r>
          </w:p>
        </w:tc>
        <w:tc>
          <w:tcPr>
            <w:tcW w:w="1782" w:type="dxa"/>
            <w:hideMark/>
          </w:tcPr>
          <w:p w:rsidR="007D0110" w:rsidRPr="007D0110" w:rsidRDefault="007D0110" w:rsidP="00616FCC">
            <w:pPr>
              <w:pStyle w:val="Lijstalinea"/>
              <w:ind w:left="360"/>
              <w:contextualSpacing/>
              <w:jc w:val="both"/>
              <w:rPr>
                <w:lang w:val="nl-BE"/>
              </w:rPr>
            </w:pPr>
            <w:r w:rsidRPr="007D0110">
              <w:rPr>
                <w:lang w:val="nl-BE"/>
              </w:rPr>
              <w:t>22</w:t>
            </w:r>
          </w:p>
        </w:tc>
        <w:tc>
          <w:tcPr>
            <w:tcW w:w="1053" w:type="dxa"/>
            <w:hideMark/>
          </w:tcPr>
          <w:p w:rsidR="007D0110" w:rsidRPr="007D0110" w:rsidRDefault="007D0110" w:rsidP="00616FCC">
            <w:pPr>
              <w:pStyle w:val="Lijstalinea"/>
              <w:ind w:left="360"/>
              <w:contextualSpacing/>
              <w:jc w:val="both"/>
              <w:rPr>
                <w:lang w:val="nl-BE"/>
              </w:rPr>
            </w:pPr>
            <w:r w:rsidRPr="007D0110">
              <w:rPr>
                <w:lang w:val="nl-BE"/>
              </w:rPr>
              <w:t>4</w:t>
            </w:r>
          </w:p>
        </w:tc>
        <w:tc>
          <w:tcPr>
            <w:tcW w:w="1843" w:type="dxa"/>
            <w:hideMark/>
          </w:tcPr>
          <w:p w:rsidR="007D0110" w:rsidRPr="007D0110" w:rsidRDefault="007D0110" w:rsidP="00616FCC">
            <w:pPr>
              <w:pStyle w:val="Lijstalinea"/>
              <w:ind w:left="360"/>
              <w:contextualSpacing/>
              <w:jc w:val="both"/>
              <w:rPr>
                <w:lang w:val="nl-BE"/>
              </w:rPr>
            </w:pPr>
            <w:r w:rsidRPr="007D0110">
              <w:rPr>
                <w:lang w:val="nl-BE"/>
              </w:rPr>
              <w:t>2</w:t>
            </w:r>
          </w:p>
        </w:tc>
        <w:tc>
          <w:tcPr>
            <w:tcW w:w="835" w:type="dxa"/>
            <w:hideMark/>
          </w:tcPr>
          <w:p w:rsidR="007D0110" w:rsidRPr="007D0110" w:rsidRDefault="007D0110" w:rsidP="00616FCC">
            <w:pPr>
              <w:pStyle w:val="Lijstalinea"/>
              <w:ind w:left="360"/>
              <w:contextualSpacing/>
              <w:jc w:val="both"/>
              <w:rPr>
                <w:lang w:val="nl-BE"/>
              </w:rPr>
            </w:pPr>
            <w:r w:rsidRPr="007D0110">
              <w:rPr>
                <w:lang w:val="nl-BE"/>
              </w:rPr>
              <w:t>0</w:t>
            </w:r>
          </w:p>
        </w:tc>
        <w:tc>
          <w:tcPr>
            <w:tcW w:w="1134" w:type="dxa"/>
          </w:tcPr>
          <w:p w:rsidR="007D0110" w:rsidRPr="007D0110" w:rsidRDefault="007D0110" w:rsidP="00616FCC">
            <w:pPr>
              <w:pStyle w:val="Lijstalinea"/>
              <w:ind w:left="360"/>
              <w:contextualSpacing/>
              <w:jc w:val="both"/>
              <w:rPr>
                <w:b/>
                <w:lang w:val="nl-BE"/>
              </w:rPr>
            </w:pPr>
            <w:r w:rsidRPr="007D0110">
              <w:rPr>
                <w:b/>
                <w:lang w:val="nl-BE"/>
              </w:rPr>
              <w:t>24</w:t>
            </w:r>
          </w:p>
        </w:tc>
      </w:tr>
    </w:tbl>
    <w:p w:rsidR="007D0110" w:rsidRDefault="007D0110" w:rsidP="00616FCC">
      <w:pPr>
        <w:pStyle w:val="Lijstalinea"/>
        <w:ind w:left="360"/>
        <w:contextualSpacing/>
        <w:jc w:val="both"/>
      </w:pPr>
    </w:p>
    <w:p w:rsidR="00BD18E0" w:rsidRDefault="00D35476" w:rsidP="00616FCC">
      <w:pPr>
        <w:pStyle w:val="Lijstalinea"/>
        <w:ind w:left="360"/>
        <w:contextualSpacing/>
        <w:jc w:val="both"/>
      </w:pPr>
      <w:r>
        <w:t xml:space="preserve">Als bijlage </w:t>
      </w:r>
      <w:r w:rsidR="00616FCC">
        <w:t xml:space="preserve">1 </w:t>
      </w:r>
      <w:r>
        <w:t>gaat een actueel overzicht van de stand van zaken per provincie.</w:t>
      </w:r>
    </w:p>
    <w:p w:rsidR="00BE0ED3" w:rsidRDefault="00BE0ED3" w:rsidP="00616FCC">
      <w:pPr>
        <w:pStyle w:val="Lijstalinea"/>
        <w:ind w:left="360"/>
        <w:contextualSpacing/>
        <w:jc w:val="both"/>
      </w:pPr>
    </w:p>
    <w:p w:rsidR="00D35476" w:rsidRDefault="00D35476" w:rsidP="00616FCC">
      <w:pPr>
        <w:pStyle w:val="Lijstalinea"/>
        <w:numPr>
          <w:ilvl w:val="0"/>
          <w:numId w:val="23"/>
        </w:numPr>
        <w:contextualSpacing/>
        <w:jc w:val="both"/>
      </w:pPr>
      <w:r>
        <w:t xml:space="preserve">Het Agentschap voor Natuur en Bos (ANB) en een kabinetsmedewerker vertegenwoordigen de voor leefmilieu en natuur bevoegde minister in de Taskforce Jeugdverblijven. Vanuit deze Taskforce </w:t>
      </w:r>
      <w:r w:rsidR="00CD7C08">
        <w:t>is</w:t>
      </w:r>
      <w:r>
        <w:t xml:space="preserve"> een plan van aanpak voor zonevreemde jeugdverblijven (inclusief ruimtelijk afwegingskader) uitgewerkt, dat de Vlaamse Regering heeft goedgekeurd op 4 juni 2013. Het uitgangspunt was hier duidelijk oplossingsgericht werken. </w:t>
      </w:r>
    </w:p>
    <w:p w:rsidR="00D35476" w:rsidRDefault="00D35476" w:rsidP="00616FCC">
      <w:pPr>
        <w:pStyle w:val="Lijstalinea"/>
        <w:ind w:left="360"/>
        <w:contextualSpacing/>
        <w:jc w:val="both"/>
      </w:pPr>
      <w:r>
        <w:t xml:space="preserve">Als onderdeel van het afwegingskader voor de zonevreemde jeugdverblijven, waarvoor een planinitiatief moet opgestart worden, heeft het ANB een grondig onderzoek verricht waarbij voor alle jeugdverblijven die gelegen zijn in VEN/SBZ/perimeter duinendecreet wordt nagegaan in welke mate deze goed geïntegreerd zijn in hun omgeving en waar er zich problemen stellen. Bedoeling is te zoeken naar gerichte oplossingen voor deze jeugdverblijven. </w:t>
      </w:r>
      <w:r>
        <w:tab/>
        <w:t xml:space="preserve">Een eerste </w:t>
      </w:r>
      <w:r>
        <w:lastRenderedPageBreak/>
        <w:t>analyse is al gebeurd. Deze dient nog aangepast te worden overeenkomstig de recente wijzigingen waarbij jeugdverblijfcentra in zones voor jeugdcamping zijn toestaan.</w:t>
      </w:r>
    </w:p>
    <w:p w:rsidR="00D35476" w:rsidRDefault="00D35476" w:rsidP="00616FCC">
      <w:pPr>
        <w:pStyle w:val="Lijstalinea"/>
        <w:ind w:left="360"/>
        <w:contextualSpacing/>
        <w:jc w:val="both"/>
      </w:pPr>
      <w:r>
        <w:t>Van de 92 jeugdverblijven waarvoor een planinitiatief nodig is, liggen er 22 in of nabij Europese of Vlaamse topnatuur (Vlaams Ecologisch Netwerk (VEN), speciale beschermingszones (SBZ) of perimeter van het duinendecreet). Hiervan liggen er 14 in en 8 in de omgeving van het VEN, een SBZ of in de perimeter van het duinendecreet.</w:t>
      </w:r>
    </w:p>
    <w:p w:rsidR="00D35476" w:rsidRDefault="00D35476" w:rsidP="00616FCC">
      <w:pPr>
        <w:pStyle w:val="Lijstalinea"/>
        <w:ind w:left="360"/>
        <w:contextualSpacing/>
        <w:jc w:val="both"/>
      </w:pPr>
      <w:r>
        <w:t>Conform het door de Vlaamse Regering goedgekeurde plan van aanpak, moet voor 6 jeugdverblijven, gelegen in het Vlaams Ecologisch Netwerk (VEN), nagegaan worden of die jeugdverblijven op de huidige locatie kunnen blijven en/of uitbreiden. Indien dit het geval is, dan zal er een gewestelijk RUP worden opgemaakt. Voor de andere jeugdverblijven gelegen in of nabij de speciale beschermingszones, VEN en perimeter van het duinendecreet, zal de natuurimpactstudie door Toerisme Vlaanderen worden gemaakt. Het Agentschap Natuur en Bos begeleidt de opmaak van deze natuurimpactstudie.</w:t>
      </w:r>
    </w:p>
    <w:p w:rsidR="00BE0ED3" w:rsidRDefault="00D35476" w:rsidP="00616FCC">
      <w:pPr>
        <w:pStyle w:val="Lijstalinea"/>
        <w:ind w:left="360"/>
        <w:contextualSpacing/>
        <w:jc w:val="both"/>
      </w:pPr>
      <w:r>
        <w:t>Voor de overige jeugdverblijven (70) zal het ruimtelijk uitvoeringsplan door het provinciaal of gemeentelijk niveau opgemaakt worden.</w:t>
      </w:r>
    </w:p>
    <w:p w:rsidR="00D35476" w:rsidRDefault="00D35476" w:rsidP="00616FCC">
      <w:pPr>
        <w:pStyle w:val="Lijstalinea"/>
        <w:ind w:left="360"/>
        <w:contextualSpacing/>
        <w:jc w:val="both"/>
      </w:pPr>
    </w:p>
    <w:p w:rsidR="00D35476" w:rsidRDefault="00D35476" w:rsidP="00616FCC">
      <w:pPr>
        <w:pStyle w:val="Lijstalinea"/>
        <w:numPr>
          <w:ilvl w:val="0"/>
          <w:numId w:val="23"/>
        </w:numPr>
        <w:contextualSpacing/>
        <w:jc w:val="both"/>
      </w:pPr>
      <w:r>
        <w:t xml:space="preserve">Ja,  </w:t>
      </w:r>
      <w:r w:rsidRPr="006B06B0">
        <w:t xml:space="preserve">De Vlaamse Regering ging op 14 juni 2013 akkoord met het plan van aanpak voor de zonevreemde jeugdverblijven. Dit plan van aanpak bepaalt voor welke jeugdverblijven er een planinitiatief moet komen en op welk niveau dit ruimtelijk plan dient gemaakt te worden. Daarnaast omvat dit plan van aanpak de verschillende stappen </w:t>
      </w:r>
      <w:r w:rsidRPr="0081311E">
        <w:t>die een provincie,  stad of gemeenten moet doorlopen</w:t>
      </w:r>
      <w:r w:rsidRPr="006B06B0">
        <w:t xml:space="preserve"> om uiteindelijk het ruimtelijk plan op te maken en een aantal ondersteuningsmaatregelen die het Vlaamse niveau voorziet voor de provincies en gemeenten. </w:t>
      </w:r>
      <w:r>
        <w:t>Het</w:t>
      </w:r>
      <w:r w:rsidRPr="006B06B0">
        <w:t xml:space="preserve"> omvat ook een voorstel van ‘ruimtelijke afweging t.o.v. de omgeving’.</w:t>
      </w:r>
    </w:p>
    <w:p w:rsidR="00D35476" w:rsidRDefault="00D35476" w:rsidP="00616FCC">
      <w:pPr>
        <w:pStyle w:val="Lijstalinea"/>
        <w:ind w:left="360"/>
        <w:contextualSpacing/>
        <w:jc w:val="both"/>
      </w:pPr>
      <w:r>
        <w:t xml:space="preserve">Begin februari 2014 hebben Toerisme Vlaanderen en Ruimte Vlaanderen overleg gepleegd over de verdere stappen in het proces van de </w:t>
      </w:r>
      <w:proofErr w:type="spellStart"/>
      <w:r>
        <w:t>regularisering</w:t>
      </w:r>
      <w:proofErr w:type="spellEnd"/>
      <w:r>
        <w:t>:</w:t>
      </w:r>
    </w:p>
    <w:p w:rsidR="00D35476" w:rsidRPr="004B4F0B" w:rsidRDefault="00D35476" w:rsidP="00616FCC">
      <w:pPr>
        <w:pStyle w:val="StandaardSV"/>
        <w:numPr>
          <w:ilvl w:val="0"/>
          <w:numId w:val="26"/>
        </w:numPr>
      </w:pPr>
      <w:r w:rsidRPr="004B4F0B">
        <w:t xml:space="preserve">De provincie West-Vlaanderen zal zelf een ruimtelijk plan opmaken voor de zonevreemde jeugdverblijven in </w:t>
      </w:r>
      <w:r>
        <w:t>de</w:t>
      </w:r>
      <w:r w:rsidRPr="004B4F0B">
        <w:t xml:space="preserve"> provincie. Dit proces is reeds </w:t>
      </w:r>
      <w:r>
        <w:t>op</w:t>
      </w:r>
      <w:r w:rsidRPr="004B4F0B">
        <w:t>gestart.</w:t>
      </w:r>
    </w:p>
    <w:p w:rsidR="00D35476" w:rsidRPr="004B4F0B" w:rsidRDefault="00D35476" w:rsidP="00616FCC">
      <w:pPr>
        <w:pStyle w:val="StandaardSV"/>
        <w:numPr>
          <w:ilvl w:val="0"/>
          <w:numId w:val="26"/>
        </w:numPr>
      </w:pPr>
      <w:r w:rsidRPr="004B4F0B">
        <w:t xml:space="preserve">De provincie Oost-Vlaanderen maakte in het verleden een ruimtelijk afwegingskader op voor de zonevreemde jeugdverblijven. </w:t>
      </w:r>
      <w:r>
        <w:t>Met d</w:t>
      </w:r>
      <w:r w:rsidRPr="004B4F0B">
        <w:t xml:space="preserve">e opmaak van ruimtelijke plannen </w:t>
      </w:r>
      <w:r>
        <w:t>willen ze</w:t>
      </w:r>
      <w:r w:rsidRPr="004B4F0B">
        <w:t xml:space="preserve"> </w:t>
      </w:r>
      <w:r>
        <w:t>starten in</w:t>
      </w:r>
      <w:r w:rsidRPr="004B4F0B">
        <w:t xml:space="preserve"> 2015.</w:t>
      </w:r>
    </w:p>
    <w:p w:rsidR="00D35476" w:rsidRPr="00F565F6" w:rsidRDefault="00D35476" w:rsidP="00616FCC">
      <w:pPr>
        <w:pStyle w:val="StandaardSV"/>
        <w:numPr>
          <w:ilvl w:val="0"/>
          <w:numId w:val="26"/>
        </w:numPr>
      </w:pPr>
      <w:r w:rsidRPr="004B4F0B">
        <w:t xml:space="preserve">Voor </w:t>
      </w:r>
      <w:r>
        <w:t>Limburg, Antwerpen en Vlaams-Brabant</w:t>
      </w:r>
      <w:r w:rsidRPr="004B4F0B">
        <w:t xml:space="preserve"> </w:t>
      </w:r>
      <w:r w:rsidRPr="00F565F6">
        <w:t>zal Ruimte Vlaanderen gericht lokale besturen aanspreken</w:t>
      </w:r>
      <w:r>
        <w:t xml:space="preserve"> o</w:t>
      </w:r>
      <w:r w:rsidRPr="00F565F6">
        <w:t>p basis van een lijst met zonevreemde jeugdverblijven die een uitbreidingswens hebben</w:t>
      </w:r>
      <w:r>
        <w:t xml:space="preserve">, om na te gaan </w:t>
      </w:r>
      <w:r w:rsidRPr="00F565F6">
        <w:t xml:space="preserve">in hoeverre </w:t>
      </w:r>
      <w:r>
        <w:t>zij</w:t>
      </w:r>
      <w:r w:rsidRPr="00F565F6">
        <w:t xml:space="preserve"> bereid zijn om een ruimtelijk plan voor bepaalde jeugdverblijven op te maken</w:t>
      </w:r>
      <w:r w:rsidRPr="0081311E">
        <w:t>. Eind maart 2014</w:t>
      </w:r>
      <w:r w:rsidRPr="00F565F6">
        <w:t xml:space="preserve"> zullen zij hierover meer weten en wordt er met deze gemeente in gesprek gegaan en nagegaan wat het verdere traject is. </w:t>
      </w:r>
    </w:p>
    <w:p w:rsidR="00D35476" w:rsidRDefault="00D35476" w:rsidP="00616FCC">
      <w:pPr>
        <w:pStyle w:val="StandaardSV"/>
        <w:numPr>
          <w:ilvl w:val="0"/>
          <w:numId w:val="26"/>
        </w:numPr>
        <w:contextualSpacing/>
      </w:pPr>
      <w:r w:rsidRPr="004B4F0B">
        <w:t xml:space="preserve">Mogelijks geeft de provincie Vlaams-Brabant, vanuit de dienst </w:t>
      </w:r>
      <w:r>
        <w:t>J</w:t>
      </w:r>
      <w:r w:rsidRPr="004B4F0B">
        <w:t>eugd, de gemeenten een extra financiële ondersteuning voor de opmaak van deze ruimtelijke plannen.</w:t>
      </w:r>
      <w:r>
        <w:t xml:space="preserve"> </w:t>
      </w:r>
    </w:p>
    <w:p w:rsidR="00D35476" w:rsidRDefault="00D35476" w:rsidP="00616FCC">
      <w:pPr>
        <w:pStyle w:val="StandaardSV"/>
        <w:numPr>
          <w:ilvl w:val="0"/>
          <w:numId w:val="26"/>
        </w:numPr>
        <w:contextualSpacing/>
      </w:pPr>
      <w:r w:rsidRPr="004B4F0B">
        <w:t>Toerisme Vlaanderen schrijft een opdracht uit om ee</w:t>
      </w:r>
      <w:r>
        <w:t>n Plan-</w:t>
      </w:r>
      <w:r w:rsidRPr="001C3AFD">
        <w:t>Milieu-effectenrapport</w:t>
      </w:r>
      <w:r>
        <w:t xml:space="preserve"> op te maken voor de zes</w:t>
      </w:r>
      <w:r w:rsidRPr="004B4F0B">
        <w:t xml:space="preserve"> jeugdverblijven die gelegen zijn in </w:t>
      </w:r>
      <w:r>
        <w:t>Vlaams ecologisch Netwerk (</w:t>
      </w:r>
      <w:r w:rsidRPr="001C3AFD">
        <w:t>VEN</w:t>
      </w:r>
      <w:r>
        <w:t>)</w:t>
      </w:r>
      <w:r w:rsidRPr="004B4F0B">
        <w:t>.</w:t>
      </w:r>
    </w:p>
    <w:p w:rsidR="00D35476" w:rsidRDefault="00D35476" w:rsidP="00616FCC">
      <w:pPr>
        <w:pStyle w:val="Lijstalinea"/>
        <w:ind w:left="360"/>
        <w:contextualSpacing/>
        <w:jc w:val="both"/>
      </w:pPr>
    </w:p>
    <w:p w:rsidR="00D35476" w:rsidRDefault="00616FCC" w:rsidP="00616FCC">
      <w:pPr>
        <w:pStyle w:val="Lijstalinea"/>
        <w:numPr>
          <w:ilvl w:val="0"/>
          <w:numId w:val="23"/>
        </w:numPr>
        <w:contextualSpacing/>
        <w:jc w:val="both"/>
      </w:pPr>
      <w:r>
        <w:t>Als bijlage 2 gaat een</w:t>
      </w:r>
      <w:r w:rsidR="00D35476">
        <w:t xml:space="preserve"> tabel </w:t>
      </w:r>
      <w:r>
        <w:t>die</w:t>
      </w:r>
      <w:r w:rsidR="00D35476">
        <w:t xml:space="preserve"> </w:t>
      </w:r>
      <w:r>
        <w:t>per provincie een overzicht geeft</w:t>
      </w:r>
      <w:r w:rsidR="00D35476">
        <w:t xml:space="preserve"> van de evolutie van de overnachtingscapaciteit van alle jeugdverblijven die minder</w:t>
      </w:r>
      <w:r>
        <w:t xml:space="preserve"> dan 60 dagen per jaar verhuren.</w:t>
      </w:r>
    </w:p>
    <w:p w:rsidR="00616FCC" w:rsidRDefault="00616FCC" w:rsidP="00616FCC">
      <w:pPr>
        <w:pStyle w:val="Lijstalinea"/>
        <w:ind w:left="360"/>
        <w:contextualSpacing/>
        <w:jc w:val="both"/>
      </w:pPr>
    </w:p>
    <w:p w:rsidR="00D35476" w:rsidRDefault="00616FCC" w:rsidP="00616FCC">
      <w:pPr>
        <w:pStyle w:val="Lijstalinea"/>
        <w:ind w:left="360"/>
        <w:contextualSpacing/>
        <w:jc w:val="both"/>
      </w:pPr>
      <w:r w:rsidRPr="00FC2F72">
        <w:t>Tussen 2008 en 2014 is de overnachtingscapaciteit voor de jeugd in Vlaanderen en in alle provincies gestegen. In Vlaanderen g</w:t>
      </w:r>
      <w:r>
        <w:t xml:space="preserve">ing de capaciteit </w:t>
      </w:r>
      <w:r w:rsidRPr="00FC2F72">
        <w:t xml:space="preserve">met 12,8% vooruit. </w:t>
      </w:r>
      <w:r>
        <w:t>In d</w:t>
      </w:r>
      <w:r w:rsidRPr="00FC2F72">
        <w:t xml:space="preserve">e provincie West-Vlaanderen </w:t>
      </w:r>
      <w:r>
        <w:t>is</w:t>
      </w:r>
      <w:r w:rsidRPr="00FC2F72">
        <w:t xml:space="preserve"> de logiescapaciteit het sterkst gestegen (</w:t>
      </w:r>
      <w:r>
        <w:t>+</w:t>
      </w:r>
      <w:r w:rsidRPr="00FC2F72">
        <w:t xml:space="preserve"> 29%). </w:t>
      </w:r>
      <w:r>
        <w:t>In</w:t>
      </w:r>
      <w:r w:rsidRPr="00FC2F72">
        <w:t xml:space="preserve"> Limburg </w:t>
      </w:r>
      <w:r>
        <w:t>ging</w:t>
      </w:r>
      <w:r w:rsidRPr="00FC2F72">
        <w:t xml:space="preserve"> de overnachtingscapaciteit </w:t>
      </w:r>
      <w:r>
        <w:t>slechts licht omhoog</w:t>
      </w:r>
      <w:r w:rsidRPr="00FC2F72">
        <w:t xml:space="preserve"> (</w:t>
      </w:r>
      <w:r>
        <w:t>+</w:t>
      </w:r>
      <w:r w:rsidRPr="00FC2F72">
        <w:t xml:space="preserve"> 4%).</w:t>
      </w:r>
      <w:r>
        <w:t xml:space="preserve"> Ik geef graag mee dat ook de (brand)veiligheid en de kwaliteit van de jeugdverblijven in Vlaanderen dankzij de volgehouden investeringen voor Toerisme voor Allen, de voorbije 10 jaar sterk verbeterd is.</w:t>
      </w:r>
    </w:p>
    <w:p w:rsidR="00F716B9" w:rsidRDefault="00F716B9" w:rsidP="00616FCC">
      <w:pPr>
        <w:pStyle w:val="Lijstalinea"/>
        <w:ind w:left="360"/>
        <w:contextualSpacing/>
        <w:jc w:val="both"/>
      </w:pPr>
    </w:p>
    <w:p w:rsidR="00F716B9" w:rsidRDefault="00F716B9" w:rsidP="00616FCC">
      <w:pPr>
        <w:pStyle w:val="Lijstalinea"/>
        <w:ind w:left="360"/>
        <w:contextualSpacing/>
        <w:jc w:val="both"/>
      </w:pPr>
    </w:p>
    <w:p w:rsidR="00F716B9" w:rsidRDefault="00F716B9" w:rsidP="00F716B9">
      <w:pPr>
        <w:pStyle w:val="Lijstalinea"/>
        <w:ind w:left="0"/>
        <w:contextualSpacing/>
        <w:jc w:val="both"/>
        <w:rPr>
          <w:rFonts w:ascii="Times New Roman Vet" w:hAnsi="Times New Roman Vet"/>
          <w:b/>
          <w:smallCaps/>
          <w:color w:val="FF0000"/>
        </w:rPr>
      </w:pPr>
      <w:r>
        <w:rPr>
          <w:rFonts w:ascii="Times New Roman Vet" w:hAnsi="Times New Roman Vet"/>
          <w:b/>
          <w:smallCaps/>
          <w:color w:val="FF0000"/>
        </w:rPr>
        <w:t>bijlagen</w:t>
      </w:r>
    </w:p>
    <w:p w:rsidR="00F716B9" w:rsidRDefault="00F716B9" w:rsidP="00F716B9">
      <w:pPr>
        <w:pStyle w:val="Lijstalinea"/>
        <w:ind w:left="0"/>
        <w:contextualSpacing/>
        <w:jc w:val="both"/>
        <w:rPr>
          <w:rFonts w:ascii="Times New Roman Vet" w:hAnsi="Times New Roman Vet"/>
          <w:b/>
          <w:smallCaps/>
          <w:color w:val="FF0000"/>
        </w:rPr>
      </w:pPr>
    </w:p>
    <w:p w:rsidR="00F716B9" w:rsidRDefault="00F716B9" w:rsidP="00F716B9">
      <w:pPr>
        <w:pStyle w:val="Lijstalinea"/>
        <w:numPr>
          <w:ilvl w:val="0"/>
          <w:numId w:val="27"/>
        </w:numPr>
        <w:contextualSpacing/>
        <w:jc w:val="both"/>
      </w:pPr>
      <w:r>
        <w:t>Zonering jeugdverblijven per provincie</w:t>
      </w:r>
    </w:p>
    <w:p w:rsidR="00F716B9" w:rsidRPr="00F716B9" w:rsidRDefault="00F716B9" w:rsidP="00F716B9">
      <w:pPr>
        <w:pStyle w:val="Lijstalinea"/>
        <w:numPr>
          <w:ilvl w:val="0"/>
          <w:numId w:val="27"/>
        </w:numPr>
        <w:contextualSpacing/>
        <w:jc w:val="both"/>
      </w:pPr>
      <w:r>
        <w:t>Evolutie overnachtingscapaciteit jeugdverblijven per provincie</w:t>
      </w:r>
    </w:p>
    <w:sectPr w:rsidR="00F716B9" w:rsidRPr="00F716B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BF" w:rsidRDefault="004829BF">
      <w:r>
        <w:separator/>
      </w:r>
    </w:p>
  </w:endnote>
  <w:endnote w:type="continuationSeparator" w:id="0">
    <w:p w:rsidR="004829BF" w:rsidRDefault="004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BF" w:rsidRDefault="004829BF">
      <w:r>
        <w:separator/>
      </w:r>
    </w:p>
  </w:footnote>
  <w:footnote w:type="continuationSeparator" w:id="0">
    <w:p w:rsidR="004829BF" w:rsidRDefault="0048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93448B"/>
    <w:multiLevelType w:val="hybridMultilevel"/>
    <w:tmpl w:val="A022E918"/>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A58B1"/>
    <w:multiLevelType w:val="hybridMultilevel"/>
    <w:tmpl w:val="B2E44C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7CD7216"/>
    <w:multiLevelType w:val="hybridMultilevel"/>
    <w:tmpl w:val="3760CA72"/>
    <w:lvl w:ilvl="0" w:tplc="08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B2E25DB"/>
    <w:multiLevelType w:val="hybridMultilevel"/>
    <w:tmpl w:val="0AFEF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99F223A"/>
    <w:multiLevelType w:val="hybridMultilevel"/>
    <w:tmpl w:val="D17890A2"/>
    <w:lvl w:ilvl="0" w:tplc="885E1FCA">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9CC357D"/>
    <w:multiLevelType w:val="hybridMultilevel"/>
    <w:tmpl w:val="527251E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1B3AC0"/>
    <w:multiLevelType w:val="hybridMultilevel"/>
    <w:tmpl w:val="389662D0"/>
    <w:lvl w:ilvl="0" w:tplc="4D10C3EC">
      <w:start w:val="1"/>
      <w:numFmt w:val="bullet"/>
      <w:lvlText w:val=""/>
      <w:lvlJc w:val="left"/>
      <w:pPr>
        <w:tabs>
          <w:tab w:val="num" w:pos="720"/>
        </w:tabs>
        <w:ind w:left="720" w:hanging="360"/>
      </w:pPr>
      <w:rPr>
        <w:rFonts w:ascii="Wingdings" w:hAnsi="Wingdings" w:hint="default"/>
      </w:rPr>
    </w:lvl>
    <w:lvl w:ilvl="1" w:tplc="C3D45264" w:tentative="1">
      <w:start w:val="1"/>
      <w:numFmt w:val="bullet"/>
      <w:lvlText w:val=""/>
      <w:lvlJc w:val="left"/>
      <w:pPr>
        <w:tabs>
          <w:tab w:val="num" w:pos="1440"/>
        </w:tabs>
        <w:ind w:left="1440" w:hanging="360"/>
      </w:pPr>
      <w:rPr>
        <w:rFonts w:ascii="Wingdings" w:hAnsi="Wingdings" w:hint="default"/>
      </w:rPr>
    </w:lvl>
    <w:lvl w:ilvl="2" w:tplc="1C3CA558" w:tentative="1">
      <w:start w:val="1"/>
      <w:numFmt w:val="bullet"/>
      <w:lvlText w:val=""/>
      <w:lvlJc w:val="left"/>
      <w:pPr>
        <w:tabs>
          <w:tab w:val="num" w:pos="2160"/>
        </w:tabs>
        <w:ind w:left="2160" w:hanging="360"/>
      </w:pPr>
      <w:rPr>
        <w:rFonts w:ascii="Wingdings" w:hAnsi="Wingdings" w:hint="default"/>
      </w:rPr>
    </w:lvl>
    <w:lvl w:ilvl="3" w:tplc="926CAB32" w:tentative="1">
      <w:start w:val="1"/>
      <w:numFmt w:val="bullet"/>
      <w:lvlText w:val=""/>
      <w:lvlJc w:val="left"/>
      <w:pPr>
        <w:tabs>
          <w:tab w:val="num" w:pos="2880"/>
        </w:tabs>
        <w:ind w:left="2880" w:hanging="360"/>
      </w:pPr>
      <w:rPr>
        <w:rFonts w:ascii="Wingdings" w:hAnsi="Wingdings" w:hint="default"/>
      </w:rPr>
    </w:lvl>
    <w:lvl w:ilvl="4" w:tplc="16C49E4A" w:tentative="1">
      <w:start w:val="1"/>
      <w:numFmt w:val="bullet"/>
      <w:lvlText w:val=""/>
      <w:lvlJc w:val="left"/>
      <w:pPr>
        <w:tabs>
          <w:tab w:val="num" w:pos="3600"/>
        </w:tabs>
        <w:ind w:left="3600" w:hanging="360"/>
      </w:pPr>
      <w:rPr>
        <w:rFonts w:ascii="Wingdings" w:hAnsi="Wingdings" w:hint="default"/>
      </w:rPr>
    </w:lvl>
    <w:lvl w:ilvl="5" w:tplc="274CF46A" w:tentative="1">
      <w:start w:val="1"/>
      <w:numFmt w:val="bullet"/>
      <w:lvlText w:val=""/>
      <w:lvlJc w:val="left"/>
      <w:pPr>
        <w:tabs>
          <w:tab w:val="num" w:pos="4320"/>
        </w:tabs>
        <w:ind w:left="4320" w:hanging="360"/>
      </w:pPr>
      <w:rPr>
        <w:rFonts w:ascii="Wingdings" w:hAnsi="Wingdings" w:hint="default"/>
      </w:rPr>
    </w:lvl>
    <w:lvl w:ilvl="6" w:tplc="29A8638C" w:tentative="1">
      <w:start w:val="1"/>
      <w:numFmt w:val="bullet"/>
      <w:lvlText w:val=""/>
      <w:lvlJc w:val="left"/>
      <w:pPr>
        <w:tabs>
          <w:tab w:val="num" w:pos="5040"/>
        </w:tabs>
        <w:ind w:left="5040" w:hanging="360"/>
      </w:pPr>
      <w:rPr>
        <w:rFonts w:ascii="Wingdings" w:hAnsi="Wingdings" w:hint="default"/>
      </w:rPr>
    </w:lvl>
    <w:lvl w:ilvl="7" w:tplc="65A0045E" w:tentative="1">
      <w:start w:val="1"/>
      <w:numFmt w:val="bullet"/>
      <w:lvlText w:val=""/>
      <w:lvlJc w:val="left"/>
      <w:pPr>
        <w:tabs>
          <w:tab w:val="num" w:pos="5760"/>
        </w:tabs>
        <w:ind w:left="5760" w:hanging="360"/>
      </w:pPr>
      <w:rPr>
        <w:rFonts w:ascii="Wingdings" w:hAnsi="Wingdings" w:hint="default"/>
      </w:rPr>
    </w:lvl>
    <w:lvl w:ilvl="8" w:tplc="068A5F4E" w:tentative="1">
      <w:start w:val="1"/>
      <w:numFmt w:val="bullet"/>
      <w:lvlText w:val=""/>
      <w:lvlJc w:val="left"/>
      <w:pPr>
        <w:tabs>
          <w:tab w:val="num" w:pos="6480"/>
        </w:tabs>
        <w:ind w:left="6480" w:hanging="360"/>
      </w:pPr>
      <w:rPr>
        <w:rFonts w:ascii="Wingdings" w:hAnsi="Wingdings" w:hint="default"/>
      </w:rPr>
    </w:lvl>
  </w:abstractNum>
  <w:abstractNum w:abstractNumId="10">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7C288B"/>
    <w:multiLevelType w:val="hybridMultilevel"/>
    <w:tmpl w:val="2A9E6C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9A3A1E"/>
    <w:multiLevelType w:val="hybridMultilevel"/>
    <w:tmpl w:val="19F40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700028B"/>
    <w:multiLevelType w:val="hybridMultilevel"/>
    <w:tmpl w:val="6F160A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8C83866"/>
    <w:multiLevelType w:val="hybridMultilevel"/>
    <w:tmpl w:val="E54664CC"/>
    <w:lvl w:ilvl="0" w:tplc="48ECE92A">
      <w:start w:val="1"/>
      <w:numFmt w:val="bullet"/>
      <w:lvlText w:val=""/>
      <w:lvlJc w:val="left"/>
      <w:pPr>
        <w:tabs>
          <w:tab w:val="num" w:pos="720"/>
        </w:tabs>
        <w:ind w:left="720" w:hanging="360"/>
      </w:pPr>
      <w:rPr>
        <w:rFonts w:ascii="Wingdings" w:hAnsi="Wingdings" w:hint="default"/>
      </w:rPr>
    </w:lvl>
    <w:lvl w:ilvl="1" w:tplc="84182E8E" w:tentative="1">
      <w:start w:val="1"/>
      <w:numFmt w:val="bullet"/>
      <w:lvlText w:val=""/>
      <w:lvlJc w:val="left"/>
      <w:pPr>
        <w:tabs>
          <w:tab w:val="num" w:pos="1440"/>
        </w:tabs>
        <w:ind w:left="1440" w:hanging="360"/>
      </w:pPr>
      <w:rPr>
        <w:rFonts w:ascii="Wingdings" w:hAnsi="Wingdings" w:hint="default"/>
      </w:rPr>
    </w:lvl>
    <w:lvl w:ilvl="2" w:tplc="7C649E78">
      <w:start w:val="1"/>
      <w:numFmt w:val="bullet"/>
      <w:lvlText w:val=""/>
      <w:lvlJc w:val="left"/>
      <w:pPr>
        <w:tabs>
          <w:tab w:val="num" w:pos="2160"/>
        </w:tabs>
        <w:ind w:left="2160" w:hanging="360"/>
      </w:pPr>
      <w:rPr>
        <w:rFonts w:ascii="Wingdings" w:hAnsi="Wingdings" w:hint="default"/>
      </w:rPr>
    </w:lvl>
    <w:lvl w:ilvl="3" w:tplc="CE8A17BA" w:tentative="1">
      <w:start w:val="1"/>
      <w:numFmt w:val="bullet"/>
      <w:lvlText w:val=""/>
      <w:lvlJc w:val="left"/>
      <w:pPr>
        <w:tabs>
          <w:tab w:val="num" w:pos="2880"/>
        </w:tabs>
        <w:ind w:left="2880" w:hanging="360"/>
      </w:pPr>
      <w:rPr>
        <w:rFonts w:ascii="Wingdings" w:hAnsi="Wingdings" w:hint="default"/>
      </w:rPr>
    </w:lvl>
    <w:lvl w:ilvl="4" w:tplc="7BFE251C" w:tentative="1">
      <w:start w:val="1"/>
      <w:numFmt w:val="bullet"/>
      <w:lvlText w:val=""/>
      <w:lvlJc w:val="left"/>
      <w:pPr>
        <w:tabs>
          <w:tab w:val="num" w:pos="3600"/>
        </w:tabs>
        <w:ind w:left="3600" w:hanging="360"/>
      </w:pPr>
      <w:rPr>
        <w:rFonts w:ascii="Wingdings" w:hAnsi="Wingdings" w:hint="default"/>
      </w:rPr>
    </w:lvl>
    <w:lvl w:ilvl="5" w:tplc="FB8CAD78" w:tentative="1">
      <w:start w:val="1"/>
      <w:numFmt w:val="bullet"/>
      <w:lvlText w:val=""/>
      <w:lvlJc w:val="left"/>
      <w:pPr>
        <w:tabs>
          <w:tab w:val="num" w:pos="4320"/>
        </w:tabs>
        <w:ind w:left="4320" w:hanging="360"/>
      </w:pPr>
      <w:rPr>
        <w:rFonts w:ascii="Wingdings" w:hAnsi="Wingdings" w:hint="default"/>
      </w:rPr>
    </w:lvl>
    <w:lvl w:ilvl="6" w:tplc="81D091D2" w:tentative="1">
      <w:start w:val="1"/>
      <w:numFmt w:val="bullet"/>
      <w:lvlText w:val=""/>
      <w:lvlJc w:val="left"/>
      <w:pPr>
        <w:tabs>
          <w:tab w:val="num" w:pos="5040"/>
        </w:tabs>
        <w:ind w:left="5040" w:hanging="360"/>
      </w:pPr>
      <w:rPr>
        <w:rFonts w:ascii="Wingdings" w:hAnsi="Wingdings" w:hint="default"/>
      </w:rPr>
    </w:lvl>
    <w:lvl w:ilvl="7" w:tplc="9448FB04" w:tentative="1">
      <w:start w:val="1"/>
      <w:numFmt w:val="bullet"/>
      <w:lvlText w:val=""/>
      <w:lvlJc w:val="left"/>
      <w:pPr>
        <w:tabs>
          <w:tab w:val="num" w:pos="5760"/>
        </w:tabs>
        <w:ind w:left="5760" w:hanging="360"/>
      </w:pPr>
      <w:rPr>
        <w:rFonts w:ascii="Wingdings" w:hAnsi="Wingdings" w:hint="default"/>
      </w:rPr>
    </w:lvl>
    <w:lvl w:ilvl="8" w:tplc="7FAC5F6C" w:tentative="1">
      <w:start w:val="1"/>
      <w:numFmt w:val="bullet"/>
      <w:lvlText w:val=""/>
      <w:lvlJc w:val="left"/>
      <w:pPr>
        <w:tabs>
          <w:tab w:val="num" w:pos="6480"/>
        </w:tabs>
        <w:ind w:left="6480" w:hanging="360"/>
      </w:pPr>
      <w:rPr>
        <w:rFonts w:ascii="Wingdings" w:hAnsi="Wingdings" w:hint="default"/>
      </w:rPr>
    </w:lvl>
  </w:abstractNum>
  <w:abstractNum w:abstractNumId="16">
    <w:nsid w:val="5EC87BA8"/>
    <w:multiLevelType w:val="hybridMultilevel"/>
    <w:tmpl w:val="705CEDAC"/>
    <w:lvl w:ilvl="0" w:tplc="93C2EA2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65A075B9"/>
    <w:multiLevelType w:val="hybridMultilevel"/>
    <w:tmpl w:val="54F49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6A6273AD"/>
    <w:multiLevelType w:val="hybridMultilevel"/>
    <w:tmpl w:val="F8440F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6B8A67D8"/>
    <w:multiLevelType w:val="hybridMultilevel"/>
    <w:tmpl w:val="DB70E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6D1D3F01"/>
    <w:multiLevelType w:val="hybridMultilevel"/>
    <w:tmpl w:val="A9B89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EFF078A"/>
    <w:multiLevelType w:val="hybridMultilevel"/>
    <w:tmpl w:val="D5546F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734158DF"/>
    <w:multiLevelType w:val="hybridMultilevel"/>
    <w:tmpl w:val="5FB40C60"/>
    <w:lvl w:ilvl="0" w:tplc="300EEA3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7C9F25DF"/>
    <w:multiLevelType w:val="hybridMultilevel"/>
    <w:tmpl w:val="07D0141C"/>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4"/>
  </w:num>
  <w:num w:numId="5">
    <w:abstractNumId w:val="23"/>
  </w:num>
  <w:num w:numId="6">
    <w:abstractNumId w:val="5"/>
  </w:num>
  <w:num w:numId="7">
    <w:abstractNumId w:val="26"/>
  </w:num>
  <w:num w:numId="8">
    <w:abstractNumId w:val="10"/>
  </w:num>
  <w:num w:numId="9">
    <w:abstractNumId w:val="14"/>
  </w:num>
  <w:num w:numId="10">
    <w:abstractNumId w:val="12"/>
  </w:num>
  <w:num w:numId="11">
    <w:abstractNumId w:val="20"/>
  </w:num>
  <w:num w:numId="12">
    <w:abstractNumId w:val="15"/>
  </w:num>
  <w:num w:numId="13">
    <w:abstractNumId w:val="9"/>
  </w:num>
  <w:num w:numId="14">
    <w:abstractNumId w:val="7"/>
  </w:num>
  <w:num w:numId="15">
    <w:abstractNumId w:val="17"/>
  </w:num>
  <w:num w:numId="16">
    <w:abstractNumId w:val="16"/>
  </w:num>
  <w:num w:numId="17">
    <w:abstractNumId w:val="21"/>
  </w:num>
  <w:num w:numId="18">
    <w:abstractNumId w:val="8"/>
  </w:num>
  <w:num w:numId="19">
    <w:abstractNumId w:val="18"/>
  </w:num>
  <w:num w:numId="20">
    <w:abstractNumId w:val="4"/>
  </w:num>
  <w:num w:numId="21">
    <w:abstractNumId w:val="25"/>
  </w:num>
  <w:num w:numId="22">
    <w:abstractNumId w:val="2"/>
  </w:num>
  <w:num w:numId="23">
    <w:abstractNumId w:val="19"/>
  </w:num>
  <w:num w:numId="24">
    <w:abstractNumId w:val="13"/>
  </w:num>
  <w:num w:numId="25">
    <w:abstractNumId w:val="1"/>
  </w:num>
  <w:num w:numId="26">
    <w:abstractNumId w:val="22"/>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6353"/>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87471"/>
    <w:rsid w:val="000976E9"/>
    <w:rsid w:val="000A579D"/>
    <w:rsid w:val="000C4E8C"/>
    <w:rsid w:val="000C7BAE"/>
    <w:rsid w:val="000D113C"/>
    <w:rsid w:val="000E2A2E"/>
    <w:rsid w:val="000F0ED4"/>
    <w:rsid w:val="000F176C"/>
    <w:rsid w:val="000F3532"/>
    <w:rsid w:val="000F5DD0"/>
    <w:rsid w:val="00107AD3"/>
    <w:rsid w:val="0011557C"/>
    <w:rsid w:val="00121759"/>
    <w:rsid w:val="001239CF"/>
    <w:rsid w:val="0012633F"/>
    <w:rsid w:val="001317C2"/>
    <w:rsid w:val="001375EF"/>
    <w:rsid w:val="0014090E"/>
    <w:rsid w:val="0014199E"/>
    <w:rsid w:val="00143066"/>
    <w:rsid w:val="001537E8"/>
    <w:rsid w:val="00165934"/>
    <w:rsid w:val="001730A8"/>
    <w:rsid w:val="0018318D"/>
    <w:rsid w:val="001841BA"/>
    <w:rsid w:val="0018703D"/>
    <w:rsid w:val="0019567F"/>
    <w:rsid w:val="001B61ED"/>
    <w:rsid w:val="001B76AC"/>
    <w:rsid w:val="001C55D2"/>
    <w:rsid w:val="001D784D"/>
    <w:rsid w:val="001E5A78"/>
    <w:rsid w:val="001E63BB"/>
    <w:rsid w:val="001E6B0E"/>
    <w:rsid w:val="00205DE3"/>
    <w:rsid w:val="00210C07"/>
    <w:rsid w:val="00221D96"/>
    <w:rsid w:val="0022278D"/>
    <w:rsid w:val="00224495"/>
    <w:rsid w:val="00225012"/>
    <w:rsid w:val="00227023"/>
    <w:rsid w:val="002279CE"/>
    <w:rsid w:val="00230885"/>
    <w:rsid w:val="002345E5"/>
    <w:rsid w:val="00235B65"/>
    <w:rsid w:val="002527B0"/>
    <w:rsid w:val="00265FCA"/>
    <w:rsid w:val="00266E3B"/>
    <w:rsid w:val="002670CA"/>
    <w:rsid w:val="002705B1"/>
    <w:rsid w:val="00285C81"/>
    <w:rsid w:val="0029490F"/>
    <w:rsid w:val="0029723F"/>
    <w:rsid w:val="002974E9"/>
    <w:rsid w:val="002B0834"/>
    <w:rsid w:val="002B7A51"/>
    <w:rsid w:val="002C7413"/>
    <w:rsid w:val="002C78BA"/>
    <w:rsid w:val="002D0961"/>
    <w:rsid w:val="002D3F82"/>
    <w:rsid w:val="002E334A"/>
    <w:rsid w:val="002E396C"/>
    <w:rsid w:val="002E511A"/>
    <w:rsid w:val="002E7589"/>
    <w:rsid w:val="002F38C6"/>
    <w:rsid w:val="002F46A1"/>
    <w:rsid w:val="0030127B"/>
    <w:rsid w:val="00304569"/>
    <w:rsid w:val="003132A0"/>
    <w:rsid w:val="00315001"/>
    <w:rsid w:val="00321BED"/>
    <w:rsid w:val="00326A58"/>
    <w:rsid w:val="003308AA"/>
    <w:rsid w:val="00333C39"/>
    <w:rsid w:val="00342BC6"/>
    <w:rsid w:val="003461DE"/>
    <w:rsid w:val="003614C2"/>
    <w:rsid w:val="00366B1F"/>
    <w:rsid w:val="003711EC"/>
    <w:rsid w:val="00371984"/>
    <w:rsid w:val="00372C41"/>
    <w:rsid w:val="00373BEA"/>
    <w:rsid w:val="00375168"/>
    <w:rsid w:val="00391972"/>
    <w:rsid w:val="003A7401"/>
    <w:rsid w:val="003B5469"/>
    <w:rsid w:val="003C3ED2"/>
    <w:rsid w:val="003C6A43"/>
    <w:rsid w:val="003E0094"/>
    <w:rsid w:val="003F709F"/>
    <w:rsid w:val="004065E4"/>
    <w:rsid w:val="00406670"/>
    <w:rsid w:val="00406A4D"/>
    <w:rsid w:val="0041026D"/>
    <w:rsid w:val="00412950"/>
    <w:rsid w:val="00424502"/>
    <w:rsid w:val="00445790"/>
    <w:rsid w:val="00453786"/>
    <w:rsid w:val="004567CE"/>
    <w:rsid w:val="00461E41"/>
    <w:rsid w:val="004638E2"/>
    <w:rsid w:val="0047219B"/>
    <w:rsid w:val="004829BF"/>
    <w:rsid w:val="00485A09"/>
    <w:rsid w:val="0048775A"/>
    <w:rsid w:val="004A63FC"/>
    <w:rsid w:val="004B2E5B"/>
    <w:rsid w:val="004B37D7"/>
    <w:rsid w:val="004B37F2"/>
    <w:rsid w:val="004C635F"/>
    <w:rsid w:val="004E2354"/>
    <w:rsid w:val="004E4FB9"/>
    <w:rsid w:val="004F4267"/>
    <w:rsid w:val="00502BAE"/>
    <w:rsid w:val="005037E1"/>
    <w:rsid w:val="005067EE"/>
    <w:rsid w:val="005159FE"/>
    <w:rsid w:val="005201E4"/>
    <w:rsid w:val="005212B6"/>
    <w:rsid w:val="00527E0E"/>
    <w:rsid w:val="00531979"/>
    <w:rsid w:val="00535B85"/>
    <w:rsid w:val="0054576D"/>
    <w:rsid w:val="005458BE"/>
    <w:rsid w:val="00546D31"/>
    <w:rsid w:val="00554567"/>
    <w:rsid w:val="005545AB"/>
    <w:rsid w:val="00555106"/>
    <w:rsid w:val="00555E7F"/>
    <w:rsid w:val="0055613B"/>
    <w:rsid w:val="00560C76"/>
    <w:rsid w:val="00561BDE"/>
    <w:rsid w:val="00563654"/>
    <w:rsid w:val="00574C7B"/>
    <w:rsid w:val="00581687"/>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5E7B93"/>
    <w:rsid w:val="006061DB"/>
    <w:rsid w:val="00610F13"/>
    <w:rsid w:val="00613D17"/>
    <w:rsid w:val="00613E21"/>
    <w:rsid w:val="00616FCC"/>
    <w:rsid w:val="0062463B"/>
    <w:rsid w:val="0063209D"/>
    <w:rsid w:val="00637F78"/>
    <w:rsid w:val="00642AC4"/>
    <w:rsid w:val="00645EDD"/>
    <w:rsid w:val="0064605E"/>
    <w:rsid w:val="00646AA0"/>
    <w:rsid w:val="00646DD9"/>
    <w:rsid w:val="00651855"/>
    <w:rsid w:val="006548DD"/>
    <w:rsid w:val="00656301"/>
    <w:rsid w:val="00671767"/>
    <w:rsid w:val="0067189C"/>
    <w:rsid w:val="006719CF"/>
    <w:rsid w:val="00680C5D"/>
    <w:rsid w:val="00682F3A"/>
    <w:rsid w:val="00692B1C"/>
    <w:rsid w:val="006C0DF4"/>
    <w:rsid w:val="006C0FEE"/>
    <w:rsid w:val="006D1A19"/>
    <w:rsid w:val="006D37AC"/>
    <w:rsid w:val="006D60AA"/>
    <w:rsid w:val="006D653F"/>
    <w:rsid w:val="006E1F46"/>
    <w:rsid w:val="006E770F"/>
    <w:rsid w:val="006F0941"/>
    <w:rsid w:val="006F7B19"/>
    <w:rsid w:val="00704B9C"/>
    <w:rsid w:val="007060C5"/>
    <w:rsid w:val="007064FF"/>
    <w:rsid w:val="00706CA5"/>
    <w:rsid w:val="00707995"/>
    <w:rsid w:val="0071248C"/>
    <w:rsid w:val="00724447"/>
    <w:rsid w:val="007252C7"/>
    <w:rsid w:val="00734A85"/>
    <w:rsid w:val="007365DA"/>
    <w:rsid w:val="00742D4F"/>
    <w:rsid w:val="0074541D"/>
    <w:rsid w:val="00747F3F"/>
    <w:rsid w:val="00773138"/>
    <w:rsid w:val="00775CF3"/>
    <w:rsid w:val="007861BC"/>
    <w:rsid w:val="00787592"/>
    <w:rsid w:val="00793D26"/>
    <w:rsid w:val="007943F6"/>
    <w:rsid w:val="007A2F55"/>
    <w:rsid w:val="007A5244"/>
    <w:rsid w:val="007B5FE7"/>
    <w:rsid w:val="007C2C73"/>
    <w:rsid w:val="007C3014"/>
    <w:rsid w:val="007D0110"/>
    <w:rsid w:val="007D119D"/>
    <w:rsid w:val="007D29F6"/>
    <w:rsid w:val="007D3002"/>
    <w:rsid w:val="007D4E00"/>
    <w:rsid w:val="007D7D60"/>
    <w:rsid w:val="007E16C6"/>
    <w:rsid w:val="007F5BC8"/>
    <w:rsid w:val="007F65FA"/>
    <w:rsid w:val="007F7E29"/>
    <w:rsid w:val="00803830"/>
    <w:rsid w:val="0080548B"/>
    <w:rsid w:val="008145BB"/>
    <w:rsid w:val="00817752"/>
    <w:rsid w:val="00825753"/>
    <w:rsid w:val="008265B2"/>
    <w:rsid w:val="008346AE"/>
    <w:rsid w:val="00836EF6"/>
    <w:rsid w:val="00846008"/>
    <w:rsid w:val="00852D9E"/>
    <w:rsid w:val="0085340E"/>
    <w:rsid w:val="0086086D"/>
    <w:rsid w:val="00861C81"/>
    <w:rsid w:val="00864E11"/>
    <w:rsid w:val="00872F56"/>
    <w:rsid w:val="0087564F"/>
    <w:rsid w:val="00883C44"/>
    <w:rsid w:val="0088458A"/>
    <w:rsid w:val="00894185"/>
    <w:rsid w:val="00894770"/>
    <w:rsid w:val="0089535D"/>
    <w:rsid w:val="00896456"/>
    <w:rsid w:val="008A305C"/>
    <w:rsid w:val="008A34EC"/>
    <w:rsid w:val="008A47AA"/>
    <w:rsid w:val="008A713D"/>
    <w:rsid w:val="008A7555"/>
    <w:rsid w:val="008C076B"/>
    <w:rsid w:val="008C3D4B"/>
    <w:rsid w:val="008D0443"/>
    <w:rsid w:val="008D5DB4"/>
    <w:rsid w:val="008E7E19"/>
    <w:rsid w:val="008F64C4"/>
    <w:rsid w:val="008F7F6B"/>
    <w:rsid w:val="009079A6"/>
    <w:rsid w:val="00911248"/>
    <w:rsid w:val="009141F9"/>
    <w:rsid w:val="009149C7"/>
    <w:rsid w:val="009160DA"/>
    <w:rsid w:val="00916C5E"/>
    <w:rsid w:val="00925F2F"/>
    <w:rsid w:val="009315DD"/>
    <w:rsid w:val="00932A34"/>
    <w:rsid w:val="0093344F"/>
    <w:rsid w:val="00933E74"/>
    <w:rsid w:val="009347E0"/>
    <w:rsid w:val="00936565"/>
    <w:rsid w:val="00945A8E"/>
    <w:rsid w:val="00946291"/>
    <w:rsid w:val="00966281"/>
    <w:rsid w:val="00971E9D"/>
    <w:rsid w:val="0097752D"/>
    <w:rsid w:val="009953C6"/>
    <w:rsid w:val="00996ECB"/>
    <w:rsid w:val="009A10A1"/>
    <w:rsid w:val="009A2FDC"/>
    <w:rsid w:val="009B3E6F"/>
    <w:rsid w:val="009B6A44"/>
    <w:rsid w:val="009C439D"/>
    <w:rsid w:val="009C7A54"/>
    <w:rsid w:val="009C7B30"/>
    <w:rsid w:val="009D27D9"/>
    <w:rsid w:val="009D7043"/>
    <w:rsid w:val="009D7369"/>
    <w:rsid w:val="009F00F9"/>
    <w:rsid w:val="00A04D95"/>
    <w:rsid w:val="00A07AE6"/>
    <w:rsid w:val="00A135C1"/>
    <w:rsid w:val="00A25C2F"/>
    <w:rsid w:val="00A27E88"/>
    <w:rsid w:val="00A361CF"/>
    <w:rsid w:val="00A41BCA"/>
    <w:rsid w:val="00A470F3"/>
    <w:rsid w:val="00A479FD"/>
    <w:rsid w:val="00A55453"/>
    <w:rsid w:val="00A56CDA"/>
    <w:rsid w:val="00A67217"/>
    <w:rsid w:val="00A73D40"/>
    <w:rsid w:val="00A76A4C"/>
    <w:rsid w:val="00A807D6"/>
    <w:rsid w:val="00A877E7"/>
    <w:rsid w:val="00A91BB3"/>
    <w:rsid w:val="00AB46B8"/>
    <w:rsid w:val="00AB48C1"/>
    <w:rsid w:val="00AB52CD"/>
    <w:rsid w:val="00AC484C"/>
    <w:rsid w:val="00AD1F94"/>
    <w:rsid w:val="00AD200A"/>
    <w:rsid w:val="00AD3A29"/>
    <w:rsid w:val="00AD477F"/>
    <w:rsid w:val="00AD7A5B"/>
    <w:rsid w:val="00AF2688"/>
    <w:rsid w:val="00AF2D67"/>
    <w:rsid w:val="00AF7580"/>
    <w:rsid w:val="00B0000C"/>
    <w:rsid w:val="00B06082"/>
    <w:rsid w:val="00B219ED"/>
    <w:rsid w:val="00B33AD0"/>
    <w:rsid w:val="00B34997"/>
    <w:rsid w:val="00B374A0"/>
    <w:rsid w:val="00B37D7B"/>
    <w:rsid w:val="00B40912"/>
    <w:rsid w:val="00B42AF6"/>
    <w:rsid w:val="00B45EB2"/>
    <w:rsid w:val="00B50384"/>
    <w:rsid w:val="00B505AF"/>
    <w:rsid w:val="00B55FEF"/>
    <w:rsid w:val="00B60664"/>
    <w:rsid w:val="00B653A2"/>
    <w:rsid w:val="00B67EB4"/>
    <w:rsid w:val="00B90711"/>
    <w:rsid w:val="00BA0D4F"/>
    <w:rsid w:val="00BA175F"/>
    <w:rsid w:val="00BA26D9"/>
    <w:rsid w:val="00BA58D9"/>
    <w:rsid w:val="00BA76D6"/>
    <w:rsid w:val="00BB3ADD"/>
    <w:rsid w:val="00BC105D"/>
    <w:rsid w:val="00BD1396"/>
    <w:rsid w:val="00BD18E0"/>
    <w:rsid w:val="00BD6F25"/>
    <w:rsid w:val="00BE0ED3"/>
    <w:rsid w:val="00BE2C24"/>
    <w:rsid w:val="00BE425A"/>
    <w:rsid w:val="00BE5F0C"/>
    <w:rsid w:val="00BE6454"/>
    <w:rsid w:val="00BE7B34"/>
    <w:rsid w:val="00BF1F16"/>
    <w:rsid w:val="00BF6A8A"/>
    <w:rsid w:val="00C00966"/>
    <w:rsid w:val="00C02222"/>
    <w:rsid w:val="00C02A91"/>
    <w:rsid w:val="00C1095C"/>
    <w:rsid w:val="00C12807"/>
    <w:rsid w:val="00C15057"/>
    <w:rsid w:val="00C24155"/>
    <w:rsid w:val="00C30866"/>
    <w:rsid w:val="00C32D83"/>
    <w:rsid w:val="00C40677"/>
    <w:rsid w:val="00C52465"/>
    <w:rsid w:val="00C535FE"/>
    <w:rsid w:val="00C55B7E"/>
    <w:rsid w:val="00C65734"/>
    <w:rsid w:val="00C6667F"/>
    <w:rsid w:val="00C67261"/>
    <w:rsid w:val="00C712A2"/>
    <w:rsid w:val="00C9473C"/>
    <w:rsid w:val="00C964B9"/>
    <w:rsid w:val="00C96BD8"/>
    <w:rsid w:val="00CA594C"/>
    <w:rsid w:val="00CB0A32"/>
    <w:rsid w:val="00CB0C2F"/>
    <w:rsid w:val="00CD06C1"/>
    <w:rsid w:val="00CD222C"/>
    <w:rsid w:val="00CD2A42"/>
    <w:rsid w:val="00CD2E4F"/>
    <w:rsid w:val="00CD4AD9"/>
    <w:rsid w:val="00CD5304"/>
    <w:rsid w:val="00CD7C08"/>
    <w:rsid w:val="00CE3A10"/>
    <w:rsid w:val="00CE4E1A"/>
    <w:rsid w:val="00CE6B88"/>
    <w:rsid w:val="00CE717D"/>
    <w:rsid w:val="00CE7D75"/>
    <w:rsid w:val="00CF00AE"/>
    <w:rsid w:val="00CF553F"/>
    <w:rsid w:val="00CF5911"/>
    <w:rsid w:val="00CF7C6E"/>
    <w:rsid w:val="00D026E6"/>
    <w:rsid w:val="00D22A0F"/>
    <w:rsid w:val="00D23853"/>
    <w:rsid w:val="00D35476"/>
    <w:rsid w:val="00D417DE"/>
    <w:rsid w:val="00D4390D"/>
    <w:rsid w:val="00D532C2"/>
    <w:rsid w:val="00D64555"/>
    <w:rsid w:val="00D65243"/>
    <w:rsid w:val="00D67490"/>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E342A"/>
    <w:rsid w:val="00DF4E20"/>
    <w:rsid w:val="00DF7000"/>
    <w:rsid w:val="00DF775C"/>
    <w:rsid w:val="00E02F0B"/>
    <w:rsid w:val="00E12C7C"/>
    <w:rsid w:val="00E13F75"/>
    <w:rsid w:val="00E24FEB"/>
    <w:rsid w:val="00E305F4"/>
    <w:rsid w:val="00E32F42"/>
    <w:rsid w:val="00E3364B"/>
    <w:rsid w:val="00E363C8"/>
    <w:rsid w:val="00E46293"/>
    <w:rsid w:val="00E4729B"/>
    <w:rsid w:val="00E55200"/>
    <w:rsid w:val="00E60E54"/>
    <w:rsid w:val="00E65401"/>
    <w:rsid w:val="00E7043B"/>
    <w:rsid w:val="00E707E2"/>
    <w:rsid w:val="00E73AF7"/>
    <w:rsid w:val="00E7568D"/>
    <w:rsid w:val="00E816ED"/>
    <w:rsid w:val="00E83389"/>
    <w:rsid w:val="00E8657B"/>
    <w:rsid w:val="00EA2585"/>
    <w:rsid w:val="00EA2DF1"/>
    <w:rsid w:val="00EA42BE"/>
    <w:rsid w:val="00EB3CF5"/>
    <w:rsid w:val="00EB47CE"/>
    <w:rsid w:val="00EB75B1"/>
    <w:rsid w:val="00EC14D0"/>
    <w:rsid w:val="00EE0964"/>
    <w:rsid w:val="00EE793B"/>
    <w:rsid w:val="00EF22D6"/>
    <w:rsid w:val="00EF5E92"/>
    <w:rsid w:val="00F0667B"/>
    <w:rsid w:val="00F23443"/>
    <w:rsid w:val="00F24D7F"/>
    <w:rsid w:val="00F257E9"/>
    <w:rsid w:val="00F40A31"/>
    <w:rsid w:val="00F410BE"/>
    <w:rsid w:val="00F43A82"/>
    <w:rsid w:val="00F43CFD"/>
    <w:rsid w:val="00F5760D"/>
    <w:rsid w:val="00F60320"/>
    <w:rsid w:val="00F716B9"/>
    <w:rsid w:val="00F8193A"/>
    <w:rsid w:val="00F8469F"/>
    <w:rsid w:val="00F90996"/>
    <w:rsid w:val="00F9739A"/>
    <w:rsid w:val="00FA29D6"/>
    <w:rsid w:val="00FA3510"/>
    <w:rsid w:val="00FB3B9C"/>
    <w:rsid w:val="00FC0E1E"/>
    <w:rsid w:val="00FC1A38"/>
    <w:rsid w:val="00FC2077"/>
    <w:rsid w:val="00FC467D"/>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7">
      <w:bodyDiv w:val="1"/>
      <w:marLeft w:val="0"/>
      <w:marRight w:val="0"/>
      <w:marTop w:val="0"/>
      <w:marBottom w:val="0"/>
      <w:divBdr>
        <w:top w:val="none" w:sz="0" w:space="0" w:color="auto"/>
        <w:left w:val="none" w:sz="0" w:space="0" w:color="auto"/>
        <w:bottom w:val="none" w:sz="0" w:space="0" w:color="auto"/>
        <w:right w:val="none" w:sz="0" w:space="0" w:color="auto"/>
      </w:divBdr>
    </w:div>
    <w:div w:id="272442138">
      <w:bodyDiv w:val="1"/>
      <w:marLeft w:val="0"/>
      <w:marRight w:val="0"/>
      <w:marTop w:val="0"/>
      <w:marBottom w:val="0"/>
      <w:divBdr>
        <w:top w:val="none" w:sz="0" w:space="0" w:color="auto"/>
        <w:left w:val="none" w:sz="0" w:space="0" w:color="auto"/>
        <w:bottom w:val="none" w:sz="0" w:space="0" w:color="auto"/>
        <w:right w:val="none" w:sz="0" w:space="0" w:color="auto"/>
      </w:divBdr>
      <w:divsChild>
        <w:div w:id="2082364306">
          <w:marLeft w:val="0"/>
          <w:marRight w:val="0"/>
          <w:marTop w:val="0"/>
          <w:marBottom w:val="0"/>
          <w:divBdr>
            <w:top w:val="none" w:sz="0" w:space="0" w:color="auto"/>
            <w:left w:val="none" w:sz="0" w:space="0" w:color="auto"/>
            <w:bottom w:val="none" w:sz="0" w:space="0" w:color="auto"/>
            <w:right w:val="none" w:sz="0" w:space="0" w:color="auto"/>
          </w:divBdr>
        </w:div>
      </w:divsChild>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500245491">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69956860">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335255473">
      <w:bodyDiv w:val="1"/>
      <w:marLeft w:val="0"/>
      <w:marRight w:val="0"/>
      <w:marTop w:val="0"/>
      <w:marBottom w:val="0"/>
      <w:divBdr>
        <w:top w:val="none" w:sz="0" w:space="0" w:color="auto"/>
        <w:left w:val="none" w:sz="0" w:space="0" w:color="auto"/>
        <w:bottom w:val="none" w:sz="0" w:space="0" w:color="auto"/>
        <w:right w:val="none" w:sz="0" w:space="0" w:color="auto"/>
      </w:divBdr>
    </w:div>
    <w:div w:id="1487623460">
      <w:bodyDiv w:val="1"/>
      <w:marLeft w:val="0"/>
      <w:marRight w:val="0"/>
      <w:marTop w:val="0"/>
      <w:marBottom w:val="0"/>
      <w:divBdr>
        <w:top w:val="none" w:sz="0" w:space="0" w:color="auto"/>
        <w:left w:val="none" w:sz="0" w:space="0" w:color="auto"/>
        <w:bottom w:val="none" w:sz="0" w:space="0" w:color="auto"/>
        <w:right w:val="none" w:sz="0" w:space="0" w:color="auto"/>
      </w:divBdr>
      <w:divsChild>
        <w:div w:id="1293251571">
          <w:marLeft w:val="547"/>
          <w:marRight w:val="0"/>
          <w:marTop w:val="86"/>
          <w:marBottom w:val="0"/>
          <w:divBdr>
            <w:top w:val="none" w:sz="0" w:space="0" w:color="auto"/>
            <w:left w:val="none" w:sz="0" w:space="0" w:color="auto"/>
            <w:bottom w:val="none" w:sz="0" w:space="0" w:color="auto"/>
            <w:right w:val="none" w:sz="0" w:space="0" w:color="auto"/>
          </w:divBdr>
        </w:div>
      </w:divsChild>
    </w:div>
    <w:div w:id="1492867333">
      <w:bodyDiv w:val="1"/>
      <w:marLeft w:val="0"/>
      <w:marRight w:val="0"/>
      <w:marTop w:val="0"/>
      <w:marBottom w:val="0"/>
      <w:divBdr>
        <w:top w:val="none" w:sz="0" w:space="0" w:color="auto"/>
        <w:left w:val="none" w:sz="0" w:space="0" w:color="auto"/>
        <w:bottom w:val="none" w:sz="0" w:space="0" w:color="auto"/>
        <w:right w:val="none" w:sz="0" w:space="0" w:color="auto"/>
      </w:divBdr>
      <w:divsChild>
        <w:div w:id="664093166">
          <w:marLeft w:val="0"/>
          <w:marRight w:val="0"/>
          <w:marTop w:val="0"/>
          <w:marBottom w:val="0"/>
          <w:divBdr>
            <w:top w:val="none" w:sz="0" w:space="0" w:color="auto"/>
            <w:left w:val="none" w:sz="0" w:space="0" w:color="auto"/>
            <w:bottom w:val="none" w:sz="0" w:space="0" w:color="auto"/>
            <w:right w:val="none" w:sz="0" w:space="0" w:color="auto"/>
          </w:divBdr>
          <w:divsChild>
            <w:div w:id="376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744">
      <w:bodyDiv w:val="1"/>
      <w:marLeft w:val="0"/>
      <w:marRight w:val="0"/>
      <w:marTop w:val="0"/>
      <w:marBottom w:val="0"/>
      <w:divBdr>
        <w:top w:val="none" w:sz="0" w:space="0" w:color="auto"/>
        <w:left w:val="none" w:sz="0" w:space="0" w:color="auto"/>
        <w:bottom w:val="none" w:sz="0" w:space="0" w:color="auto"/>
        <w:right w:val="none" w:sz="0" w:space="0" w:color="auto"/>
      </w:divBdr>
      <w:divsChild>
        <w:div w:id="1635258341">
          <w:marLeft w:val="547"/>
          <w:marRight w:val="0"/>
          <w:marTop w:val="86"/>
          <w:marBottom w:val="0"/>
          <w:divBdr>
            <w:top w:val="none" w:sz="0" w:space="0" w:color="auto"/>
            <w:left w:val="none" w:sz="0" w:space="0" w:color="auto"/>
            <w:bottom w:val="none" w:sz="0" w:space="0" w:color="auto"/>
            <w:right w:val="none" w:sz="0" w:space="0" w:color="auto"/>
          </w:divBdr>
        </w:div>
      </w:divsChild>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7AAB-95FE-4F02-A4F5-A9E71F38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909</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2014-01-22T14:22:00Z</cp:lastPrinted>
  <dcterms:created xsi:type="dcterms:W3CDTF">2014-03-24T11:06:00Z</dcterms:created>
  <dcterms:modified xsi:type="dcterms:W3CDTF">2014-03-24T11:06:00Z</dcterms:modified>
</cp:coreProperties>
</file>