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6A" w:rsidRPr="00D03794" w:rsidRDefault="00A3083B" w:rsidP="003F1093">
      <w:pPr>
        <w:jc w:val="both"/>
        <w:outlineLvl w:val="0"/>
        <w:rPr>
          <w:b/>
          <w:bCs/>
          <w:caps/>
          <w:sz w:val="18"/>
          <w:szCs w:val="22"/>
          <w:lang w:val="nl-BE"/>
        </w:rPr>
      </w:pPr>
      <w:sdt>
        <w:sdtPr>
          <w:rPr>
            <w:b/>
            <w:bCs/>
            <w:caps/>
            <w:sz w:val="18"/>
            <w:szCs w:val="22"/>
            <w:lang w:val="nl-BE"/>
          </w:rPr>
          <w:alias w:val="Minister"/>
          <w:tag w:val="Minister"/>
          <w:id w:val="733271794"/>
          <w:placeholder>
            <w:docPart w:val="D3F36434BD1C44989A49C8280B093094"/>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6:Minister[1]" w:storeItemID="{74298DB8-679A-49E4-AA34-B450138B57AB}"/>
          <w:dropDownList w:lastValue="1">
            <w:listItem w:value="[Minister]"/>
          </w:dropDownList>
        </w:sdtPr>
        <w:sdtEndPr/>
        <w:sdtContent>
          <w:r w:rsidR="00BC72B9">
            <w:rPr>
              <w:b/>
              <w:bCs/>
              <w:caps/>
              <w:sz w:val="18"/>
              <w:szCs w:val="22"/>
              <w:lang w:val="nl-BE"/>
            </w:rPr>
            <w:t>Philippe Muyters</w:t>
          </w:r>
        </w:sdtContent>
      </w:sdt>
    </w:p>
    <w:p w:rsidR="0068216A" w:rsidRPr="005628FF" w:rsidRDefault="002B353C" w:rsidP="003F1093">
      <w:pPr>
        <w:jc w:val="both"/>
        <w:outlineLvl w:val="0"/>
        <w:rPr>
          <w:smallCaps/>
          <w:sz w:val="22"/>
          <w:szCs w:val="22"/>
          <w:lang w:val="nl-BE"/>
        </w:rPr>
      </w:pPr>
      <w:r w:rsidRPr="00D03794">
        <w:rPr>
          <w:caps/>
          <w:sz w:val="18"/>
          <w:szCs w:val="22"/>
          <w:lang w:val="nl-BE"/>
        </w:rPr>
        <w:t>v</w:t>
      </w:r>
      <w:r w:rsidR="0068216A" w:rsidRPr="00D03794">
        <w:rPr>
          <w:caps/>
          <w:sz w:val="18"/>
          <w:szCs w:val="22"/>
          <w:lang w:val="nl-BE"/>
        </w:rPr>
        <w:t>laams minister van</w:t>
      </w:r>
      <w:r w:rsidR="0068216A" w:rsidRPr="005628FF">
        <w:rPr>
          <w:smallCaps/>
          <w:sz w:val="22"/>
          <w:szCs w:val="22"/>
          <w:lang w:val="nl-BE"/>
        </w:rPr>
        <w:t xml:space="preserve"> </w:t>
      </w:r>
      <w:sdt>
        <w:sdtPr>
          <w:rPr>
            <w:caps/>
            <w:sz w:val="18"/>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BC72B9">
            <w:rPr>
              <w:caps/>
              <w:sz w:val="18"/>
              <w:szCs w:val="22"/>
              <w:lang w:val="nl-BE"/>
            </w:rPr>
            <w:t>Financiën, Begroting, Werk, Ruimtelijke Ordening en Sport</w:t>
          </w:r>
        </w:sdtContent>
      </w:sdt>
    </w:p>
    <w:p w:rsidR="0068216A" w:rsidRPr="005628FF" w:rsidRDefault="0068216A" w:rsidP="003F1093">
      <w:pPr>
        <w:pBdr>
          <w:bottom w:val="single" w:sz="4" w:space="1" w:color="auto"/>
        </w:pBdr>
        <w:jc w:val="both"/>
        <w:rPr>
          <w:sz w:val="22"/>
          <w:szCs w:val="22"/>
          <w:lang w:val="nl-BE"/>
        </w:rPr>
      </w:pPr>
    </w:p>
    <w:p w:rsidR="0068216A" w:rsidRPr="005628FF" w:rsidRDefault="0068216A" w:rsidP="003F1093">
      <w:pPr>
        <w:jc w:val="both"/>
        <w:rPr>
          <w:sz w:val="22"/>
          <w:szCs w:val="22"/>
        </w:rPr>
      </w:pPr>
    </w:p>
    <w:p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BC72B9">
            <w:rPr>
              <w:sz w:val="22"/>
              <w:szCs w:val="22"/>
              <w:lang w:val="nl-BE"/>
            </w:rPr>
            <w:t>451</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4-02-19T00:00:00Z">
            <w:dateFormat w:val="d MMMM yyyy"/>
            <w:lid w:val="nl-BE"/>
            <w:storeMappedDataAs w:val="dateTime"/>
            <w:calendar w:val="gregorian"/>
          </w:date>
        </w:sdtPr>
        <w:sdtEndPr/>
        <w:sdtContent>
          <w:r w:rsidR="00BC72B9">
            <w:rPr>
              <w:sz w:val="22"/>
              <w:szCs w:val="22"/>
              <w:lang w:val="nl-BE"/>
            </w:rPr>
            <w:t>19 februari 2014</w:t>
          </w:r>
        </w:sdtContent>
      </w:sdt>
    </w:p>
    <w:p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BC72B9">
            <w:rPr>
              <w:b/>
              <w:caps/>
              <w:sz w:val="18"/>
              <w:szCs w:val="22"/>
              <w:lang w:val="nl-BE"/>
            </w:rPr>
            <w:t>Jean Ja</w:t>
          </w:r>
          <w:r w:rsidR="00C573FE">
            <w:rPr>
              <w:b/>
              <w:caps/>
              <w:sz w:val="18"/>
              <w:szCs w:val="22"/>
              <w:lang w:val="nl-BE"/>
            </w:rPr>
            <w:t>C</w:t>
          </w:r>
          <w:r w:rsidR="00BC72B9">
            <w:rPr>
              <w:b/>
              <w:caps/>
              <w:sz w:val="18"/>
              <w:szCs w:val="22"/>
              <w:lang w:val="nl-BE"/>
            </w:rPr>
            <w:t>ques De Gucht</w:t>
          </w:r>
        </w:sdtContent>
      </w:sdt>
    </w:p>
    <w:p w:rsidR="0068216A" w:rsidRPr="005628FF" w:rsidRDefault="0068216A" w:rsidP="003F1093">
      <w:pPr>
        <w:pBdr>
          <w:bottom w:val="single" w:sz="4" w:space="1" w:color="auto"/>
        </w:pBdr>
        <w:jc w:val="both"/>
        <w:rPr>
          <w:sz w:val="22"/>
          <w:szCs w:val="22"/>
        </w:rPr>
      </w:pPr>
    </w:p>
    <w:p w:rsidR="0068216A" w:rsidRPr="005628FF" w:rsidRDefault="0068216A" w:rsidP="003F1093">
      <w:pPr>
        <w:jc w:val="both"/>
        <w:rPr>
          <w:sz w:val="22"/>
          <w:szCs w:val="22"/>
        </w:rPr>
        <w:sectPr w:rsidR="0068216A" w:rsidRPr="005628FF" w:rsidSect="00A3083B">
          <w:pgSz w:w="11906" w:h="16838"/>
          <w:pgMar w:top="1418" w:right="1418" w:bottom="1418" w:left="1418" w:header="709" w:footer="709" w:gutter="0"/>
          <w:cols w:space="708"/>
          <w:docGrid w:linePitch="360"/>
        </w:sectPr>
      </w:pPr>
    </w:p>
    <w:p w:rsidR="0068216A" w:rsidRPr="005628FF" w:rsidRDefault="0068216A" w:rsidP="003F1093">
      <w:pPr>
        <w:jc w:val="both"/>
        <w:rPr>
          <w:sz w:val="22"/>
          <w:szCs w:val="22"/>
        </w:rPr>
      </w:pPr>
    </w:p>
    <w:p w:rsidR="00342E5D" w:rsidRDefault="00342E5D" w:rsidP="00651886">
      <w:pPr>
        <w:jc w:val="both"/>
        <w:rPr>
          <w:sz w:val="22"/>
          <w:szCs w:val="22"/>
        </w:rPr>
      </w:pPr>
      <w:bookmarkStart w:id="0" w:name="_GoBack"/>
      <w:bookmarkEnd w:id="0"/>
    </w:p>
    <w:p w:rsidR="007E2BCE" w:rsidRPr="005D67F9" w:rsidRDefault="00BC72B9" w:rsidP="003F1093">
      <w:pPr>
        <w:pStyle w:val="Lijstalinea"/>
        <w:numPr>
          <w:ilvl w:val="0"/>
          <w:numId w:val="10"/>
        </w:numPr>
        <w:jc w:val="both"/>
      </w:pPr>
      <w:r>
        <w:rPr>
          <w:rFonts w:ascii="Times New Roman" w:hAnsi="Times New Roman"/>
        </w:rPr>
        <w:t xml:space="preserve">Zoals ik reeds op uw vraag van november 2013 antwoordde, is de huidige trend in de Vlaamse </w:t>
      </w:r>
      <w:r w:rsidRPr="005D67F9">
        <w:rPr>
          <w:rFonts w:ascii="Times New Roman" w:hAnsi="Times New Roman"/>
        </w:rPr>
        <w:t>werkzaamheid niet dalende. De werkzaamheidsgraad bij 20- tot 64-jarigen is opnieuw tot 71,9% gestegen, waarmee de daling in 2012 werd rechtgezet en opnieuw het niveau van 2011 behaald werd. De positieve economische vooruitzichten die de Nationale Bank op 4 maart publiceerde doen verhopen dat deze trend zich in de toekomst zal verderzetten en nog zal versterken.</w:t>
      </w:r>
    </w:p>
    <w:p w:rsidR="0061668E" w:rsidRPr="005D67F9" w:rsidRDefault="0061668E" w:rsidP="0061668E">
      <w:pPr>
        <w:jc w:val="both"/>
        <w:rPr>
          <w:sz w:val="22"/>
          <w:szCs w:val="22"/>
        </w:rPr>
      </w:pPr>
    </w:p>
    <w:p w:rsidR="0061668E" w:rsidRDefault="005D67F9" w:rsidP="0061668E">
      <w:pPr>
        <w:ind w:left="425"/>
        <w:jc w:val="both"/>
        <w:rPr>
          <w:sz w:val="22"/>
          <w:szCs w:val="22"/>
        </w:rPr>
      </w:pPr>
      <w:r>
        <w:rPr>
          <w:sz w:val="22"/>
          <w:szCs w:val="22"/>
        </w:rPr>
        <w:t xml:space="preserve">Het is niet enkel Vlaanderen dat niet op schema is om haar doelstellingen tegen 2020 te behalen. Onze werkzaamheidsgraad ligt vandaag 0,5 procentpunt onder het niveau van voor de crisis, het Europees gemiddelde ligt 1,9 procentpunt lager. In gans Europa wordt op dit moment een </w:t>
      </w:r>
      <w:proofErr w:type="spellStart"/>
      <w:r>
        <w:rPr>
          <w:sz w:val="22"/>
          <w:szCs w:val="22"/>
        </w:rPr>
        <w:t>mid</w:t>
      </w:r>
      <w:proofErr w:type="spellEnd"/>
      <w:r>
        <w:rPr>
          <w:sz w:val="22"/>
          <w:szCs w:val="22"/>
        </w:rPr>
        <w:t>-term review gehouden, waarbij de Europese Commissie evalueert waar we staan met de Europa 2020-strategie, nu deze bijna halfweg is. Haar analyse (</w:t>
      </w:r>
      <w:hyperlink r:id="rId13" w:history="1">
        <w:r w:rsidRPr="007E4762">
          <w:rPr>
            <w:rStyle w:val="Hyperlink"/>
            <w:sz w:val="22"/>
            <w:szCs w:val="22"/>
          </w:rPr>
          <w:t>http://ec.europa.eu/europe2020/pdf/europe2020stocktaking_en.pdf</w:t>
        </w:r>
      </w:hyperlink>
      <w:r>
        <w:rPr>
          <w:sz w:val="22"/>
          <w:szCs w:val="22"/>
        </w:rPr>
        <w:t xml:space="preserve">) strookt met de analyse die ik reeds maakte in mijn antwoord op uw vorige schriftelijke vraag: de onvoorzien zware en langdurige impact van de economische crisis heeft ertoe geleid dat de werkzaamheidsdoelstellingen vandaag verder weg zijn dan bij de start van de EU2020-strategie. Dit betekent echter niet dat de strategie of de doelstellingen gefaald hebben. Ze versterken de </w:t>
      </w:r>
      <w:proofErr w:type="spellStart"/>
      <w:r>
        <w:rPr>
          <w:sz w:val="22"/>
          <w:szCs w:val="22"/>
        </w:rPr>
        <w:t>langetermijnfocus</w:t>
      </w:r>
      <w:proofErr w:type="spellEnd"/>
      <w:r>
        <w:rPr>
          <w:sz w:val="22"/>
          <w:szCs w:val="22"/>
        </w:rPr>
        <w:t xml:space="preserve"> van het beleid, </w:t>
      </w:r>
      <w:r w:rsidR="0077004F">
        <w:rPr>
          <w:sz w:val="22"/>
          <w:szCs w:val="22"/>
        </w:rPr>
        <w:t>en stimuleren landen en regio’s om hun structurele problemen aan te pakken.</w:t>
      </w:r>
    </w:p>
    <w:p w:rsidR="0077004F" w:rsidRDefault="0077004F" w:rsidP="0061668E">
      <w:pPr>
        <w:ind w:left="425"/>
        <w:jc w:val="both"/>
        <w:rPr>
          <w:sz w:val="22"/>
          <w:szCs w:val="22"/>
        </w:rPr>
      </w:pPr>
    </w:p>
    <w:p w:rsidR="0077004F" w:rsidRDefault="0077004F" w:rsidP="0061668E">
      <w:pPr>
        <w:ind w:left="425"/>
        <w:jc w:val="both"/>
        <w:rPr>
          <w:sz w:val="22"/>
          <w:szCs w:val="22"/>
        </w:rPr>
      </w:pPr>
      <w:r>
        <w:rPr>
          <w:sz w:val="22"/>
          <w:szCs w:val="22"/>
        </w:rPr>
        <w:t xml:space="preserve">Ik ben het dan ook niet eens met uw analyse dat de beperkte vooruitgang van de werkzaamheidsgraad betekent dat de Vlaamse maatregelen niet passen bij de noden van de samenleving. De werkzaamheid van 55-plussers (42,5%) en van vrouwen (66,9%) is in Vlaanderen hoger </w:t>
      </w:r>
      <w:r w:rsidR="00396060">
        <w:rPr>
          <w:sz w:val="22"/>
          <w:szCs w:val="22"/>
        </w:rPr>
        <w:t xml:space="preserve">dan ooit. Voor elk van de 3 kansengroepen waarvoor het Pact 2020 voorschreef dat een jaarlijkse werkzaamheidsgroei van +1,0 procentpunt gehaald moest worden (allochtonen, personen met een arbeidshandicap en 50-plussers), werd dit doel in 2013 gehaald. </w:t>
      </w:r>
    </w:p>
    <w:p w:rsidR="0077004F" w:rsidRDefault="0077004F" w:rsidP="0061668E">
      <w:pPr>
        <w:ind w:left="425"/>
        <w:jc w:val="both"/>
        <w:rPr>
          <w:sz w:val="22"/>
          <w:szCs w:val="22"/>
        </w:rPr>
      </w:pPr>
    </w:p>
    <w:p w:rsidR="0077004F" w:rsidRPr="0077004F" w:rsidRDefault="0077004F" w:rsidP="0061668E">
      <w:pPr>
        <w:ind w:left="425"/>
        <w:jc w:val="both"/>
        <w:rPr>
          <w:b/>
          <w:sz w:val="22"/>
          <w:szCs w:val="22"/>
        </w:rPr>
      </w:pPr>
      <w:r>
        <w:rPr>
          <w:b/>
          <w:sz w:val="22"/>
          <w:szCs w:val="22"/>
        </w:rPr>
        <w:t>Tabel: Evolutie van de Vlaamse werkzaamheidsgraad</w:t>
      </w:r>
    </w:p>
    <w:tbl>
      <w:tblPr>
        <w:tblW w:w="9105" w:type="dxa"/>
        <w:tblBorders>
          <w:bottom w:val="single" w:sz="4" w:space="0" w:color="005A8C"/>
        </w:tblBorders>
        <w:shd w:val="clear" w:color="auto" w:fill="FFFFFF"/>
        <w:tblCellMar>
          <w:left w:w="0" w:type="dxa"/>
          <w:right w:w="0" w:type="dxa"/>
        </w:tblCellMar>
        <w:tblLook w:val="04A0" w:firstRow="1" w:lastRow="0" w:firstColumn="1" w:lastColumn="0" w:noHBand="0" w:noVBand="1"/>
      </w:tblPr>
      <w:tblGrid>
        <w:gridCol w:w="2216"/>
        <w:gridCol w:w="1004"/>
        <w:gridCol w:w="1082"/>
        <w:gridCol w:w="787"/>
        <w:gridCol w:w="888"/>
        <w:gridCol w:w="1189"/>
        <w:gridCol w:w="921"/>
        <w:gridCol w:w="1018"/>
      </w:tblGrid>
      <w:tr w:rsidR="0077004F" w:rsidRPr="00D37E2C" w:rsidTr="0077004F">
        <w:trPr>
          <w:trHeight w:val="162"/>
        </w:trPr>
        <w:tc>
          <w:tcPr>
            <w:tcW w:w="2216" w:type="dxa"/>
            <w:shd w:val="clear" w:color="auto" w:fill="005A8C"/>
            <w:tcMar>
              <w:top w:w="33" w:type="dxa"/>
              <w:left w:w="33" w:type="dxa"/>
              <w:bottom w:w="33" w:type="dxa"/>
              <w:right w:w="33" w:type="dxa"/>
            </w:tcMar>
            <w:vAlign w:val="center"/>
            <w:hideMark/>
          </w:tcPr>
          <w:p w:rsidR="0077004F" w:rsidRPr="00D37E2C" w:rsidRDefault="0077004F" w:rsidP="00F03876">
            <w:pPr>
              <w:spacing w:line="162" w:lineRule="atLeast"/>
              <w:rPr>
                <w:rFonts w:ascii="Calibri" w:eastAsia="Calibri" w:hAnsi="Calibri" w:cs="Calibri"/>
                <w:b/>
                <w:color w:val="FFFFFF"/>
                <w:sz w:val="19"/>
                <w:szCs w:val="19"/>
                <w:lang w:val="nl-BE" w:eastAsia="nl-BE"/>
              </w:rPr>
            </w:pPr>
          </w:p>
        </w:tc>
        <w:tc>
          <w:tcPr>
            <w:tcW w:w="1004" w:type="dxa"/>
            <w:shd w:val="clear" w:color="auto" w:fill="005A8C"/>
            <w:tcMar>
              <w:top w:w="33" w:type="dxa"/>
              <w:left w:w="33" w:type="dxa"/>
              <w:bottom w:w="33" w:type="dxa"/>
              <w:right w:w="33" w:type="dxa"/>
            </w:tcMar>
          </w:tcPr>
          <w:p w:rsidR="0077004F" w:rsidRPr="00D37E2C" w:rsidRDefault="0077004F" w:rsidP="00F03876">
            <w:pPr>
              <w:spacing w:line="162" w:lineRule="atLeast"/>
              <w:jc w:val="center"/>
              <w:rPr>
                <w:rFonts w:ascii="Calibri" w:eastAsia="Calibri" w:hAnsi="Calibri" w:cs="Calibri"/>
                <w:b/>
                <w:color w:val="FFFFFF"/>
                <w:sz w:val="19"/>
                <w:szCs w:val="19"/>
                <w:lang w:val="nl-BE" w:eastAsia="nl-BE"/>
              </w:rPr>
            </w:pPr>
          </w:p>
        </w:tc>
        <w:tc>
          <w:tcPr>
            <w:tcW w:w="1082" w:type="dxa"/>
            <w:shd w:val="clear" w:color="auto" w:fill="005A8C"/>
            <w:tcMar>
              <w:top w:w="33" w:type="dxa"/>
              <w:left w:w="33" w:type="dxa"/>
              <w:bottom w:w="33" w:type="dxa"/>
              <w:right w:w="33" w:type="dxa"/>
            </w:tcMar>
          </w:tcPr>
          <w:p w:rsidR="0077004F" w:rsidRPr="00D37E2C" w:rsidRDefault="0077004F" w:rsidP="00F03876">
            <w:pPr>
              <w:spacing w:line="162" w:lineRule="atLeast"/>
              <w:jc w:val="center"/>
              <w:rPr>
                <w:rFonts w:ascii="Calibri" w:eastAsia="Calibri" w:hAnsi="Calibri" w:cs="Calibri"/>
                <w:b/>
                <w:color w:val="FFFFFF"/>
                <w:sz w:val="19"/>
                <w:szCs w:val="19"/>
                <w:lang w:val="nl-BE" w:eastAsia="nl-BE"/>
              </w:rPr>
            </w:pPr>
          </w:p>
        </w:tc>
        <w:tc>
          <w:tcPr>
            <w:tcW w:w="787" w:type="dxa"/>
            <w:shd w:val="clear" w:color="auto" w:fill="005A8C"/>
            <w:tcMar>
              <w:top w:w="33" w:type="dxa"/>
              <w:left w:w="33" w:type="dxa"/>
              <w:bottom w:w="33" w:type="dxa"/>
              <w:right w:w="33" w:type="dxa"/>
            </w:tcMar>
          </w:tcPr>
          <w:p w:rsidR="0077004F" w:rsidRPr="00D37E2C" w:rsidRDefault="0077004F" w:rsidP="00F03876">
            <w:pPr>
              <w:spacing w:line="162" w:lineRule="atLeast"/>
              <w:jc w:val="center"/>
              <w:rPr>
                <w:rFonts w:ascii="Calibri" w:eastAsia="Calibri" w:hAnsi="Calibri" w:cs="Calibri"/>
                <w:b/>
                <w:color w:val="FFFFFF"/>
                <w:sz w:val="19"/>
                <w:szCs w:val="19"/>
                <w:lang w:val="nl-BE" w:eastAsia="nl-BE"/>
              </w:rPr>
            </w:pPr>
          </w:p>
        </w:tc>
        <w:tc>
          <w:tcPr>
            <w:tcW w:w="888" w:type="dxa"/>
            <w:vMerge w:val="restart"/>
            <w:shd w:val="clear" w:color="auto" w:fill="005A8C"/>
            <w:tcMar>
              <w:top w:w="33" w:type="dxa"/>
              <w:left w:w="33" w:type="dxa"/>
              <w:bottom w:w="33" w:type="dxa"/>
              <w:right w:w="33" w:type="dxa"/>
            </w:tcMar>
            <w:vAlign w:val="center"/>
            <w:hideMark/>
          </w:tcPr>
          <w:p w:rsidR="0077004F" w:rsidRPr="00D37E2C" w:rsidRDefault="0077004F" w:rsidP="00F03876">
            <w:pPr>
              <w:spacing w:line="162" w:lineRule="atLeast"/>
              <w:jc w:val="center"/>
              <w:rPr>
                <w:rFonts w:ascii="Calibri" w:eastAsia="Calibri" w:hAnsi="Calibri" w:cs="Calibri"/>
                <w:b/>
                <w:color w:val="FFFFFF"/>
                <w:sz w:val="19"/>
                <w:szCs w:val="19"/>
                <w:lang w:val="nl-BE" w:eastAsia="nl-BE"/>
              </w:rPr>
            </w:pPr>
          </w:p>
          <w:p w:rsidR="0077004F" w:rsidRPr="00D37E2C" w:rsidRDefault="0077004F" w:rsidP="00F03876">
            <w:pPr>
              <w:spacing w:line="162" w:lineRule="atLeast"/>
              <w:jc w:val="center"/>
              <w:rPr>
                <w:rFonts w:ascii="Calibri" w:eastAsia="Calibri" w:hAnsi="Calibri" w:cs="Calibri"/>
                <w:b/>
                <w:color w:val="FFFFFF"/>
                <w:sz w:val="19"/>
                <w:szCs w:val="19"/>
                <w:lang w:val="nl-BE" w:eastAsia="nl-BE"/>
              </w:rPr>
            </w:pPr>
            <w:r w:rsidRPr="00D37E2C">
              <w:rPr>
                <w:rFonts w:ascii="Calibri" w:eastAsia="Calibri" w:hAnsi="Calibri" w:cs="Calibri"/>
                <w:b/>
                <w:color w:val="FFFFFF"/>
                <w:sz w:val="19"/>
                <w:szCs w:val="19"/>
                <w:lang w:val="nl-BE" w:eastAsia="nl-BE"/>
              </w:rPr>
              <w:t>201</w:t>
            </w:r>
            <w:r>
              <w:rPr>
                <w:rFonts w:ascii="Calibri" w:eastAsia="Calibri" w:hAnsi="Calibri" w:cs="Calibri"/>
                <w:b/>
                <w:color w:val="FFFFFF"/>
                <w:sz w:val="19"/>
                <w:szCs w:val="19"/>
                <w:lang w:val="nl-BE" w:eastAsia="nl-BE"/>
              </w:rPr>
              <w:t>3</w:t>
            </w:r>
            <w:r w:rsidRPr="00D37E2C">
              <w:rPr>
                <w:rFonts w:ascii="Calibri" w:eastAsia="Calibri" w:hAnsi="Calibri" w:cs="Calibri"/>
                <w:b/>
                <w:color w:val="FFFFFF"/>
                <w:sz w:val="19"/>
                <w:szCs w:val="19"/>
                <w:lang w:val="nl-BE" w:eastAsia="nl-BE"/>
              </w:rPr>
              <w:t>*</w:t>
            </w:r>
          </w:p>
        </w:tc>
        <w:tc>
          <w:tcPr>
            <w:tcW w:w="1189" w:type="dxa"/>
            <w:vMerge w:val="restart"/>
            <w:shd w:val="clear" w:color="auto" w:fill="005A8C"/>
            <w:tcMar>
              <w:top w:w="33" w:type="dxa"/>
              <w:left w:w="33" w:type="dxa"/>
              <w:bottom w:w="33" w:type="dxa"/>
              <w:right w:w="33" w:type="dxa"/>
            </w:tcMar>
            <w:vAlign w:val="center"/>
            <w:hideMark/>
          </w:tcPr>
          <w:p w:rsidR="0077004F" w:rsidRPr="00D37E2C" w:rsidRDefault="0077004F" w:rsidP="00F03876">
            <w:pPr>
              <w:spacing w:line="162" w:lineRule="atLeast"/>
              <w:jc w:val="center"/>
              <w:rPr>
                <w:rFonts w:ascii="Calibri" w:eastAsia="Calibri" w:hAnsi="Calibri" w:cs="Calibri"/>
                <w:b/>
                <w:color w:val="FFFFFF"/>
                <w:sz w:val="19"/>
                <w:szCs w:val="19"/>
                <w:lang w:val="nl-BE" w:eastAsia="nl-BE"/>
              </w:rPr>
            </w:pPr>
          </w:p>
          <w:p w:rsidR="0077004F" w:rsidRPr="00D37E2C" w:rsidRDefault="0077004F" w:rsidP="00F03876">
            <w:pPr>
              <w:spacing w:line="162" w:lineRule="atLeast"/>
              <w:jc w:val="center"/>
              <w:rPr>
                <w:rFonts w:ascii="Calibri" w:eastAsia="Calibri" w:hAnsi="Calibri" w:cs="Calibri"/>
                <w:b/>
                <w:color w:val="FFFFFF"/>
                <w:sz w:val="19"/>
                <w:szCs w:val="19"/>
                <w:lang w:val="nl-BE" w:eastAsia="nl-BE"/>
              </w:rPr>
            </w:pPr>
            <w:r w:rsidRPr="00D37E2C">
              <w:rPr>
                <w:rFonts w:ascii="Calibri" w:eastAsia="Calibri" w:hAnsi="Calibri" w:cs="Calibri"/>
                <w:b/>
                <w:color w:val="FFFFFF"/>
                <w:sz w:val="19"/>
                <w:szCs w:val="19"/>
                <w:lang w:val="nl-BE" w:eastAsia="nl-BE"/>
              </w:rPr>
              <w:t>t.o.v. 201</w:t>
            </w:r>
            <w:r>
              <w:rPr>
                <w:rFonts w:ascii="Calibri" w:eastAsia="Calibri" w:hAnsi="Calibri" w:cs="Calibri"/>
                <w:b/>
                <w:color w:val="FFFFFF"/>
                <w:sz w:val="19"/>
                <w:szCs w:val="19"/>
                <w:lang w:val="nl-BE" w:eastAsia="nl-BE"/>
              </w:rPr>
              <w:t>2</w:t>
            </w:r>
            <w:r w:rsidRPr="00D37E2C">
              <w:rPr>
                <w:rFonts w:ascii="Calibri" w:eastAsia="Calibri" w:hAnsi="Calibri" w:cs="Calibri"/>
                <w:b/>
                <w:color w:val="FFFFFF"/>
                <w:sz w:val="19"/>
                <w:szCs w:val="19"/>
                <w:lang w:val="nl-BE" w:eastAsia="nl-BE"/>
              </w:rPr>
              <w:t xml:space="preserve"> </w:t>
            </w:r>
          </w:p>
        </w:tc>
        <w:tc>
          <w:tcPr>
            <w:tcW w:w="1939" w:type="dxa"/>
            <w:gridSpan w:val="2"/>
            <w:shd w:val="clear" w:color="auto" w:fill="005A8C"/>
          </w:tcPr>
          <w:p w:rsidR="0077004F" w:rsidRPr="00D37E2C" w:rsidRDefault="0077004F" w:rsidP="00F03876">
            <w:pPr>
              <w:spacing w:line="162" w:lineRule="atLeast"/>
              <w:jc w:val="center"/>
              <w:rPr>
                <w:rFonts w:ascii="Calibri" w:eastAsia="Calibri" w:hAnsi="Calibri" w:cs="Calibri"/>
                <w:b/>
                <w:color w:val="FFFFFF"/>
                <w:sz w:val="19"/>
                <w:szCs w:val="19"/>
                <w:lang w:val="nl-BE" w:eastAsia="nl-BE"/>
              </w:rPr>
            </w:pPr>
            <w:r w:rsidRPr="00D37E2C">
              <w:rPr>
                <w:rFonts w:ascii="Calibri" w:eastAsia="Calibri" w:hAnsi="Calibri" w:cs="Calibri"/>
                <w:b/>
                <w:color w:val="FFFFFF"/>
                <w:sz w:val="19"/>
                <w:szCs w:val="19"/>
                <w:lang w:val="nl-BE" w:eastAsia="nl-BE"/>
              </w:rPr>
              <w:t>streefdoel 2020</w:t>
            </w:r>
          </w:p>
        </w:tc>
      </w:tr>
      <w:tr w:rsidR="0077004F" w:rsidRPr="00D37E2C" w:rsidTr="0077004F">
        <w:trPr>
          <w:trHeight w:val="162"/>
        </w:trPr>
        <w:tc>
          <w:tcPr>
            <w:tcW w:w="2216" w:type="dxa"/>
            <w:shd w:val="clear" w:color="auto" w:fill="005A8C"/>
            <w:tcMar>
              <w:top w:w="33" w:type="dxa"/>
              <w:left w:w="33" w:type="dxa"/>
              <w:bottom w:w="33" w:type="dxa"/>
              <w:right w:w="33" w:type="dxa"/>
            </w:tcMar>
            <w:vAlign w:val="center"/>
            <w:hideMark/>
          </w:tcPr>
          <w:p w:rsidR="0077004F" w:rsidRPr="00D37E2C" w:rsidRDefault="0077004F" w:rsidP="00F03876">
            <w:pPr>
              <w:spacing w:line="162" w:lineRule="atLeast"/>
              <w:rPr>
                <w:rFonts w:ascii="Calibri" w:eastAsia="Calibri" w:hAnsi="Calibri" w:cs="Calibri"/>
                <w:b/>
                <w:color w:val="FFFFFF"/>
                <w:sz w:val="19"/>
                <w:szCs w:val="19"/>
                <w:lang w:val="nl-BE" w:eastAsia="nl-BE"/>
              </w:rPr>
            </w:pPr>
          </w:p>
        </w:tc>
        <w:tc>
          <w:tcPr>
            <w:tcW w:w="1004" w:type="dxa"/>
            <w:shd w:val="clear" w:color="auto" w:fill="005A8C"/>
            <w:tcMar>
              <w:top w:w="33" w:type="dxa"/>
              <w:left w:w="33" w:type="dxa"/>
              <w:bottom w:w="33" w:type="dxa"/>
              <w:right w:w="33" w:type="dxa"/>
            </w:tcMar>
          </w:tcPr>
          <w:p w:rsidR="0077004F" w:rsidRPr="00D37E2C" w:rsidRDefault="0077004F" w:rsidP="00F03876">
            <w:pPr>
              <w:spacing w:line="162" w:lineRule="atLeast"/>
              <w:jc w:val="center"/>
              <w:rPr>
                <w:rFonts w:ascii="Calibri" w:eastAsia="Calibri" w:hAnsi="Calibri" w:cs="Calibri"/>
                <w:b/>
                <w:color w:val="FFFFFF"/>
                <w:sz w:val="19"/>
                <w:szCs w:val="19"/>
                <w:lang w:val="nl-BE" w:eastAsia="nl-BE"/>
              </w:rPr>
            </w:pPr>
            <w:r w:rsidRPr="00D37E2C">
              <w:rPr>
                <w:rFonts w:ascii="Calibri" w:eastAsia="Calibri" w:hAnsi="Calibri" w:cs="Calibri"/>
                <w:b/>
                <w:color w:val="FFFFFF"/>
                <w:sz w:val="19"/>
                <w:szCs w:val="19"/>
                <w:lang w:val="nl-BE" w:eastAsia="nl-BE"/>
              </w:rPr>
              <w:t>2010</w:t>
            </w:r>
          </w:p>
        </w:tc>
        <w:tc>
          <w:tcPr>
            <w:tcW w:w="1082" w:type="dxa"/>
            <w:shd w:val="clear" w:color="auto" w:fill="005A8C"/>
            <w:tcMar>
              <w:top w:w="33" w:type="dxa"/>
              <w:left w:w="33" w:type="dxa"/>
              <w:bottom w:w="33" w:type="dxa"/>
              <w:right w:w="33" w:type="dxa"/>
            </w:tcMar>
          </w:tcPr>
          <w:p w:rsidR="0077004F" w:rsidRPr="00D37E2C" w:rsidRDefault="0077004F" w:rsidP="00F03876">
            <w:pPr>
              <w:spacing w:line="162" w:lineRule="atLeast"/>
              <w:jc w:val="center"/>
              <w:rPr>
                <w:rFonts w:ascii="Calibri" w:eastAsia="Calibri" w:hAnsi="Calibri" w:cs="Calibri"/>
                <w:b/>
                <w:color w:val="FFFFFF"/>
                <w:sz w:val="19"/>
                <w:szCs w:val="19"/>
                <w:lang w:val="nl-BE" w:eastAsia="nl-BE"/>
              </w:rPr>
            </w:pPr>
            <w:r w:rsidRPr="00D37E2C">
              <w:rPr>
                <w:rFonts w:ascii="Calibri" w:eastAsia="Calibri" w:hAnsi="Calibri" w:cs="Calibri"/>
                <w:b/>
                <w:color w:val="FFFFFF"/>
                <w:sz w:val="19"/>
                <w:szCs w:val="19"/>
                <w:lang w:val="nl-BE" w:eastAsia="nl-BE"/>
              </w:rPr>
              <w:t>2011</w:t>
            </w:r>
          </w:p>
        </w:tc>
        <w:tc>
          <w:tcPr>
            <w:tcW w:w="787" w:type="dxa"/>
            <w:shd w:val="clear" w:color="auto" w:fill="005A8C"/>
            <w:tcMar>
              <w:top w:w="33" w:type="dxa"/>
              <w:left w:w="33" w:type="dxa"/>
              <w:bottom w:w="33" w:type="dxa"/>
              <w:right w:w="33" w:type="dxa"/>
            </w:tcMar>
          </w:tcPr>
          <w:p w:rsidR="0077004F" w:rsidRPr="00D37E2C" w:rsidRDefault="0077004F" w:rsidP="00F03876">
            <w:pPr>
              <w:spacing w:line="162" w:lineRule="atLeast"/>
              <w:jc w:val="center"/>
              <w:rPr>
                <w:rFonts w:ascii="Calibri" w:eastAsia="Calibri" w:hAnsi="Calibri" w:cs="Calibri"/>
                <w:b/>
                <w:color w:val="FFFFFF"/>
                <w:sz w:val="19"/>
                <w:szCs w:val="19"/>
                <w:lang w:val="nl-BE" w:eastAsia="nl-BE"/>
              </w:rPr>
            </w:pPr>
            <w:r w:rsidRPr="00D37E2C">
              <w:rPr>
                <w:rFonts w:ascii="Calibri" w:eastAsia="Calibri" w:hAnsi="Calibri" w:cs="Calibri"/>
                <w:b/>
                <w:color w:val="FFFFFF"/>
                <w:sz w:val="19"/>
                <w:szCs w:val="19"/>
                <w:lang w:val="nl-BE" w:eastAsia="nl-BE"/>
              </w:rPr>
              <w:t>201</w:t>
            </w:r>
            <w:r>
              <w:rPr>
                <w:rFonts w:ascii="Calibri" w:eastAsia="Calibri" w:hAnsi="Calibri" w:cs="Calibri"/>
                <w:b/>
                <w:color w:val="FFFFFF"/>
                <w:sz w:val="19"/>
                <w:szCs w:val="19"/>
                <w:lang w:val="nl-BE" w:eastAsia="nl-BE"/>
              </w:rPr>
              <w:t>2</w:t>
            </w:r>
          </w:p>
        </w:tc>
        <w:tc>
          <w:tcPr>
            <w:tcW w:w="888" w:type="dxa"/>
            <w:vMerge/>
            <w:shd w:val="clear" w:color="auto" w:fill="005A8C"/>
            <w:tcMar>
              <w:top w:w="33" w:type="dxa"/>
              <w:left w:w="33" w:type="dxa"/>
              <w:bottom w:w="33" w:type="dxa"/>
              <w:right w:w="33" w:type="dxa"/>
            </w:tcMar>
            <w:vAlign w:val="center"/>
            <w:hideMark/>
          </w:tcPr>
          <w:p w:rsidR="0077004F" w:rsidRPr="00D37E2C" w:rsidRDefault="0077004F" w:rsidP="00F03876">
            <w:pPr>
              <w:spacing w:line="162" w:lineRule="atLeast"/>
              <w:jc w:val="center"/>
              <w:rPr>
                <w:rFonts w:ascii="Calibri" w:eastAsia="Calibri" w:hAnsi="Calibri" w:cs="Calibri"/>
                <w:b/>
                <w:color w:val="FFFFFF"/>
                <w:sz w:val="19"/>
                <w:szCs w:val="19"/>
                <w:lang w:val="nl-BE" w:eastAsia="nl-BE"/>
              </w:rPr>
            </w:pPr>
          </w:p>
        </w:tc>
        <w:tc>
          <w:tcPr>
            <w:tcW w:w="1189" w:type="dxa"/>
            <w:vMerge/>
            <w:shd w:val="clear" w:color="auto" w:fill="005A8C"/>
            <w:tcMar>
              <w:top w:w="33" w:type="dxa"/>
              <w:left w:w="33" w:type="dxa"/>
              <w:bottom w:w="33" w:type="dxa"/>
              <w:right w:w="33" w:type="dxa"/>
            </w:tcMar>
            <w:vAlign w:val="center"/>
            <w:hideMark/>
          </w:tcPr>
          <w:p w:rsidR="0077004F" w:rsidRPr="00D37E2C" w:rsidRDefault="0077004F" w:rsidP="00F03876">
            <w:pPr>
              <w:spacing w:line="162" w:lineRule="atLeast"/>
              <w:jc w:val="center"/>
              <w:rPr>
                <w:rFonts w:ascii="Calibri" w:eastAsia="Calibri" w:hAnsi="Calibri" w:cs="Calibri"/>
                <w:b/>
                <w:color w:val="FFFFFF"/>
                <w:sz w:val="19"/>
                <w:szCs w:val="19"/>
                <w:lang w:val="nl-BE" w:eastAsia="nl-BE"/>
              </w:rPr>
            </w:pPr>
          </w:p>
        </w:tc>
        <w:tc>
          <w:tcPr>
            <w:tcW w:w="921" w:type="dxa"/>
            <w:shd w:val="clear" w:color="auto" w:fill="005A8C"/>
          </w:tcPr>
          <w:p w:rsidR="0077004F" w:rsidRPr="00D37E2C" w:rsidRDefault="0077004F" w:rsidP="00F03876">
            <w:pPr>
              <w:spacing w:line="162" w:lineRule="atLeast"/>
              <w:jc w:val="center"/>
              <w:rPr>
                <w:rFonts w:ascii="Calibri" w:eastAsia="Calibri" w:hAnsi="Calibri" w:cs="Calibri"/>
                <w:b/>
                <w:color w:val="FFFFFF"/>
                <w:sz w:val="19"/>
                <w:szCs w:val="19"/>
                <w:lang w:val="nl-BE" w:eastAsia="nl-BE"/>
              </w:rPr>
            </w:pPr>
            <w:r w:rsidRPr="00D37E2C">
              <w:rPr>
                <w:rFonts w:ascii="Calibri" w:eastAsia="Calibri" w:hAnsi="Calibri" w:cs="Calibri"/>
                <w:b/>
                <w:color w:val="FFFFFF"/>
                <w:sz w:val="19"/>
                <w:szCs w:val="19"/>
                <w:lang w:val="nl-BE" w:eastAsia="nl-BE"/>
              </w:rPr>
              <w:t>norm</w:t>
            </w:r>
          </w:p>
        </w:tc>
        <w:tc>
          <w:tcPr>
            <w:tcW w:w="1018" w:type="dxa"/>
            <w:shd w:val="clear" w:color="auto" w:fill="005A8C"/>
            <w:tcMar>
              <w:top w:w="33" w:type="dxa"/>
              <w:left w:w="33" w:type="dxa"/>
              <w:bottom w:w="33" w:type="dxa"/>
              <w:right w:w="33" w:type="dxa"/>
            </w:tcMar>
            <w:vAlign w:val="center"/>
            <w:hideMark/>
          </w:tcPr>
          <w:p w:rsidR="0077004F" w:rsidRPr="00D37E2C" w:rsidRDefault="0077004F" w:rsidP="00F03876">
            <w:pPr>
              <w:spacing w:line="162" w:lineRule="atLeast"/>
              <w:rPr>
                <w:rFonts w:ascii="Calibri" w:eastAsia="Calibri" w:hAnsi="Calibri" w:cs="Calibri"/>
                <w:b/>
                <w:color w:val="FFFFFF"/>
                <w:sz w:val="19"/>
                <w:szCs w:val="19"/>
                <w:lang w:val="nl-BE" w:eastAsia="nl-BE"/>
              </w:rPr>
            </w:pPr>
            <w:r w:rsidRPr="00D37E2C">
              <w:rPr>
                <w:rFonts w:ascii="Calibri" w:eastAsia="Calibri" w:hAnsi="Calibri" w:cs="Calibri"/>
                <w:b/>
                <w:color w:val="FFFFFF"/>
                <w:sz w:val="19"/>
                <w:szCs w:val="19"/>
                <w:lang w:val="nl-BE" w:eastAsia="nl-BE"/>
              </w:rPr>
              <w:t xml:space="preserve">        afstand </w:t>
            </w:r>
          </w:p>
        </w:tc>
      </w:tr>
      <w:tr w:rsidR="0077004F" w:rsidRPr="00D37E2C" w:rsidTr="0077004F">
        <w:trPr>
          <w:trHeight w:val="162"/>
        </w:trPr>
        <w:tc>
          <w:tcPr>
            <w:tcW w:w="2216" w:type="dxa"/>
            <w:shd w:val="clear" w:color="auto" w:fill="FFFFFF"/>
            <w:tcMar>
              <w:top w:w="33" w:type="dxa"/>
              <w:left w:w="33" w:type="dxa"/>
              <w:bottom w:w="33" w:type="dxa"/>
              <w:right w:w="33" w:type="dxa"/>
            </w:tcMar>
            <w:vAlign w:val="center"/>
            <w:hideMark/>
          </w:tcPr>
          <w:p w:rsidR="0077004F" w:rsidRPr="00D37E2C" w:rsidRDefault="0077004F" w:rsidP="00F03876">
            <w:pPr>
              <w:spacing w:line="162" w:lineRule="atLeast"/>
              <w:rPr>
                <w:rFonts w:ascii="Calibri" w:eastAsia="Calibri" w:hAnsi="Calibri" w:cs="Calibri"/>
                <w:b/>
                <w:sz w:val="19"/>
                <w:szCs w:val="19"/>
                <w:lang w:val="nl-BE" w:eastAsia="nl-BE"/>
              </w:rPr>
            </w:pPr>
            <w:r w:rsidRPr="00D37E2C">
              <w:rPr>
                <w:rFonts w:ascii="Calibri" w:eastAsia="Calibri" w:hAnsi="Calibri" w:cs="Calibri"/>
                <w:b/>
                <w:sz w:val="19"/>
                <w:szCs w:val="19"/>
                <w:lang w:val="nl-BE" w:eastAsia="nl-BE"/>
              </w:rPr>
              <w:t>totale bevolking (%)</w:t>
            </w:r>
          </w:p>
        </w:tc>
        <w:tc>
          <w:tcPr>
            <w:tcW w:w="1004" w:type="dxa"/>
            <w:shd w:val="clear" w:color="auto" w:fill="FFFFFF"/>
            <w:tcMar>
              <w:top w:w="33" w:type="dxa"/>
              <w:left w:w="33" w:type="dxa"/>
              <w:bottom w:w="33" w:type="dxa"/>
              <w:right w:w="33" w:type="dxa"/>
            </w:tcMar>
          </w:tcPr>
          <w:p w:rsidR="0077004F" w:rsidRPr="00D37E2C" w:rsidRDefault="0077004F" w:rsidP="00F03876">
            <w:pPr>
              <w:spacing w:line="162" w:lineRule="atLeast"/>
              <w:jc w:val="center"/>
              <w:rPr>
                <w:rFonts w:ascii="Calibri" w:eastAsia="Calibri" w:hAnsi="Calibri" w:cs="Calibri"/>
                <w:b/>
                <w:sz w:val="19"/>
                <w:szCs w:val="19"/>
                <w:lang w:val="nl-BE" w:eastAsia="nl-BE"/>
              </w:rPr>
            </w:pPr>
            <w:r w:rsidRPr="00D37E2C">
              <w:rPr>
                <w:rFonts w:ascii="Calibri" w:eastAsia="Calibri" w:hAnsi="Calibri" w:cs="Calibri"/>
                <w:b/>
                <w:sz w:val="19"/>
                <w:szCs w:val="19"/>
                <w:lang w:val="nl-BE" w:eastAsia="nl-BE"/>
              </w:rPr>
              <w:t>72,1</w:t>
            </w:r>
          </w:p>
        </w:tc>
        <w:tc>
          <w:tcPr>
            <w:tcW w:w="1082" w:type="dxa"/>
            <w:shd w:val="clear" w:color="auto" w:fill="FFFFFF"/>
            <w:tcMar>
              <w:top w:w="33" w:type="dxa"/>
              <w:left w:w="33" w:type="dxa"/>
              <w:bottom w:w="33" w:type="dxa"/>
              <w:right w:w="33" w:type="dxa"/>
            </w:tcMar>
          </w:tcPr>
          <w:p w:rsidR="0077004F" w:rsidRPr="00D37E2C" w:rsidRDefault="0077004F" w:rsidP="00F03876">
            <w:pPr>
              <w:spacing w:line="162" w:lineRule="atLeast"/>
              <w:jc w:val="center"/>
              <w:rPr>
                <w:rFonts w:ascii="Calibri" w:eastAsia="Calibri" w:hAnsi="Calibri" w:cs="Calibri"/>
                <w:b/>
                <w:sz w:val="19"/>
                <w:szCs w:val="19"/>
                <w:lang w:val="nl-BE" w:eastAsia="nl-BE"/>
              </w:rPr>
            </w:pPr>
            <w:r w:rsidRPr="00D37E2C">
              <w:rPr>
                <w:rFonts w:ascii="Calibri" w:eastAsia="Calibri" w:hAnsi="Calibri" w:cs="Calibri"/>
                <w:b/>
                <w:sz w:val="19"/>
                <w:szCs w:val="19"/>
                <w:lang w:val="nl-BE" w:eastAsia="nl-BE"/>
              </w:rPr>
              <w:t>71,8</w:t>
            </w:r>
          </w:p>
        </w:tc>
        <w:tc>
          <w:tcPr>
            <w:tcW w:w="787" w:type="dxa"/>
            <w:shd w:val="clear" w:color="auto" w:fill="FFFFFF"/>
            <w:tcMar>
              <w:top w:w="33" w:type="dxa"/>
              <w:left w:w="33" w:type="dxa"/>
              <w:bottom w:w="33" w:type="dxa"/>
              <w:right w:w="33" w:type="dxa"/>
            </w:tcMar>
          </w:tcPr>
          <w:p w:rsidR="0077004F" w:rsidRPr="00D37E2C" w:rsidRDefault="0077004F" w:rsidP="00F03876">
            <w:pPr>
              <w:spacing w:line="162" w:lineRule="atLeast"/>
              <w:jc w:val="center"/>
              <w:rPr>
                <w:rFonts w:ascii="Calibri" w:eastAsia="Calibri" w:hAnsi="Calibri" w:cs="Calibri"/>
                <w:b/>
                <w:sz w:val="19"/>
                <w:szCs w:val="19"/>
                <w:lang w:val="nl-BE" w:eastAsia="nl-BE"/>
              </w:rPr>
            </w:pPr>
            <w:r w:rsidRPr="00D37E2C">
              <w:rPr>
                <w:rFonts w:ascii="Calibri" w:eastAsia="Calibri" w:hAnsi="Calibri" w:cs="Calibri"/>
                <w:b/>
                <w:sz w:val="19"/>
                <w:szCs w:val="19"/>
                <w:lang w:val="nl-BE" w:eastAsia="nl-BE"/>
              </w:rPr>
              <w:t>71,</w:t>
            </w:r>
            <w:r>
              <w:rPr>
                <w:rFonts w:ascii="Calibri" w:eastAsia="Calibri" w:hAnsi="Calibri" w:cs="Calibri"/>
                <w:b/>
                <w:sz w:val="19"/>
                <w:szCs w:val="19"/>
                <w:lang w:val="nl-BE" w:eastAsia="nl-BE"/>
              </w:rPr>
              <w:t>5</w:t>
            </w:r>
          </w:p>
        </w:tc>
        <w:tc>
          <w:tcPr>
            <w:tcW w:w="888" w:type="dxa"/>
            <w:shd w:val="clear" w:color="auto" w:fill="FFFFFF"/>
            <w:tcMar>
              <w:top w:w="33" w:type="dxa"/>
              <w:left w:w="33" w:type="dxa"/>
              <w:bottom w:w="33" w:type="dxa"/>
              <w:right w:w="33" w:type="dxa"/>
            </w:tcMar>
            <w:vAlign w:val="center"/>
          </w:tcPr>
          <w:p w:rsidR="0077004F" w:rsidRPr="00D37E2C" w:rsidRDefault="0077004F" w:rsidP="00F03876">
            <w:pPr>
              <w:spacing w:line="162" w:lineRule="atLeast"/>
              <w:jc w:val="center"/>
              <w:rPr>
                <w:rFonts w:ascii="Calibri" w:eastAsia="Calibri" w:hAnsi="Calibri" w:cs="Calibri"/>
                <w:b/>
                <w:sz w:val="19"/>
                <w:szCs w:val="19"/>
                <w:lang w:val="nl-BE" w:eastAsia="nl-BE"/>
              </w:rPr>
            </w:pPr>
            <w:r w:rsidRPr="00D37E2C">
              <w:rPr>
                <w:rFonts w:ascii="Calibri" w:eastAsia="Calibri" w:hAnsi="Calibri" w:cs="Calibri"/>
                <w:b/>
                <w:sz w:val="19"/>
                <w:szCs w:val="19"/>
                <w:lang w:val="nl-BE" w:eastAsia="nl-BE"/>
              </w:rPr>
              <w:t>71,</w:t>
            </w:r>
            <w:r>
              <w:rPr>
                <w:rFonts w:ascii="Calibri" w:eastAsia="Calibri" w:hAnsi="Calibri" w:cs="Calibri"/>
                <w:b/>
                <w:sz w:val="19"/>
                <w:szCs w:val="19"/>
                <w:lang w:val="nl-BE" w:eastAsia="nl-BE"/>
              </w:rPr>
              <w:t>9</w:t>
            </w:r>
          </w:p>
        </w:tc>
        <w:tc>
          <w:tcPr>
            <w:tcW w:w="1189" w:type="dxa"/>
            <w:shd w:val="clear" w:color="auto" w:fill="FFFFFF"/>
            <w:tcMar>
              <w:top w:w="33" w:type="dxa"/>
              <w:left w:w="33" w:type="dxa"/>
              <w:bottom w:w="33" w:type="dxa"/>
              <w:right w:w="33" w:type="dxa"/>
            </w:tcMar>
            <w:vAlign w:val="center"/>
            <w:hideMark/>
          </w:tcPr>
          <w:p w:rsidR="0077004F" w:rsidRPr="00D37E2C" w:rsidRDefault="0077004F" w:rsidP="00F03876">
            <w:pPr>
              <w:spacing w:line="162" w:lineRule="atLeast"/>
              <w:jc w:val="center"/>
              <w:rPr>
                <w:rFonts w:ascii="Calibri" w:eastAsia="Calibri" w:hAnsi="Calibri" w:cs="Calibri"/>
                <w:b/>
                <w:sz w:val="19"/>
                <w:szCs w:val="19"/>
                <w:lang w:val="nl-BE" w:eastAsia="nl-BE"/>
              </w:rPr>
            </w:pPr>
            <w:r>
              <w:rPr>
                <w:rFonts w:ascii="Calibri" w:eastAsia="Calibri" w:hAnsi="Calibri" w:cs="Calibri"/>
                <w:b/>
                <w:sz w:val="19"/>
                <w:szCs w:val="19"/>
                <w:lang w:val="nl-BE" w:eastAsia="nl-BE"/>
              </w:rPr>
              <w:t>+</w:t>
            </w:r>
            <w:r w:rsidRPr="00D37E2C">
              <w:rPr>
                <w:rFonts w:ascii="Calibri" w:eastAsia="Calibri" w:hAnsi="Calibri" w:cs="Calibri"/>
                <w:b/>
                <w:sz w:val="19"/>
                <w:szCs w:val="19"/>
                <w:lang w:val="nl-BE" w:eastAsia="nl-BE"/>
              </w:rPr>
              <w:t>0,</w:t>
            </w:r>
            <w:r>
              <w:rPr>
                <w:rFonts w:ascii="Calibri" w:eastAsia="Calibri" w:hAnsi="Calibri" w:cs="Calibri"/>
                <w:b/>
                <w:sz w:val="19"/>
                <w:szCs w:val="19"/>
                <w:lang w:val="nl-BE" w:eastAsia="nl-BE"/>
              </w:rPr>
              <w:t>4</w:t>
            </w:r>
            <w:r w:rsidRPr="00D37E2C">
              <w:rPr>
                <w:rFonts w:ascii="Calibri" w:eastAsia="Calibri" w:hAnsi="Calibri" w:cs="Calibri"/>
                <w:b/>
                <w:sz w:val="19"/>
                <w:szCs w:val="19"/>
                <w:lang w:val="nl-BE" w:eastAsia="nl-BE"/>
              </w:rPr>
              <w:t xml:space="preserve"> </w:t>
            </w:r>
            <w:proofErr w:type="spellStart"/>
            <w:r w:rsidRPr="00D37E2C">
              <w:rPr>
                <w:rFonts w:ascii="Calibri" w:eastAsia="Calibri" w:hAnsi="Calibri" w:cs="Calibri"/>
                <w:b/>
                <w:sz w:val="19"/>
                <w:szCs w:val="19"/>
                <w:lang w:val="nl-BE" w:eastAsia="nl-BE"/>
              </w:rPr>
              <w:t>ppt</w:t>
            </w:r>
            <w:proofErr w:type="spellEnd"/>
            <w:r w:rsidRPr="00D37E2C">
              <w:rPr>
                <w:rFonts w:ascii="Calibri" w:eastAsia="Calibri" w:hAnsi="Calibri" w:cs="Calibri"/>
                <w:b/>
                <w:sz w:val="19"/>
                <w:szCs w:val="19"/>
                <w:lang w:val="nl-BE" w:eastAsia="nl-BE"/>
              </w:rPr>
              <w:t>.</w:t>
            </w:r>
            <w:r w:rsidRPr="00D37E2C">
              <w:rPr>
                <w:rFonts w:ascii="Calibri" w:eastAsia="Calibri" w:hAnsi="Calibri" w:cs="Calibri"/>
                <w:b/>
                <w:color w:val="00B050"/>
                <w:sz w:val="18"/>
                <w:szCs w:val="18"/>
                <w:lang w:val="nl-BE" w:eastAsia="nl-BE"/>
              </w:rPr>
              <w:t>↑</w:t>
            </w:r>
          </w:p>
        </w:tc>
        <w:tc>
          <w:tcPr>
            <w:tcW w:w="921" w:type="dxa"/>
            <w:shd w:val="clear" w:color="auto" w:fill="FFFFFF"/>
            <w:vAlign w:val="center"/>
          </w:tcPr>
          <w:p w:rsidR="0077004F" w:rsidRPr="00D37E2C" w:rsidRDefault="0077004F" w:rsidP="00F03876">
            <w:pPr>
              <w:spacing w:line="162" w:lineRule="atLeast"/>
              <w:jc w:val="center"/>
              <w:rPr>
                <w:rFonts w:ascii="Calibri" w:eastAsia="Calibri" w:hAnsi="Calibri" w:cs="Calibri"/>
                <w:b/>
                <w:sz w:val="19"/>
                <w:szCs w:val="19"/>
                <w:lang w:val="nl-BE" w:eastAsia="nl-BE"/>
              </w:rPr>
            </w:pPr>
            <w:r w:rsidRPr="00D37E2C">
              <w:rPr>
                <w:rFonts w:ascii="Calibri" w:eastAsia="Calibri" w:hAnsi="Calibri" w:cs="Calibri"/>
                <w:b/>
                <w:sz w:val="19"/>
                <w:szCs w:val="19"/>
                <w:lang w:val="nl-BE" w:eastAsia="nl-BE"/>
              </w:rPr>
              <w:t>Ruim 76</w:t>
            </w:r>
          </w:p>
        </w:tc>
        <w:tc>
          <w:tcPr>
            <w:tcW w:w="1018" w:type="dxa"/>
            <w:shd w:val="clear" w:color="auto" w:fill="FFFFFF"/>
            <w:tcMar>
              <w:top w:w="33" w:type="dxa"/>
              <w:left w:w="33" w:type="dxa"/>
              <w:bottom w:w="33" w:type="dxa"/>
              <w:right w:w="33" w:type="dxa"/>
            </w:tcMar>
            <w:vAlign w:val="center"/>
            <w:hideMark/>
          </w:tcPr>
          <w:p w:rsidR="0077004F" w:rsidRPr="00D37E2C" w:rsidRDefault="0077004F" w:rsidP="00F03876">
            <w:pPr>
              <w:spacing w:line="162" w:lineRule="atLeast"/>
              <w:jc w:val="center"/>
              <w:rPr>
                <w:rFonts w:ascii="Calibri" w:eastAsia="Calibri" w:hAnsi="Calibri" w:cs="Calibri"/>
                <w:b/>
                <w:sz w:val="19"/>
                <w:szCs w:val="19"/>
                <w:lang w:val="nl-BE" w:eastAsia="nl-BE"/>
              </w:rPr>
            </w:pPr>
            <w:r w:rsidRPr="00D37E2C">
              <w:rPr>
                <w:rFonts w:ascii="Calibri" w:eastAsia="Calibri" w:hAnsi="Calibri" w:cs="Calibri"/>
                <w:b/>
                <w:sz w:val="19"/>
                <w:szCs w:val="19"/>
                <w:lang w:val="nl-BE" w:eastAsia="nl-BE"/>
              </w:rPr>
              <w:t>4,</w:t>
            </w:r>
            <w:r>
              <w:rPr>
                <w:rFonts w:ascii="Calibri" w:eastAsia="Calibri" w:hAnsi="Calibri" w:cs="Calibri"/>
                <w:b/>
                <w:sz w:val="19"/>
                <w:szCs w:val="19"/>
                <w:lang w:val="nl-BE" w:eastAsia="nl-BE"/>
              </w:rPr>
              <w:t>1</w:t>
            </w:r>
            <w:r w:rsidRPr="00D37E2C">
              <w:rPr>
                <w:rFonts w:ascii="Calibri" w:eastAsia="Calibri" w:hAnsi="Calibri" w:cs="Calibri"/>
                <w:b/>
                <w:sz w:val="19"/>
                <w:szCs w:val="19"/>
                <w:lang w:val="nl-BE" w:eastAsia="nl-BE"/>
              </w:rPr>
              <w:t xml:space="preserve"> </w:t>
            </w:r>
            <w:proofErr w:type="spellStart"/>
            <w:r w:rsidRPr="00D37E2C">
              <w:rPr>
                <w:rFonts w:ascii="Calibri" w:eastAsia="Calibri" w:hAnsi="Calibri" w:cs="Calibri"/>
                <w:b/>
                <w:sz w:val="19"/>
                <w:szCs w:val="19"/>
                <w:lang w:val="nl-BE" w:eastAsia="nl-BE"/>
              </w:rPr>
              <w:t>ppt</w:t>
            </w:r>
            <w:proofErr w:type="spellEnd"/>
          </w:p>
        </w:tc>
      </w:tr>
      <w:tr w:rsidR="0077004F" w:rsidRPr="00D37E2C" w:rsidTr="0077004F">
        <w:trPr>
          <w:trHeight w:val="162"/>
        </w:trPr>
        <w:tc>
          <w:tcPr>
            <w:tcW w:w="2216" w:type="dxa"/>
            <w:shd w:val="clear" w:color="auto" w:fill="DBE5F1" w:themeFill="accent1" w:themeFillTint="33"/>
            <w:tcMar>
              <w:top w:w="33" w:type="dxa"/>
              <w:left w:w="33" w:type="dxa"/>
              <w:bottom w:w="33" w:type="dxa"/>
              <w:right w:w="33" w:type="dxa"/>
            </w:tcMar>
            <w:vAlign w:val="center"/>
            <w:hideMark/>
          </w:tcPr>
          <w:p w:rsidR="0077004F" w:rsidRPr="00D37E2C" w:rsidRDefault="0077004F" w:rsidP="00F03876">
            <w:pPr>
              <w:spacing w:line="162" w:lineRule="atLeast"/>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Vrouwen (%)</w:t>
            </w:r>
          </w:p>
        </w:tc>
        <w:tc>
          <w:tcPr>
            <w:tcW w:w="1004" w:type="dxa"/>
            <w:shd w:val="clear" w:color="auto" w:fill="DBE5F1" w:themeFill="accent1" w:themeFillTint="33"/>
            <w:tcMar>
              <w:top w:w="33" w:type="dxa"/>
              <w:left w:w="33" w:type="dxa"/>
              <w:bottom w:w="33" w:type="dxa"/>
              <w:right w:w="33" w:type="dxa"/>
            </w:tcMar>
          </w:tcPr>
          <w:p w:rsidR="0077004F" w:rsidRPr="00D37E2C" w:rsidRDefault="0077004F" w:rsidP="00F03876">
            <w:pPr>
              <w:spacing w:line="162" w:lineRule="atLeast"/>
              <w:jc w:val="center"/>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66,7</w:t>
            </w:r>
          </w:p>
        </w:tc>
        <w:tc>
          <w:tcPr>
            <w:tcW w:w="1082" w:type="dxa"/>
            <w:shd w:val="clear" w:color="auto" w:fill="DBE5F1" w:themeFill="accent1" w:themeFillTint="33"/>
            <w:tcMar>
              <w:top w:w="33" w:type="dxa"/>
              <w:left w:w="33" w:type="dxa"/>
              <w:bottom w:w="33" w:type="dxa"/>
              <w:right w:w="33" w:type="dxa"/>
            </w:tcMar>
          </w:tcPr>
          <w:p w:rsidR="0077004F" w:rsidRPr="00D37E2C" w:rsidRDefault="0077004F" w:rsidP="00F03876">
            <w:pPr>
              <w:spacing w:line="162" w:lineRule="atLeast"/>
              <w:jc w:val="center"/>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66,4</w:t>
            </w:r>
          </w:p>
        </w:tc>
        <w:tc>
          <w:tcPr>
            <w:tcW w:w="787" w:type="dxa"/>
            <w:shd w:val="clear" w:color="auto" w:fill="DBE5F1" w:themeFill="accent1" w:themeFillTint="33"/>
            <w:tcMar>
              <w:top w:w="33" w:type="dxa"/>
              <w:left w:w="33" w:type="dxa"/>
              <w:bottom w:w="33" w:type="dxa"/>
              <w:right w:w="33" w:type="dxa"/>
            </w:tcMar>
          </w:tcPr>
          <w:p w:rsidR="0077004F" w:rsidRPr="00D37E2C" w:rsidRDefault="0077004F" w:rsidP="00F03876">
            <w:pPr>
              <w:spacing w:line="162" w:lineRule="atLeast"/>
              <w:jc w:val="center"/>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66,</w:t>
            </w:r>
            <w:r>
              <w:rPr>
                <w:rFonts w:ascii="Calibri" w:eastAsia="Calibri" w:hAnsi="Calibri" w:cs="Calibri"/>
                <w:sz w:val="19"/>
                <w:szCs w:val="19"/>
                <w:lang w:val="nl-BE" w:eastAsia="nl-BE"/>
              </w:rPr>
              <w:t>2</w:t>
            </w:r>
          </w:p>
        </w:tc>
        <w:tc>
          <w:tcPr>
            <w:tcW w:w="888" w:type="dxa"/>
            <w:shd w:val="clear" w:color="auto" w:fill="DBE5F1" w:themeFill="accent1" w:themeFillTint="33"/>
            <w:tcMar>
              <w:top w:w="33" w:type="dxa"/>
              <w:left w:w="33" w:type="dxa"/>
              <w:bottom w:w="33" w:type="dxa"/>
              <w:right w:w="33" w:type="dxa"/>
            </w:tcMar>
            <w:vAlign w:val="center"/>
          </w:tcPr>
          <w:p w:rsidR="0077004F" w:rsidRPr="00D37E2C" w:rsidRDefault="0077004F" w:rsidP="00F03876">
            <w:pPr>
              <w:spacing w:line="162" w:lineRule="atLeast"/>
              <w:jc w:val="center"/>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66,</w:t>
            </w:r>
            <w:r>
              <w:rPr>
                <w:rFonts w:ascii="Calibri" w:eastAsia="Calibri" w:hAnsi="Calibri" w:cs="Calibri"/>
                <w:sz w:val="19"/>
                <w:szCs w:val="19"/>
                <w:lang w:val="nl-BE" w:eastAsia="nl-BE"/>
              </w:rPr>
              <w:t>9</w:t>
            </w:r>
          </w:p>
        </w:tc>
        <w:tc>
          <w:tcPr>
            <w:tcW w:w="1189" w:type="dxa"/>
            <w:shd w:val="clear" w:color="auto" w:fill="DBE5F1" w:themeFill="accent1" w:themeFillTint="33"/>
            <w:tcMar>
              <w:top w:w="33" w:type="dxa"/>
              <w:left w:w="33" w:type="dxa"/>
              <w:bottom w:w="33" w:type="dxa"/>
              <w:right w:w="33" w:type="dxa"/>
            </w:tcMar>
            <w:vAlign w:val="center"/>
            <w:hideMark/>
          </w:tcPr>
          <w:p w:rsidR="0077004F" w:rsidRPr="00D37E2C" w:rsidRDefault="0077004F" w:rsidP="00F03876">
            <w:pPr>
              <w:spacing w:line="162" w:lineRule="atLeast"/>
              <w:jc w:val="center"/>
              <w:rPr>
                <w:rFonts w:ascii="Calibri" w:eastAsia="Calibri" w:hAnsi="Calibri" w:cs="Calibri"/>
                <w:sz w:val="19"/>
                <w:szCs w:val="19"/>
                <w:lang w:val="nl-BE" w:eastAsia="nl-BE"/>
              </w:rPr>
            </w:pPr>
            <w:r>
              <w:rPr>
                <w:rFonts w:ascii="Calibri" w:eastAsia="Calibri" w:hAnsi="Calibri" w:cs="Calibri"/>
                <w:sz w:val="19"/>
                <w:szCs w:val="19"/>
                <w:lang w:val="nl-BE" w:eastAsia="nl-BE"/>
              </w:rPr>
              <w:t>+</w:t>
            </w:r>
            <w:r w:rsidRPr="00D37E2C">
              <w:rPr>
                <w:rFonts w:ascii="Calibri" w:eastAsia="Calibri" w:hAnsi="Calibri" w:cs="Calibri"/>
                <w:sz w:val="19"/>
                <w:szCs w:val="19"/>
                <w:lang w:val="nl-BE" w:eastAsia="nl-BE"/>
              </w:rPr>
              <w:t>0</w:t>
            </w:r>
            <w:r>
              <w:rPr>
                <w:rFonts w:ascii="Calibri" w:eastAsia="Calibri" w:hAnsi="Calibri" w:cs="Calibri"/>
                <w:sz w:val="19"/>
                <w:szCs w:val="19"/>
                <w:lang w:val="nl-BE" w:eastAsia="nl-BE"/>
              </w:rPr>
              <w:t>,7</w:t>
            </w:r>
            <w:r w:rsidRPr="00D37E2C">
              <w:rPr>
                <w:rFonts w:ascii="Calibri" w:eastAsia="Calibri" w:hAnsi="Calibri" w:cs="Calibri"/>
                <w:sz w:val="19"/>
                <w:szCs w:val="19"/>
                <w:lang w:val="nl-BE" w:eastAsia="nl-BE"/>
              </w:rPr>
              <w:t xml:space="preserve"> </w:t>
            </w:r>
            <w:proofErr w:type="spellStart"/>
            <w:r w:rsidRPr="00D37E2C">
              <w:rPr>
                <w:rFonts w:ascii="Calibri" w:eastAsia="Calibri" w:hAnsi="Calibri" w:cs="Calibri"/>
                <w:sz w:val="19"/>
                <w:szCs w:val="19"/>
                <w:lang w:val="nl-BE" w:eastAsia="nl-BE"/>
              </w:rPr>
              <w:t>ppt</w:t>
            </w:r>
            <w:proofErr w:type="spellEnd"/>
            <w:r w:rsidRPr="00D37E2C">
              <w:rPr>
                <w:rFonts w:ascii="Calibri" w:eastAsia="Calibri" w:hAnsi="Calibri" w:cs="Calibri"/>
                <w:sz w:val="19"/>
                <w:szCs w:val="19"/>
                <w:lang w:val="nl-BE" w:eastAsia="nl-BE"/>
              </w:rPr>
              <w:t>.</w:t>
            </w:r>
            <w:r w:rsidRPr="00D37E2C">
              <w:rPr>
                <w:rFonts w:ascii="Calibri" w:eastAsia="Calibri" w:hAnsi="Calibri" w:cs="Calibri"/>
                <w:b/>
                <w:color w:val="00B050"/>
                <w:sz w:val="18"/>
                <w:szCs w:val="18"/>
                <w:lang w:val="nl-BE" w:eastAsia="nl-BE"/>
              </w:rPr>
              <w:t xml:space="preserve"> ↑</w:t>
            </w:r>
          </w:p>
        </w:tc>
        <w:tc>
          <w:tcPr>
            <w:tcW w:w="921" w:type="dxa"/>
            <w:shd w:val="clear" w:color="auto" w:fill="DBE5F1" w:themeFill="accent1" w:themeFillTint="33"/>
            <w:vAlign w:val="center"/>
          </w:tcPr>
          <w:p w:rsidR="0077004F" w:rsidRPr="00D37E2C" w:rsidRDefault="0077004F" w:rsidP="00F03876">
            <w:pPr>
              <w:spacing w:line="162" w:lineRule="atLeast"/>
              <w:jc w:val="center"/>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75</w:t>
            </w:r>
          </w:p>
        </w:tc>
        <w:tc>
          <w:tcPr>
            <w:tcW w:w="1018" w:type="dxa"/>
            <w:shd w:val="clear" w:color="auto" w:fill="DBE5F1" w:themeFill="accent1" w:themeFillTint="33"/>
            <w:tcMar>
              <w:top w:w="33" w:type="dxa"/>
              <w:left w:w="33" w:type="dxa"/>
              <w:bottom w:w="33" w:type="dxa"/>
              <w:right w:w="33" w:type="dxa"/>
            </w:tcMar>
            <w:vAlign w:val="center"/>
            <w:hideMark/>
          </w:tcPr>
          <w:p w:rsidR="0077004F" w:rsidRPr="00D37E2C" w:rsidRDefault="0077004F" w:rsidP="00F03876">
            <w:pPr>
              <w:spacing w:line="162" w:lineRule="atLeast"/>
              <w:jc w:val="center"/>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8,</w:t>
            </w:r>
            <w:r>
              <w:rPr>
                <w:rFonts w:ascii="Calibri" w:eastAsia="Calibri" w:hAnsi="Calibri" w:cs="Calibri"/>
                <w:sz w:val="19"/>
                <w:szCs w:val="19"/>
                <w:lang w:val="nl-BE" w:eastAsia="nl-BE"/>
              </w:rPr>
              <w:t>1</w:t>
            </w:r>
            <w:r w:rsidRPr="00D37E2C">
              <w:rPr>
                <w:rFonts w:ascii="Calibri" w:eastAsia="Calibri" w:hAnsi="Calibri" w:cs="Calibri"/>
                <w:sz w:val="19"/>
                <w:szCs w:val="19"/>
                <w:lang w:val="nl-BE" w:eastAsia="nl-BE"/>
              </w:rPr>
              <w:t xml:space="preserve"> </w:t>
            </w:r>
            <w:proofErr w:type="spellStart"/>
            <w:r w:rsidRPr="00D37E2C">
              <w:rPr>
                <w:rFonts w:ascii="Calibri" w:eastAsia="Calibri" w:hAnsi="Calibri" w:cs="Calibri"/>
                <w:sz w:val="19"/>
                <w:szCs w:val="19"/>
                <w:lang w:val="nl-BE" w:eastAsia="nl-BE"/>
              </w:rPr>
              <w:t>ppt</w:t>
            </w:r>
            <w:proofErr w:type="spellEnd"/>
            <w:r w:rsidRPr="00D37E2C">
              <w:rPr>
                <w:rFonts w:ascii="Calibri" w:eastAsia="Calibri" w:hAnsi="Calibri" w:cs="Calibri"/>
                <w:sz w:val="19"/>
                <w:szCs w:val="19"/>
                <w:lang w:val="nl-BE" w:eastAsia="nl-BE"/>
              </w:rPr>
              <w:t>.</w:t>
            </w:r>
          </w:p>
        </w:tc>
      </w:tr>
      <w:tr w:rsidR="0077004F" w:rsidRPr="00D37E2C" w:rsidTr="0077004F">
        <w:trPr>
          <w:trHeight w:val="162"/>
        </w:trPr>
        <w:tc>
          <w:tcPr>
            <w:tcW w:w="2216" w:type="dxa"/>
            <w:shd w:val="clear" w:color="auto" w:fill="FFFFFF"/>
            <w:tcMar>
              <w:top w:w="33" w:type="dxa"/>
              <w:left w:w="33" w:type="dxa"/>
              <w:bottom w:w="33" w:type="dxa"/>
              <w:right w:w="33" w:type="dxa"/>
            </w:tcMar>
            <w:vAlign w:val="center"/>
            <w:hideMark/>
          </w:tcPr>
          <w:p w:rsidR="0077004F" w:rsidRPr="00D37E2C" w:rsidRDefault="0077004F" w:rsidP="00F03876">
            <w:pPr>
              <w:spacing w:line="162" w:lineRule="atLeast"/>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50-plussers (%)</w:t>
            </w:r>
          </w:p>
        </w:tc>
        <w:tc>
          <w:tcPr>
            <w:tcW w:w="1004" w:type="dxa"/>
            <w:shd w:val="clear" w:color="auto" w:fill="FFFFFF"/>
            <w:tcMar>
              <w:top w:w="33" w:type="dxa"/>
              <w:left w:w="33" w:type="dxa"/>
              <w:bottom w:w="33" w:type="dxa"/>
              <w:right w:w="33" w:type="dxa"/>
            </w:tcMar>
          </w:tcPr>
          <w:p w:rsidR="0077004F" w:rsidRPr="00D37E2C" w:rsidRDefault="0077004F" w:rsidP="00F03876">
            <w:pPr>
              <w:spacing w:line="162" w:lineRule="atLeast"/>
              <w:jc w:val="center"/>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53,1</w:t>
            </w:r>
          </w:p>
        </w:tc>
        <w:tc>
          <w:tcPr>
            <w:tcW w:w="1082" w:type="dxa"/>
            <w:shd w:val="clear" w:color="auto" w:fill="FFFFFF"/>
            <w:tcMar>
              <w:top w:w="33" w:type="dxa"/>
              <w:left w:w="33" w:type="dxa"/>
              <w:bottom w:w="33" w:type="dxa"/>
              <w:right w:w="33" w:type="dxa"/>
            </w:tcMar>
          </w:tcPr>
          <w:p w:rsidR="0077004F" w:rsidRPr="00D37E2C" w:rsidRDefault="0077004F" w:rsidP="00F03876">
            <w:pPr>
              <w:spacing w:line="162" w:lineRule="atLeast"/>
              <w:jc w:val="center"/>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53,6</w:t>
            </w:r>
          </w:p>
        </w:tc>
        <w:tc>
          <w:tcPr>
            <w:tcW w:w="787" w:type="dxa"/>
            <w:shd w:val="clear" w:color="auto" w:fill="FFFFFF"/>
            <w:tcMar>
              <w:top w:w="33" w:type="dxa"/>
              <w:left w:w="33" w:type="dxa"/>
              <w:bottom w:w="33" w:type="dxa"/>
              <w:right w:w="33" w:type="dxa"/>
            </w:tcMar>
          </w:tcPr>
          <w:p w:rsidR="0077004F" w:rsidRPr="00D37E2C" w:rsidRDefault="0077004F" w:rsidP="00F03876">
            <w:pPr>
              <w:spacing w:line="162" w:lineRule="atLeast"/>
              <w:jc w:val="center"/>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5</w:t>
            </w:r>
            <w:r>
              <w:rPr>
                <w:rFonts w:ascii="Calibri" w:eastAsia="Calibri" w:hAnsi="Calibri" w:cs="Calibri"/>
                <w:sz w:val="19"/>
                <w:szCs w:val="19"/>
                <w:lang w:val="nl-BE" w:eastAsia="nl-BE"/>
              </w:rPr>
              <w:t>4</w:t>
            </w:r>
            <w:r w:rsidRPr="00D37E2C">
              <w:rPr>
                <w:rFonts w:ascii="Calibri" w:eastAsia="Calibri" w:hAnsi="Calibri" w:cs="Calibri"/>
                <w:sz w:val="19"/>
                <w:szCs w:val="19"/>
                <w:lang w:val="nl-BE" w:eastAsia="nl-BE"/>
              </w:rPr>
              <w:t>,6</w:t>
            </w:r>
          </w:p>
        </w:tc>
        <w:tc>
          <w:tcPr>
            <w:tcW w:w="888" w:type="dxa"/>
            <w:shd w:val="clear" w:color="auto" w:fill="FFFFFF"/>
            <w:tcMar>
              <w:top w:w="33" w:type="dxa"/>
              <w:left w:w="33" w:type="dxa"/>
              <w:bottom w:w="33" w:type="dxa"/>
              <w:right w:w="33" w:type="dxa"/>
            </w:tcMar>
            <w:vAlign w:val="center"/>
          </w:tcPr>
          <w:p w:rsidR="0077004F" w:rsidRPr="00D37E2C" w:rsidRDefault="0077004F" w:rsidP="00F03876">
            <w:pPr>
              <w:spacing w:line="162" w:lineRule="atLeast"/>
              <w:jc w:val="center"/>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5</w:t>
            </w:r>
            <w:r>
              <w:rPr>
                <w:rFonts w:ascii="Calibri" w:eastAsia="Calibri" w:hAnsi="Calibri" w:cs="Calibri"/>
                <w:sz w:val="19"/>
                <w:szCs w:val="19"/>
                <w:lang w:val="nl-BE" w:eastAsia="nl-BE"/>
              </w:rPr>
              <w:t>6,1</w:t>
            </w:r>
          </w:p>
        </w:tc>
        <w:tc>
          <w:tcPr>
            <w:tcW w:w="1189" w:type="dxa"/>
            <w:shd w:val="clear" w:color="auto" w:fill="FFFFFF"/>
            <w:tcMar>
              <w:top w:w="33" w:type="dxa"/>
              <w:left w:w="33" w:type="dxa"/>
              <w:bottom w:w="33" w:type="dxa"/>
              <w:right w:w="33" w:type="dxa"/>
            </w:tcMar>
            <w:vAlign w:val="center"/>
            <w:hideMark/>
          </w:tcPr>
          <w:p w:rsidR="0077004F" w:rsidRPr="00D37E2C" w:rsidRDefault="0077004F" w:rsidP="00F03876">
            <w:pPr>
              <w:spacing w:line="162" w:lineRule="atLeast"/>
              <w:jc w:val="center"/>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w:t>
            </w:r>
            <w:r>
              <w:rPr>
                <w:rFonts w:ascii="Calibri" w:eastAsia="Calibri" w:hAnsi="Calibri" w:cs="Calibri"/>
                <w:sz w:val="19"/>
                <w:szCs w:val="19"/>
                <w:lang w:val="nl-BE" w:eastAsia="nl-BE"/>
              </w:rPr>
              <w:t>1,5</w:t>
            </w:r>
            <w:r w:rsidRPr="00D37E2C">
              <w:rPr>
                <w:rFonts w:ascii="Calibri" w:eastAsia="Calibri" w:hAnsi="Calibri" w:cs="Calibri"/>
                <w:sz w:val="19"/>
                <w:szCs w:val="19"/>
                <w:lang w:val="nl-BE" w:eastAsia="nl-BE"/>
              </w:rPr>
              <w:t xml:space="preserve"> </w:t>
            </w:r>
            <w:proofErr w:type="spellStart"/>
            <w:r w:rsidRPr="00D37E2C">
              <w:rPr>
                <w:rFonts w:ascii="Calibri" w:eastAsia="Calibri" w:hAnsi="Calibri" w:cs="Calibri"/>
                <w:sz w:val="19"/>
                <w:szCs w:val="19"/>
                <w:lang w:val="nl-BE" w:eastAsia="nl-BE"/>
              </w:rPr>
              <w:t>ppt</w:t>
            </w:r>
            <w:proofErr w:type="spellEnd"/>
            <w:r w:rsidRPr="00D37E2C">
              <w:rPr>
                <w:rFonts w:ascii="Calibri" w:eastAsia="Calibri" w:hAnsi="Calibri" w:cs="Calibri"/>
                <w:sz w:val="19"/>
                <w:szCs w:val="19"/>
                <w:lang w:val="nl-BE" w:eastAsia="nl-BE"/>
              </w:rPr>
              <w:t>.</w:t>
            </w:r>
            <w:r w:rsidRPr="00D37E2C">
              <w:rPr>
                <w:rFonts w:ascii="Calibri" w:eastAsia="Calibri" w:hAnsi="Calibri" w:cs="Calibri"/>
                <w:b/>
                <w:color w:val="00B050"/>
                <w:sz w:val="18"/>
                <w:szCs w:val="18"/>
                <w:lang w:val="nl-BE" w:eastAsia="nl-BE"/>
              </w:rPr>
              <w:t>↑</w:t>
            </w:r>
          </w:p>
        </w:tc>
        <w:tc>
          <w:tcPr>
            <w:tcW w:w="921" w:type="dxa"/>
            <w:shd w:val="clear" w:color="auto" w:fill="FFFFFF"/>
            <w:vAlign w:val="center"/>
          </w:tcPr>
          <w:p w:rsidR="0077004F" w:rsidRPr="00D37E2C" w:rsidRDefault="0077004F" w:rsidP="00F03876">
            <w:pPr>
              <w:spacing w:line="162" w:lineRule="atLeast"/>
              <w:jc w:val="center"/>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60</w:t>
            </w:r>
          </w:p>
        </w:tc>
        <w:tc>
          <w:tcPr>
            <w:tcW w:w="1018" w:type="dxa"/>
            <w:shd w:val="clear" w:color="auto" w:fill="FFFFFF"/>
            <w:tcMar>
              <w:top w:w="33" w:type="dxa"/>
              <w:left w:w="33" w:type="dxa"/>
              <w:bottom w:w="33" w:type="dxa"/>
              <w:right w:w="33" w:type="dxa"/>
            </w:tcMar>
            <w:vAlign w:val="center"/>
            <w:hideMark/>
          </w:tcPr>
          <w:p w:rsidR="0077004F" w:rsidRPr="00D37E2C" w:rsidRDefault="0077004F" w:rsidP="00F03876">
            <w:pPr>
              <w:spacing w:line="162" w:lineRule="atLeast"/>
              <w:jc w:val="center"/>
              <w:rPr>
                <w:rFonts w:ascii="Calibri" w:eastAsia="Calibri" w:hAnsi="Calibri" w:cs="Calibri"/>
                <w:sz w:val="19"/>
                <w:szCs w:val="19"/>
                <w:lang w:val="nl-BE" w:eastAsia="nl-BE"/>
              </w:rPr>
            </w:pPr>
            <w:r>
              <w:rPr>
                <w:rFonts w:ascii="Calibri" w:eastAsia="Calibri" w:hAnsi="Calibri" w:cs="Calibri"/>
                <w:sz w:val="19"/>
                <w:szCs w:val="19"/>
                <w:lang w:val="nl-BE" w:eastAsia="nl-BE"/>
              </w:rPr>
              <w:t>3,9</w:t>
            </w:r>
            <w:r w:rsidRPr="00D37E2C">
              <w:rPr>
                <w:rFonts w:ascii="Calibri" w:eastAsia="Calibri" w:hAnsi="Calibri" w:cs="Calibri"/>
                <w:sz w:val="19"/>
                <w:szCs w:val="19"/>
                <w:lang w:val="nl-BE" w:eastAsia="nl-BE"/>
              </w:rPr>
              <w:t xml:space="preserve"> </w:t>
            </w:r>
            <w:proofErr w:type="spellStart"/>
            <w:r w:rsidRPr="00D37E2C">
              <w:rPr>
                <w:rFonts w:ascii="Calibri" w:eastAsia="Calibri" w:hAnsi="Calibri" w:cs="Calibri"/>
                <w:sz w:val="19"/>
                <w:szCs w:val="19"/>
                <w:lang w:val="nl-BE" w:eastAsia="nl-BE"/>
              </w:rPr>
              <w:t>ppt</w:t>
            </w:r>
            <w:proofErr w:type="spellEnd"/>
            <w:r w:rsidRPr="00D37E2C">
              <w:rPr>
                <w:rFonts w:ascii="Calibri" w:eastAsia="Calibri" w:hAnsi="Calibri" w:cs="Calibri"/>
                <w:sz w:val="19"/>
                <w:szCs w:val="19"/>
                <w:lang w:val="nl-BE" w:eastAsia="nl-BE"/>
              </w:rPr>
              <w:t>.</w:t>
            </w:r>
          </w:p>
        </w:tc>
      </w:tr>
      <w:tr w:rsidR="0077004F" w:rsidRPr="00D37E2C" w:rsidTr="0077004F">
        <w:trPr>
          <w:trHeight w:val="162"/>
        </w:trPr>
        <w:tc>
          <w:tcPr>
            <w:tcW w:w="2216" w:type="dxa"/>
            <w:shd w:val="clear" w:color="auto" w:fill="DBE5F1" w:themeFill="accent1" w:themeFillTint="33"/>
            <w:tcMar>
              <w:top w:w="33" w:type="dxa"/>
              <w:left w:w="33" w:type="dxa"/>
              <w:bottom w:w="33" w:type="dxa"/>
              <w:right w:w="33" w:type="dxa"/>
            </w:tcMar>
            <w:vAlign w:val="center"/>
            <w:hideMark/>
          </w:tcPr>
          <w:p w:rsidR="0077004F" w:rsidRPr="00D37E2C" w:rsidRDefault="0077004F" w:rsidP="00F03876">
            <w:pPr>
              <w:spacing w:line="162" w:lineRule="atLeast"/>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55-plussers (%)</w:t>
            </w:r>
          </w:p>
        </w:tc>
        <w:tc>
          <w:tcPr>
            <w:tcW w:w="1004" w:type="dxa"/>
            <w:shd w:val="clear" w:color="auto" w:fill="DBE5F1" w:themeFill="accent1" w:themeFillTint="33"/>
            <w:tcMar>
              <w:top w:w="33" w:type="dxa"/>
              <w:left w:w="33" w:type="dxa"/>
              <w:bottom w:w="33" w:type="dxa"/>
              <w:right w:w="33" w:type="dxa"/>
            </w:tcMar>
          </w:tcPr>
          <w:p w:rsidR="0077004F" w:rsidRPr="00D37E2C" w:rsidRDefault="0077004F" w:rsidP="00F03876">
            <w:pPr>
              <w:spacing w:line="162" w:lineRule="atLeast"/>
              <w:jc w:val="center"/>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38,2</w:t>
            </w:r>
          </w:p>
        </w:tc>
        <w:tc>
          <w:tcPr>
            <w:tcW w:w="1082" w:type="dxa"/>
            <w:shd w:val="clear" w:color="auto" w:fill="DBE5F1" w:themeFill="accent1" w:themeFillTint="33"/>
            <w:tcMar>
              <w:top w:w="33" w:type="dxa"/>
              <w:left w:w="33" w:type="dxa"/>
              <w:bottom w:w="33" w:type="dxa"/>
              <w:right w:w="33" w:type="dxa"/>
            </w:tcMar>
          </w:tcPr>
          <w:p w:rsidR="0077004F" w:rsidRPr="00D37E2C" w:rsidRDefault="0077004F" w:rsidP="00F03876">
            <w:pPr>
              <w:spacing w:line="162" w:lineRule="atLeast"/>
              <w:jc w:val="center"/>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38,9</w:t>
            </w:r>
          </w:p>
        </w:tc>
        <w:tc>
          <w:tcPr>
            <w:tcW w:w="787" w:type="dxa"/>
            <w:shd w:val="clear" w:color="auto" w:fill="DBE5F1" w:themeFill="accent1" w:themeFillTint="33"/>
            <w:tcMar>
              <w:top w:w="33" w:type="dxa"/>
              <w:left w:w="33" w:type="dxa"/>
              <w:bottom w:w="33" w:type="dxa"/>
              <w:right w:w="33" w:type="dxa"/>
            </w:tcMar>
          </w:tcPr>
          <w:p w:rsidR="0077004F" w:rsidRPr="00D37E2C" w:rsidRDefault="0077004F" w:rsidP="00F03876">
            <w:pPr>
              <w:spacing w:line="162" w:lineRule="atLeast"/>
              <w:jc w:val="center"/>
              <w:rPr>
                <w:rFonts w:ascii="Calibri" w:eastAsia="Calibri" w:hAnsi="Calibri" w:cs="Calibri"/>
                <w:sz w:val="19"/>
                <w:szCs w:val="19"/>
                <w:lang w:val="nl-BE" w:eastAsia="nl-BE"/>
              </w:rPr>
            </w:pPr>
            <w:r>
              <w:rPr>
                <w:rFonts w:ascii="Calibri" w:eastAsia="Calibri" w:hAnsi="Calibri" w:cs="Calibri"/>
                <w:sz w:val="19"/>
                <w:szCs w:val="19"/>
                <w:lang w:val="nl-BE" w:eastAsia="nl-BE"/>
              </w:rPr>
              <w:t>40,5</w:t>
            </w:r>
          </w:p>
        </w:tc>
        <w:tc>
          <w:tcPr>
            <w:tcW w:w="888" w:type="dxa"/>
            <w:shd w:val="clear" w:color="auto" w:fill="DBE5F1" w:themeFill="accent1" w:themeFillTint="33"/>
            <w:tcMar>
              <w:top w:w="33" w:type="dxa"/>
              <w:left w:w="33" w:type="dxa"/>
              <w:bottom w:w="33" w:type="dxa"/>
              <w:right w:w="33" w:type="dxa"/>
            </w:tcMar>
            <w:vAlign w:val="center"/>
          </w:tcPr>
          <w:p w:rsidR="0077004F" w:rsidRPr="00D37E2C" w:rsidRDefault="0077004F" w:rsidP="00F03876">
            <w:pPr>
              <w:spacing w:line="162" w:lineRule="atLeast"/>
              <w:jc w:val="center"/>
              <w:rPr>
                <w:rFonts w:ascii="Calibri" w:eastAsia="Calibri" w:hAnsi="Calibri" w:cs="Calibri"/>
                <w:sz w:val="19"/>
                <w:szCs w:val="19"/>
                <w:lang w:val="nl-BE" w:eastAsia="nl-BE"/>
              </w:rPr>
            </w:pPr>
            <w:r>
              <w:rPr>
                <w:rFonts w:ascii="Calibri" w:eastAsia="Calibri" w:hAnsi="Calibri" w:cs="Calibri"/>
                <w:sz w:val="19"/>
                <w:szCs w:val="19"/>
                <w:lang w:val="nl-BE" w:eastAsia="nl-BE"/>
              </w:rPr>
              <w:t>42,5</w:t>
            </w:r>
          </w:p>
        </w:tc>
        <w:tc>
          <w:tcPr>
            <w:tcW w:w="1189" w:type="dxa"/>
            <w:shd w:val="clear" w:color="auto" w:fill="DBE5F1" w:themeFill="accent1" w:themeFillTint="33"/>
            <w:tcMar>
              <w:top w:w="33" w:type="dxa"/>
              <w:left w:w="33" w:type="dxa"/>
              <w:bottom w:w="33" w:type="dxa"/>
              <w:right w:w="33" w:type="dxa"/>
            </w:tcMar>
            <w:vAlign w:val="center"/>
            <w:hideMark/>
          </w:tcPr>
          <w:p w:rsidR="0077004F" w:rsidRPr="00D37E2C" w:rsidRDefault="0077004F" w:rsidP="00F03876">
            <w:pPr>
              <w:spacing w:line="162" w:lineRule="atLeast"/>
              <w:jc w:val="center"/>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w:t>
            </w:r>
            <w:r>
              <w:rPr>
                <w:rFonts w:ascii="Calibri" w:eastAsia="Calibri" w:hAnsi="Calibri" w:cs="Calibri"/>
                <w:sz w:val="19"/>
                <w:szCs w:val="19"/>
                <w:lang w:val="nl-BE" w:eastAsia="nl-BE"/>
              </w:rPr>
              <w:t>2,0</w:t>
            </w:r>
            <w:r w:rsidRPr="00D37E2C">
              <w:rPr>
                <w:rFonts w:ascii="Calibri" w:eastAsia="Calibri" w:hAnsi="Calibri" w:cs="Calibri"/>
                <w:sz w:val="19"/>
                <w:szCs w:val="19"/>
                <w:lang w:val="nl-BE" w:eastAsia="nl-BE"/>
              </w:rPr>
              <w:t>ppt.</w:t>
            </w:r>
            <w:r w:rsidRPr="00D37E2C">
              <w:rPr>
                <w:rFonts w:ascii="Calibri" w:eastAsia="Calibri" w:hAnsi="Calibri" w:cs="Calibri"/>
                <w:b/>
                <w:color w:val="00B050"/>
                <w:sz w:val="18"/>
                <w:szCs w:val="18"/>
                <w:lang w:val="nl-BE" w:eastAsia="nl-BE"/>
              </w:rPr>
              <w:t>↑</w:t>
            </w:r>
          </w:p>
        </w:tc>
        <w:tc>
          <w:tcPr>
            <w:tcW w:w="921" w:type="dxa"/>
            <w:shd w:val="clear" w:color="auto" w:fill="DBE5F1" w:themeFill="accent1" w:themeFillTint="33"/>
            <w:vAlign w:val="center"/>
          </w:tcPr>
          <w:p w:rsidR="0077004F" w:rsidRPr="00D37E2C" w:rsidRDefault="0077004F" w:rsidP="00F03876">
            <w:pPr>
              <w:spacing w:line="162" w:lineRule="atLeast"/>
              <w:jc w:val="center"/>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50</w:t>
            </w:r>
          </w:p>
        </w:tc>
        <w:tc>
          <w:tcPr>
            <w:tcW w:w="1018" w:type="dxa"/>
            <w:shd w:val="clear" w:color="auto" w:fill="DBE5F1" w:themeFill="accent1" w:themeFillTint="33"/>
            <w:tcMar>
              <w:top w:w="33" w:type="dxa"/>
              <w:left w:w="33" w:type="dxa"/>
              <w:bottom w:w="33" w:type="dxa"/>
              <w:right w:w="33" w:type="dxa"/>
            </w:tcMar>
            <w:vAlign w:val="center"/>
            <w:hideMark/>
          </w:tcPr>
          <w:p w:rsidR="0077004F" w:rsidRPr="00D37E2C" w:rsidRDefault="0077004F" w:rsidP="00F03876">
            <w:pPr>
              <w:spacing w:line="162" w:lineRule="atLeast"/>
              <w:jc w:val="center"/>
              <w:rPr>
                <w:rFonts w:ascii="Calibri" w:eastAsia="Calibri" w:hAnsi="Calibri" w:cs="Calibri"/>
                <w:sz w:val="19"/>
                <w:szCs w:val="19"/>
                <w:lang w:val="nl-BE" w:eastAsia="nl-BE"/>
              </w:rPr>
            </w:pPr>
            <w:r>
              <w:rPr>
                <w:rFonts w:ascii="Calibri" w:eastAsia="Calibri" w:hAnsi="Calibri" w:cs="Calibri"/>
                <w:sz w:val="19"/>
                <w:szCs w:val="19"/>
                <w:lang w:val="nl-BE" w:eastAsia="nl-BE"/>
              </w:rPr>
              <w:t>7,5</w:t>
            </w:r>
            <w:r w:rsidRPr="00D37E2C">
              <w:rPr>
                <w:rFonts w:ascii="Calibri" w:eastAsia="Calibri" w:hAnsi="Calibri" w:cs="Calibri"/>
                <w:sz w:val="19"/>
                <w:szCs w:val="19"/>
                <w:lang w:val="nl-BE" w:eastAsia="nl-BE"/>
              </w:rPr>
              <w:t xml:space="preserve"> </w:t>
            </w:r>
            <w:proofErr w:type="spellStart"/>
            <w:r w:rsidRPr="00D37E2C">
              <w:rPr>
                <w:rFonts w:ascii="Calibri" w:eastAsia="Calibri" w:hAnsi="Calibri" w:cs="Calibri"/>
                <w:sz w:val="19"/>
                <w:szCs w:val="19"/>
                <w:lang w:val="nl-BE" w:eastAsia="nl-BE"/>
              </w:rPr>
              <w:t>ppt</w:t>
            </w:r>
            <w:proofErr w:type="spellEnd"/>
            <w:r w:rsidRPr="00D37E2C">
              <w:rPr>
                <w:rFonts w:ascii="Calibri" w:eastAsia="Calibri" w:hAnsi="Calibri" w:cs="Calibri"/>
                <w:sz w:val="19"/>
                <w:szCs w:val="19"/>
                <w:lang w:val="nl-BE" w:eastAsia="nl-BE"/>
              </w:rPr>
              <w:t>.</w:t>
            </w:r>
          </w:p>
        </w:tc>
      </w:tr>
      <w:tr w:rsidR="0077004F" w:rsidRPr="00D37E2C" w:rsidTr="0077004F">
        <w:trPr>
          <w:trHeight w:val="162"/>
        </w:trPr>
        <w:tc>
          <w:tcPr>
            <w:tcW w:w="2216" w:type="dxa"/>
            <w:shd w:val="clear" w:color="auto" w:fill="FFFFFF" w:themeFill="background1"/>
            <w:tcMar>
              <w:top w:w="33" w:type="dxa"/>
              <w:left w:w="33" w:type="dxa"/>
              <w:bottom w:w="33" w:type="dxa"/>
              <w:right w:w="33" w:type="dxa"/>
            </w:tcMar>
            <w:vAlign w:val="center"/>
            <w:hideMark/>
          </w:tcPr>
          <w:p w:rsidR="0077004F" w:rsidRPr="00D37E2C" w:rsidRDefault="0077004F" w:rsidP="00F03876">
            <w:pPr>
              <w:spacing w:line="162" w:lineRule="atLeast"/>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personen met een arbeidshandicap (%)</w:t>
            </w:r>
          </w:p>
        </w:tc>
        <w:tc>
          <w:tcPr>
            <w:tcW w:w="1004" w:type="dxa"/>
            <w:shd w:val="clear" w:color="auto" w:fill="FFFFFF" w:themeFill="background1"/>
            <w:tcMar>
              <w:top w:w="33" w:type="dxa"/>
              <w:left w:w="33" w:type="dxa"/>
              <w:bottom w:w="33" w:type="dxa"/>
              <w:right w:w="33" w:type="dxa"/>
            </w:tcMar>
          </w:tcPr>
          <w:p w:rsidR="0077004F" w:rsidRPr="00D37E2C" w:rsidRDefault="0077004F" w:rsidP="00F03876">
            <w:pPr>
              <w:spacing w:line="162" w:lineRule="atLeast"/>
              <w:jc w:val="center"/>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33,5</w:t>
            </w:r>
          </w:p>
        </w:tc>
        <w:tc>
          <w:tcPr>
            <w:tcW w:w="1082" w:type="dxa"/>
            <w:shd w:val="clear" w:color="auto" w:fill="FFFFFF" w:themeFill="background1"/>
            <w:tcMar>
              <w:top w:w="33" w:type="dxa"/>
              <w:left w:w="33" w:type="dxa"/>
              <w:bottom w:w="33" w:type="dxa"/>
              <w:right w:w="33" w:type="dxa"/>
            </w:tcMar>
          </w:tcPr>
          <w:p w:rsidR="0077004F" w:rsidRPr="00D37E2C" w:rsidRDefault="0077004F" w:rsidP="00F03876">
            <w:pPr>
              <w:spacing w:line="162" w:lineRule="atLeast"/>
              <w:jc w:val="center"/>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38,6</w:t>
            </w:r>
          </w:p>
        </w:tc>
        <w:tc>
          <w:tcPr>
            <w:tcW w:w="787" w:type="dxa"/>
            <w:shd w:val="clear" w:color="auto" w:fill="FFFFFF" w:themeFill="background1"/>
            <w:tcMar>
              <w:top w:w="33" w:type="dxa"/>
              <w:left w:w="33" w:type="dxa"/>
              <w:bottom w:w="33" w:type="dxa"/>
              <w:right w:w="33" w:type="dxa"/>
            </w:tcMar>
          </w:tcPr>
          <w:p w:rsidR="0077004F" w:rsidRPr="00D37E2C" w:rsidRDefault="0077004F" w:rsidP="00F03876">
            <w:pPr>
              <w:spacing w:line="162" w:lineRule="atLeast"/>
              <w:jc w:val="center"/>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38,</w:t>
            </w:r>
            <w:r>
              <w:rPr>
                <w:rFonts w:ascii="Calibri" w:eastAsia="Calibri" w:hAnsi="Calibri" w:cs="Calibri"/>
                <w:sz w:val="19"/>
                <w:szCs w:val="19"/>
                <w:lang w:val="nl-BE" w:eastAsia="nl-BE"/>
              </w:rPr>
              <w:t>7</w:t>
            </w:r>
          </w:p>
        </w:tc>
        <w:tc>
          <w:tcPr>
            <w:tcW w:w="888" w:type="dxa"/>
            <w:shd w:val="clear" w:color="auto" w:fill="FFFFFF" w:themeFill="background1"/>
            <w:tcMar>
              <w:top w:w="33" w:type="dxa"/>
              <w:left w:w="33" w:type="dxa"/>
              <w:bottom w:w="33" w:type="dxa"/>
              <w:right w:w="33" w:type="dxa"/>
            </w:tcMar>
            <w:vAlign w:val="center"/>
          </w:tcPr>
          <w:p w:rsidR="0077004F" w:rsidRPr="00D37E2C" w:rsidRDefault="0077004F" w:rsidP="00F03876">
            <w:pPr>
              <w:spacing w:line="162" w:lineRule="atLeast"/>
              <w:jc w:val="center"/>
              <w:rPr>
                <w:rFonts w:ascii="Calibri" w:eastAsia="Calibri" w:hAnsi="Calibri" w:cs="Calibri"/>
                <w:sz w:val="19"/>
                <w:szCs w:val="19"/>
                <w:lang w:val="nl-BE" w:eastAsia="nl-BE"/>
              </w:rPr>
            </w:pPr>
            <w:r>
              <w:rPr>
                <w:rFonts w:ascii="Calibri" w:eastAsia="Calibri" w:hAnsi="Calibri" w:cs="Calibri"/>
                <w:sz w:val="19"/>
                <w:szCs w:val="19"/>
                <w:lang w:val="nl-BE" w:eastAsia="nl-BE"/>
              </w:rPr>
              <w:t>40,1</w:t>
            </w:r>
          </w:p>
        </w:tc>
        <w:tc>
          <w:tcPr>
            <w:tcW w:w="1189" w:type="dxa"/>
            <w:shd w:val="clear" w:color="auto" w:fill="FFFFFF" w:themeFill="background1"/>
            <w:tcMar>
              <w:top w:w="33" w:type="dxa"/>
              <w:left w:w="33" w:type="dxa"/>
              <w:bottom w:w="33" w:type="dxa"/>
              <w:right w:w="33" w:type="dxa"/>
            </w:tcMar>
            <w:vAlign w:val="center"/>
            <w:hideMark/>
          </w:tcPr>
          <w:p w:rsidR="0077004F" w:rsidRPr="00D37E2C" w:rsidRDefault="0077004F" w:rsidP="00F03876">
            <w:pPr>
              <w:spacing w:line="162" w:lineRule="atLeast"/>
              <w:jc w:val="center"/>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w:t>
            </w:r>
            <w:r>
              <w:rPr>
                <w:rFonts w:ascii="Calibri" w:eastAsia="Calibri" w:hAnsi="Calibri" w:cs="Calibri"/>
                <w:sz w:val="19"/>
                <w:szCs w:val="19"/>
                <w:lang w:val="nl-BE" w:eastAsia="nl-BE"/>
              </w:rPr>
              <w:t>1,4</w:t>
            </w:r>
            <w:r w:rsidRPr="00D37E2C">
              <w:rPr>
                <w:rFonts w:ascii="Calibri" w:eastAsia="Calibri" w:hAnsi="Calibri" w:cs="Calibri"/>
                <w:sz w:val="19"/>
                <w:szCs w:val="19"/>
                <w:lang w:val="nl-BE" w:eastAsia="nl-BE"/>
              </w:rPr>
              <w:t xml:space="preserve"> </w:t>
            </w:r>
            <w:proofErr w:type="spellStart"/>
            <w:r w:rsidRPr="00D37E2C">
              <w:rPr>
                <w:rFonts w:ascii="Calibri" w:eastAsia="Calibri" w:hAnsi="Calibri" w:cs="Calibri"/>
                <w:sz w:val="19"/>
                <w:szCs w:val="19"/>
                <w:lang w:val="nl-BE" w:eastAsia="nl-BE"/>
              </w:rPr>
              <w:t>ppt</w:t>
            </w:r>
            <w:proofErr w:type="spellEnd"/>
            <w:r w:rsidRPr="00D37E2C">
              <w:rPr>
                <w:rFonts w:ascii="Calibri" w:eastAsia="Calibri" w:hAnsi="Calibri" w:cs="Calibri"/>
                <w:sz w:val="19"/>
                <w:szCs w:val="19"/>
                <w:lang w:val="nl-BE" w:eastAsia="nl-BE"/>
              </w:rPr>
              <w:t>.</w:t>
            </w:r>
            <w:r w:rsidRPr="00D37E2C">
              <w:rPr>
                <w:rFonts w:ascii="Calibri" w:eastAsia="Calibri" w:hAnsi="Calibri" w:cs="Calibri"/>
                <w:b/>
                <w:color w:val="00B050"/>
                <w:sz w:val="18"/>
                <w:szCs w:val="18"/>
                <w:lang w:val="nl-BE" w:eastAsia="nl-BE"/>
              </w:rPr>
              <w:t>↑</w:t>
            </w:r>
          </w:p>
        </w:tc>
        <w:tc>
          <w:tcPr>
            <w:tcW w:w="921" w:type="dxa"/>
            <w:shd w:val="clear" w:color="auto" w:fill="FFFFFF" w:themeFill="background1"/>
            <w:vAlign w:val="center"/>
          </w:tcPr>
          <w:p w:rsidR="0077004F" w:rsidRPr="00D37E2C" w:rsidRDefault="0077004F" w:rsidP="00F03876">
            <w:pPr>
              <w:spacing w:line="162" w:lineRule="atLeast"/>
              <w:jc w:val="center"/>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43</w:t>
            </w:r>
          </w:p>
        </w:tc>
        <w:tc>
          <w:tcPr>
            <w:tcW w:w="1018" w:type="dxa"/>
            <w:shd w:val="clear" w:color="auto" w:fill="FFFFFF" w:themeFill="background1"/>
            <w:tcMar>
              <w:top w:w="33" w:type="dxa"/>
              <w:left w:w="33" w:type="dxa"/>
              <w:bottom w:w="33" w:type="dxa"/>
              <w:right w:w="33" w:type="dxa"/>
            </w:tcMar>
            <w:vAlign w:val="center"/>
            <w:hideMark/>
          </w:tcPr>
          <w:p w:rsidR="0077004F" w:rsidRPr="00D37E2C" w:rsidRDefault="0077004F" w:rsidP="00F03876">
            <w:pPr>
              <w:spacing w:line="162" w:lineRule="atLeast"/>
              <w:jc w:val="center"/>
              <w:rPr>
                <w:rFonts w:ascii="Calibri" w:eastAsia="Calibri" w:hAnsi="Calibri" w:cs="Calibri"/>
                <w:sz w:val="19"/>
                <w:szCs w:val="19"/>
                <w:lang w:val="nl-BE" w:eastAsia="nl-BE"/>
              </w:rPr>
            </w:pPr>
            <w:r>
              <w:rPr>
                <w:rFonts w:ascii="Calibri" w:eastAsia="Calibri" w:hAnsi="Calibri" w:cs="Calibri"/>
                <w:sz w:val="19"/>
                <w:szCs w:val="19"/>
                <w:lang w:val="nl-BE" w:eastAsia="nl-BE"/>
              </w:rPr>
              <w:t>2,9</w:t>
            </w:r>
            <w:r w:rsidRPr="00D37E2C">
              <w:rPr>
                <w:rFonts w:ascii="Calibri" w:eastAsia="Calibri" w:hAnsi="Calibri" w:cs="Calibri"/>
                <w:sz w:val="19"/>
                <w:szCs w:val="19"/>
                <w:lang w:val="nl-BE" w:eastAsia="nl-BE"/>
              </w:rPr>
              <w:t xml:space="preserve"> </w:t>
            </w:r>
            <w:proofErr w:type="spellStart"/>
            <w:r w:rsidRPr="00D37E2C">
              <w:rPr>
                <w:rFonts w:ascii="Calibri" w:eastAsia="Calibri" w:hAnsi="Calibri" w:cs="Calibri"/>
                <w:sz w:val="19"/>
                <w:szCs w:val="19"/>
                <w:lang w:val="nl-BE" w:eastAsia="nl-BE"/>
              </w:rPr>
              <w:t>ppt</w:t>
            </w:r>
            <w:proofErr w:type="spellEnd"/>
            <w:r w:rsidRPr="00D37E2C">
              <w:rPr>
                <w:rFonts w:ascii="Calibri" w:eastAsia="Calibri" w:hAnsi="Calibri" w:cs="Calibri"/>
                <w:sz w:val="19"/>
                <w:szCs w:val="19"/>
                <w:lang w:val="nl-BE" w:eastAsia="nl-BE"/>
              </w:rPr>
              <w:t>.</w:t>
            </w:r>
          </w:p>
        </w:tc>
      </w:tr>
      <w:tr w:rsidR="0077004F" w:rsidRPr="00D37E2C" w:rsidTr="0077004F">
        <w:trPr>
          <w:trHeight w:val="162"/>
        </w:trPr>
        <w:tc>
          <w:tcPr>
            <w:tcW w:w="2216" w:type="dxa"/>
            <w:tcBorders>
              <w:bottom w:val="nil"/>
            </w:tcBorders>
            <w:shd w:val="clear" w:color="auto" w:fill="DBE5F1" w:themeFill="accent1" w:themeFillTint="33"/>
            <w:tcMar>
              <w:top w:w="33" w:type="dxa"/>
              <w:left w:w="33" w:type="dxa"/>
              <w:bottom w:w="33" w:type="dxa"/>
              <w:right w:w="33" w:type="dxa"/>
            </w:tcMar>
            <w:vAlign w:val="center"/>
            <w:hideMark/>
          </w:tcPr>
          <w:p w:rsidR="0077004F" w:rsidRPr="00D37E2C" w:rsidRDefault="0077004F" w:rsidP="00F03876">
            <w:pPr>
              <w:spacing w:line="162" w:lineRule="atLeast"/>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personen met een niet EU-nationaliteit (%)</w:t>
            </w:r>
          </w:p>
        </w:tc>
        <w:tc>
          <w:tcPr>
            <w:tcW w:w="1004" w:type="dxa"/>
            <w:tcBorders>
              <w:bottom w:val="nil"/>
            </w:tcBorders>
            <w:shd w:val="clear" w:color="auto" w:fill="DBE5F1" w:themeFill="accent1" w:themeFillTint="33"/>
            <w:tcMar>
              <w:top w:w="33" w:type="dxa"/>
              <w:left w:w="33" w:type="dxa"/>
              <w:bottom w:w="33" w:type="dxa"/>
              <w:right w:w="33" w:type="dxa"/>
            </w:tcMar>
          </w:tcPr>
          <w:p w:rsidR="0077004F" w:rsidRPr="00D37E2C" w:rsidRDefault="0077004F" w:rsidP="00F03876">
            <w:pPr>
              <w:spacing w:line="162" w:lineRule="atLeast"/>
              <w:jc w:val="center"/>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44,4</w:t>
            </w:r>
          </w:p>
        </w:tc>
        <w:tc>
          <w:tcPr>
            <w:tcW w:w="1082" w:type="dxa"/>
            <w:tcBorders>
              <w:bottom w:val="nil"/>
            </w:tcBorders>
            <w:shd w:val="clear" w:color="auto" w:fill="DBE5F1" w:themeFill="accent1" w:themeFillTint="33"/>
            <w:tcMar>
              <w:top w:w="33" w:type="dxa"/>
              <w:left w:w="33" w:type="dxa"/>
              <w:bottom w:w="33" w:type="dxa"/>
              <w:right w:w="33" w:type="dxa"/>
            </w:tcMar>
          </w:tcPr>
          <w:p w:rsidR="0077004F" w:rsidRPr="00D37E2C" w:rsidRDefault="0077004F" w:rsidP="00F03876">
            <w:pPr>
              <w:spacing w:line="162" w:lineRule="atLeast"/>
              <w:jc w:val="center"/>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46,3</w:t>
            </w:r>
          </w:p>
        </w:tc>
        <w:tc>
          <w:tcPr>
            <w:tcW w:w="787" w:type="dxa"/>
            <w:tcBorders>
              <w:bottom w:val="nil"/>
            </w:tcBorders>
            <w:shd w:val="clear" w:color="auto" w:fill="DBE5F1" w:themeFill="accent1" w:themeFillTint="33"/>
            <w:tcMar>
              <w:top w:w="33" w:type="dxa"/>
              <w:left w:w="33" w:type="dxa"/>
              <w:bottom w:w="33" w:type="dxa"/>
              <w:right w:w="33" w:type="dxa"/>
            </w:tcMar>
          </w:tcPr>
          <w:p w:rsidR="0077004F" w:rsidRPr="00D37E2C" w:rsidRDefault="0077004F" w:rsidP="00F03876">
            <w:pPr>
              <w:spacing w:line="162" w:lineRule="atLeast"/>
              <w:jc w:val="center"/>
              <w:rPr>
                <w:rFonts w:ascii="Calibri" w:eastAsia="Calibri" w:hAnsi="Calibri" w:cs="Calibri"/>
                <w:sz w:val="19"/>
                <w:szCs w:val="19"/>
                <w:lang w:val="nl-BE" w:eastAsia="nl-BE"/>
              </w:rPr>
            </w:pPr>
            <w:r>
              <w:rPr>
                <w:rFonts w:ascii="Calibri" w:eastAsia="Calibri" w:hAnsi="Calibri" w:cs="Calibri"/>
                <w:sz w:val="19"/>
                <w:szCs w:val="19"/>
                <w:lang w:val="nl-BE" w:eastAsia="nl-BE"/>
              </w:rPr>
              <w:t>42,7</w:t>
            </w:r>
          </w:p>
        </w:tc>
        <w:tc>
          <w:tcPr>
            <w:tcW w:w="888" w:type="dxa"/>
            <w:tcBorders>
              <w:bottom w:val="nil"/>
            </w:tcBorders>
            <w:shd w:val="clear" w:color="auto" w:fill="DBE5F1" w:themeFill="accent1" w:themeFillTint="33"/>
            <w:tcMar>
              <w:top w:w="33" w:type="dxa"/>
              <w:left w:w="33" w:type="dxa"/>
              <w:bottom w:w="33" w:type="dxa"/>
              <w:right w:w="33" w:type="dxa"/>
            </w:tcMar>
          </w:tcPr>
          <w:p w:rsidR="0077004F" w:rsidRPr="00D37E2C" w:rsidRDefault="0077004F" w:rsidP="00F03876">
            <w:pPr>
              <w:spacing w:line="162" w:lineRule="atLeast"/>
              <w:jc w:val="center"/>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4</w:t>
            </w:r>
            <w:r>
              <w:rPr>
                <w:rFonts w:ascii="Calibri" w:eastAsia="Calibri" w:hAnsi="Calibri" w:cs="Calibri"/>
                <w:sz w:val="19"/>
                <w:szCs w:val="19"/>
                <w:lang w:val="nl-BE" w:eastAsia="nl-BE"/>
              </w:rPr>
              <w:t>6</w:t>
            </w:r>
            <w:r w:rsidRPr="00D37E2C">
              <w:rPr>
                <w:rFonts w:ascii="Calibri" w:eastAsia="Calibri" w:hAnsi="Calibri" w:cs="Calibri"/>
                <w:sz w:val="19"/>
                <w:szCs w:val="19"/>
                <w:lang w:val="nl-BE" w:eastAsia="nl-BE"/>
              </w:rPr>
              <w:t>,7</w:t>
            </w:r>
          </w:p>
        </w:tc>
        <w:tc>
          <w:tcPr>
            <w:tcW w:w="1189" w:type="dxa"/>
            <w:tcBorders>
              <w:bottom w:val="nil"/>
            </w:tcBorders>
            <w:shd w:val="clear" w:color="auto" w:fill="DBE5F1" w:themeFill="accent1" w:themeFillTint="33"/>
            <w:tcMar>
              <w:top w:w="33" w:type="dxa"/>
              <w:left w:w="33" w:type="dxa"/>
              <w:bottom w:w="33" w:type="dxa"/>
              <w:right w:w="33" w:type="dxa"/>
            </w:tcMar>
            <w:hideMark/>
          </w:tcPr>
          <w:p w:rsidR="0077004F" w:rsidRPr="00D37E2C" w:rsidRDefault="0077004F" w:rsidP="00F03876">
            <w:pPr>
              <w:spacing w:line="162" w:lineRule="atLeast"/>
              <w:jc w:val="center"/>
              <w:rPr>
                <w:rFonts w:ascii="Calibri" w:eastAsia="Calibri" w:hAnsi="Calibri" w:cs="Calibri"/>
                <w:sz w:val="19"/>
                <w:szCs w:val="19"/>
                <w:lang w:val="nl-BE" w:eastAsia="nl-BE"/>
              </w:rPr>
            </w:pPr>
            <w:r>
              <w:rPr>
                <w:rFonts w:ascii="Calibri" w:eastAsia="Calibri" w:hAnsi="Calibri" w:cs="Calibri"/>
                <w:sz w:val="19"/>
                <w:szCs w:val="19"/>
                <w:lang w:val="nl-BE" w:eastAsia="nl-BE"/>
              </w:rPr>
              <w:t>+4,0</w:t>
            </w:r>
            <w:r w:rsidRPr="00D37E2C">
              <w:rPr>
                <w:rFonts w:ascii="Calibri" w:eastAsia="Calibri" w:hAnsi="Calibri" w:cs="Calibri"/>
                <w:sz w:val="19"/>
                <w:szCs w:val="19"/>
                <w:lang w:val="nl-BE" w:eastAsia="nl-BE"/>
              </w:rPr>
              <w:t xml:space="preserve"> </w:t>
            </w:r>
            <w:proofErr w:type="spellStart"/>
            <w:r w:rsidRPr="00D37E2C">
              <w:rPr>
                <w:rFonts w:ascii="Calibri" w:eastAsia="Calibri" w:hAnsi="Calibri" w:cs="Calibri"/>
                <w:sz w:val="19"/>
                <w:szCs w:val="19"/>
                <w:lang w:val="nl-BE" w:eastAsia="nl-BE"/>
              </w:rPr>
              <w:t>ppt</w:t>
            </w:r>
            <w:proofErr w:type="spellEnd"/>
            <w:r w:rsidRPr="00D37E2C">
              <w:rPr>
                <w:rFonts w:ascii="Calibri" w:eastAsia="Calibri" w:hAnsi="Calibri" w:cs="Calibri"/>
                <w:sz w:val="19"/>
                <w:szCs w:val="19"/>
                <w:lang w:val="nl-BE" w:eastAsia="nl-BE"/>
              </w:rPr>
              <w:t>.</w:t>
            </w:r>
            <w:r w:rsidRPr="00D37E2C">
              <w:rPr>
                <w:rFonts w:ascii="Calibri" w:eastAsia="Calibri" w:hAnsi="Calibri" w:cs="Calibri"/>
                <w:b/>
                <w:color w:val="00B050"/>
                <w:sz w:val="18"/>
                <w:szCs w:val="18"/>
                <w:lang w:val="nl-BE" w:eastAsia="nl-BE"/>
              </w:rPr>
              <w:t>↑</w:t>
            </w:r>
          </w:p>
        </w:tc>
        <w:tc>
          <w:tcPr>
            <w:tcW w:w="921" w:type="dxa"/>
            <w:tcBorders>
              <w:bottom w:val="nil"/>
            </w:tcBorders>
            <w:shd w:val="clear" w:color="auto" w:fill="DBE5F1" w:themeFill="accent1" w:themeFillTint="33"/>
          </w:tcPr>
          <w:p w:rsidR="0077004F" w:rsidRPr="00D37E2C" w:rsidRDefault="0077004F" w:rsidP="00F03876">
            <w:pPr>
              <w:spacing w:line="162" w:lineRule="atLeast"/>
              <w:jc w:val="center"/>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58</w:t>
            </w:r>
          </w:p>
        </w:tc>
        <w:tc>
          <w:tcPr>
            <w:tcW w:w="1018" w:type="dxa"/>
            <w:tcBorders>
              <w:bottom w:val="nil"/>
            </w:tcBorders>
            <w:shd w:val="clear" w:color="auto" w:fill="DBE5F1" w:themeFill="accent1" w:themeFillTint="33"/>
            <w:tcMar>
              <w:top w:w="33" w:type="dxa"/>
              <w:left w:w="33" w:type="dxa"/>
              <w:bottom w:w="33" w:type="dxa"/>
              <w:right w:w="33" w:type="dxa"/>
            </w:tcMar>
            <w:hideMark/>
          </w:tcPr>
          <w:p w:rsidR="0077004F" w:rsidRPr="00D37E2C" w:rsidRDefault="0077004F" w:rsidP="00F03876">
            <w:pPr>
              <w:spacing w:line="162" w:lineRule="atLeast"/>
              <w:jc w:val="center"/>
              <w:rPr>
                <w:rFonts w:ascii="Calibri" w:eastAsia="Calibri" w:hAnsi="Calibri" w:cs="Calibri"/>
                <w:sz w:val="19"/>
                <w:szCs w:val="19"/>
                <w:lang w:val="nl-BE" w:eastAsia="nl-BE"/>
              </w:rPr>
            </w:pPr>
            <w:r>
              <w:rPr>
                <w:rFonts w:ascii="Calibri" w:eastAsia="Calibri" w:hAnsi="Calibri" w:cs="Calibri"/>
                <w:sz w:val="19"/>
                <w:szCs w:val="19"/>
                <w:lang w:val="nl-BE" w:eastAsia="nl-BE"/>
              </w:rPr>
              <w:t>11,3</w:t>
            </w:r>
            <w:r w:rsidRPr="00D37E2C">
              <w:rPr>
                <w:rFonts w:ascii="Calibri" w:eastAsia="Calibri" w:hAnsi="Calibri" w:cs="Calibri"/>
                <w:sz w:val="19"/>
                <w:szCs w:val="19"/>
                <w:lang w:val="nl-BE" w:eastAsia="nl-BE"/>
              </w:rPr>
              <w:t xml:space="preserve"> </w:t>
            </w:r>
            <w:proofErr w:type="spellStart"/>
            <w:r w:rsidRPr="00D37E2C">
              <w:rPr>
                <w:rFonts w:ascii="Calibri" w:eastAsia="Calibri" w:hAnsi="Calibri" w:cs="Calibri"/>
                <w:sz w:val="19"/>
                <w:szCs w:val="19"/>
                <w:lang w:val="nl-BE" w:eastAsia="nl-BE"/>
              </w:rPr>
              <w:t>ppt</w:t>
            </w:r>
            <w:proofErr w:type="spellEnd"/>
            <w:r w:rsidRPr="00D37E2C">
              <w:rPr>
                <w:rFonts w:ascii="Calibri" w:eastAsia="Calibri" w:hAnsi="Calibri" w:cs="Calibri"/>
                <w:sz w:val="19"/>
                <w:szCs w:val="19"/>
                <w:lang w:val="nl-BE" w:eastAsia="nl-BE"/>
              </w:rPr>
              <w:t>.</w:t>
            </w:r>
          </w:p>
        </w:tc>
      </w:tr>
      <w:tr w:rsidR="0077004F" w:rsidRPr="00D37E2C" w:rsidTr="0077004F">
        <w:trPr>
          <w:trHeight w:val="162"/>
        </w:trPr>
        <w:tc>
          <w:tcPr>
            <w:tcW w:w="2216" w:type="dxa"/>
            <w:tcBorders>
              <w:bottom w:val="single" w:sz="4" w:space="0" w:color="auto"/>
            </w:tcBorders>
            <w:shd w:val="clear" w:color="auto" w:fill="auto"/>
            <w:tcMar>
              <w:top w:w="33" w:type="dxa"/>
              <w:left w:w="33" w:type="dxa"/>
              <w:bottom w:w="33" w:type="dxa"/>
              <w:right w:w="33" w:type="dxa"/>
            </w:tcMar>
            <w:vAlign w:val="center"/>
            <w:hideMark/>
          </w:tcPr>
          <w:p w:rsidR="0077004F" w:rsidRPr="00D37E2C" w:rsidRDefault="0077004F" w:rsidP="00F03876">
            <w:pPr>
              <w:spacing w:line="162" w:lineRule="atLeast"/>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personen geboren buiten EU (%)</w:t>
            </w:r>
          </w:p>
        </w:tc>
        <w:tc>
          <w:tcPr>
            <w:tcW w:w="1004" w:type="dxa"/>
            <w:tcBorders>
              <w:bottom w:val="single" w:sz="4" w:space="0" w:color="auto"/>
            </w:tcBorders>
            <w:tcMar>
              <w:top w:w="33" w:type="dxa"/>
              <w:left w:w="33" w:type="dxa"/>
              <w:bottom w:w="33" w:type="dxa"/>
              <w:right w:w="33" w:type="dxa"/>
            </w:tcMar>
          </w:tcPr>
          <w:p w:rsidR="0077004F" w:rsidRPr="00D37E2C" w:rsidRDefault="0077004F" w:rsidP="00F03876">
            <w:pPr>
              <w:spacing w:line="162" w:lineRule="atLeast"/>
              <w:jc w:val="center"/>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53,4</w:t>
            </w:r>
          </w:p>
        </w:tc>
        <w:tc>
          <w:tcPr>
            <w:tcW w:w="1082" w:type="dxa"/>
            <w:tcBorders>
              <w:bottom w:val="single" w:sz="4" w:space="0" w:color="auto"/>
            </w:tcBorders>
            <w:tcMar>
              <w:top w:w="33" w:type="dxa"/>
              <w:left w:w="33" w:type="dxa"/>
              <w:bottom w:w="33" w:type="dxa"/>
              <w:right w:w="33" w:type="dxa"/>
            </w:tcMar>
          </w:tcPr>
          <w:p w:rsidR="0077004F" w:rsidRPr="00D37E2C" w:rsidRDefault="0077004F" w:rsidP="00F03876">
            <w:pPr>
              <w:spacing w:line="162" w:lineRule="atLeast"/>
              <w:jc w:val="center"/>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53,0</w:t>
            </w:r>
          </w:p>
        </w:tc>
        <w:tc>
          <w:tcPr>
            <w:tcW w:w="787" w:type="dxa"/>
            <w:tcBorders>
              <w:bottom w:val="single" w:sz="4" w:space="0" w:color="auto"/>
            </w:tcBorders>
            <w:tcMar>
              <w:top w:w="33" w:type="dxa"/>
              <w:left w:w="33" w:type="dxa"/>
              <w:bottom w:w="33" w:type="dxa"/>
              <w:right w:w="33" w:type="dxa"/>
            </w:tcMar>
          </w:tcPr>
          <w:p w:rsidR="0077004F" w:rsidRPr="00D37E2C" w:rsidRDefault="0077004F" w:rsidP="00F03876">
            <w:pPr>
              <w:spacing w:line="162" w:lineRule="atLeast"/>
              <w:jc w:val="center"/>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5</w:t>
            </w:r>
            <w:r>
              <w:rPr>
                <w:rFonts w:ascii="Calibri" w:eastAsia="Calibri" w:hAnsi="Calibri" w:cs="Calibri"/>
                <w:sz w:val="19"/>
                <w:szCs w:val="19"/>
                <w:lang w:val="nl-BE" w:eastAsia="nl-BE"/>
              </w:rPr>
              <w:t>1,8</w:t>
            </w:r>
          </w:p>
        </w:tc>
        <w:tc>
          <w:tcPr>
            <w:tcW w:w="888" w:type="dxa"/>
            <w:tcBorders>
              <w:bottom w:val="single" w:sz="4" w:space="0" w:color="auto"/>
            </w:tcBorders>
            <w:shd w:val="clear" w:color="auto" w:fill="auto"/>
            <w:tcMar>
              <w:top w:w="33" w:type="dxa"/>
              <w:left w:w="33" w:type="dxa"/>
              <w:bottom w:w="33" w:type="dxa"/>
              <w:right w:w="33" w:type="dxa"/>
            </w:tcMar>
            <w:vAlign w:val="center"/>
          </w:tcPr>
          <w:p w:rsidR="0077004F" w:rsidRPr="00D37E2C" w:rsidRDefault="0077004F" w:rsidP="00F03876">
            <w:pPr>
              <w:spacing w:line="162" w:lineRule="atLeast"/>
              <w:jc w:val="center"/>
              <w:rPr>
                <w:rFonts w:ascii="Calibri" w:eastAsia="Calibri" w:hAnsi="Calibri" w:cs="Calibri"/>
                <w:sz w:val="19"/>
                <w:szCs w:val="19"/>
                <w:lang w:val="nl-BE" w:eastAsia="nl-BE"/>
              </w:rPr>
            </w:pPr>
            <w:r>
              <w:rPr>
                <w:rFonts w:ascii="Calibri" w:eastAsia="Calibri" w:hAnsi="Calibri" w:cs="Calibri"/>
                <w:sz w:val="19"/>
                <w:szCs w:val="19"/>
                <w:lang w:val="nl-BE" w:eastAsia="nl-BE"/>
              </w:rPr>
              <w:t>53,8</w:t>
            </w:r>
          </w:p>
        </w:tc>
        <w:tc>
          <w:tcPr>
            <w:tcW w:w="1189" w:type="dxa"/>
            <w:tcBorders>
              <w:bottom w:val="single" w:sz="4" w:space="0" w:color="auto"/>
            </w:tcBorders>
            <w:shd w:val="clear" w:color="auto" w:fill="auto"/>
            <w:tcMar>
              <w:top w:w="33" w:type="dxa"/>
              <w:left w:w="33" w:type="dxa"/>
              <w:bottom w:w="33" w:type="dxa"/>
              <w:right w:w="33" w:type="dxa"/>
            </w:tcMar>
            <w:vAlign w:val="center"/>
            <w:hideMark/>
          </w:tcPr>
          <w:p w:rsidR="0077004F" w:rsidRPr="00D37E2C" w:rsidRDefault="0077004F" w:rsidP="00F03876">
            <w:pPr>
              <w:spacing w:line="162" w:lineRule="atLeast"/>
              <w:jc w:val="center"/>
              <w:rPr>
                <w:rFonts w:ascii="Calibri" w:eastAsia="Calibri" w:hAnsi="Calibri" w:cs="Calibri"/>
                <w:sz w:val="19"/>
                <w:szCs w:val="19"/>
                <w:lang w:val="nl-BE" w:eastAsia="nl-BE"/>
              </w:rPr>
            </w:pPr>
            <w:r>
              <w:rPr>
                <w:rFonts w:ascii="Calibri" w:eastAsia="Calibri" w:hAnsi="Calibri" w:cs="Calibri"/>
                <w:sz w:val="19"/>
                <w:szCs w:val="19"/>
                <w:lang w:val="nl-BE" w:eastAsia="nl-BE"/>
              </w:rPr>
              <w:t>+2,0</w:t>
            </w:r>
            <w:r w:rsidRPr="00D37E2C">
              <w:rPr>
                <w:rFonts w:ascii="Calibri" w:eastAsia="Calibri" w:hAnsi="Calibri" w:cs="Calibri"/>
                <w:sz w:val="19"/>
                <w:szCs w:val="19"/>
                <w:lang w:val="nl-BE" w:eastAsia="nl-BE"/>
              </w:rPr>
              <w:t xml:space="preserve"> </w:t>
            </w:r>
            <w:proofErr w:type="spellStart"/>
            <w:r w:rsidRPr="00D37E2C">
              <w:rPr>
                <w:rFonts w:ascii="Calibri" w:eastAsia="Calibri" w:hAnsi="Calibri" w:cs="Calibri"/>
                <w:sz w:val="19"/>
                <w:szCs w:val="19"/>
                <w:lang w:val="nl-BE" w:eastAsia="nl-BE"/>
              </w:rPr>
              <w:t>ppt</w:t>
            </w:r>
            <w:proofErr w:type="spellEnd"/>
            <w:r w:rsidRPr="00D37E2C">
              <w:rPr>
                <w:rFonts w:ascii="Calibri" w:eastAsia="Calibri" w:hAnsi="Calibri" w:cs="Calibri"/>
                <w:sz w:val="19"/>
                <w:szCs w:val="19"/>
                <w:lang w:val="nl-BE" w:eastAsia="nl-BE"/>
              </w:rPr>
              <w:t>.</w:t>
            </w:r>
            <w:r w:rsidRPr="00D37E2C">
              <w:rPr>
                <w:rFonts w:ascii="Calibri" w:eastAsia="Calibri" w:hAnsi="Calibri" w:cs="Calibri"/>
                <w:b/>
                <w:color w:val="00B050"/>
                <w:sz w:val="18"/>
                <w:szCs w:val="18"/>
                <w:lang w:val="nl-BE" w:eastAsia="nl-BE"/>
              </w:rPr>
              <w:t>↑</w:t>
            </w:r>
            <w:r w:rsidRPr="00D37E2C">
              <w:rPr>
                <w:rFonts w:ascii="Calibri" w:eastAsia="Calibri" w:hAnsi="Calibri" w:cs="Calibri"/>
                <w:b/>
                <w:color w:val="FF0000"/>
                <w:sz w:val="18"/>
                <w:szCs w:val="18"/>
                <w:lang w:val="nl-BE" w:eastAsia="nl-BE"/>
              </w:rPr>
              <w:t xml:space="preserve"> </w:t>
            </w:r>
          </w:p>
        </w:tc>
        <w:tc>
          <w:tcPr>
            <w:tcW w:w="921" w:type="dxa"/>
            <w:tcBorders>
              <w:bottom w:val="single" w:sz="4" w:space="0" w:color="auto"/>
            </w:tcBorders>
            <w:shd w:val="clear" w:color="auto" w:fill="auto"/>
            <w:vAlign w:val="center"/>
          </w:tcPr>
          <w:p w:rsidR="0077004F" w:rsidRPr="00D37E2C" w:rsidRDefault="0077004F" w:rsidP="00F03876">
            <w:pPr>
              <w:spacing w:line="162" w:lineRule="atLeast"/>
              <w:jc w:val="center"/>
              <w:rPr>
                <w:rFonts w:ascii="Calibri" w:eastAsia="Calibri" w:hAnsi="Calibri" w:cs="Calibri"/>
                <w:sz w:val="19"/>
                <w:szCs w:val="19"/>
                <w:lang w:val="nl-BE" w:eastAsia="nl-BE"/>
              </w:rPr>
            </w:pPr>
            <w:r w:rsidRPr="00D37E2C">
              <w:rPr>
                <w:rFonts w:ascii="Calibri" w:eastAsia="Calibri" w:hAnsi="Calibri" w:cs="Calibri"/>
                <w:sz w:val="19"/>
                <w:szCs w:val="19"/>
                <w:lang w:val="nl-BE" w:eastAsia="nl-BE"/>
              </w:rPr>
              <w:t>64</w:t>
            </w:r>
          </w:p>
        </w:tc>
        <w:tc>
          <w:tcPr>
            <w:tcW w:w="1018" w:type="dxa"/>
            <w:tcBorders>
              <w:bottom w:val="single" w:sz="4" w:space="0" w:color="auto"/>
            </w:tcBorders>
            <w:shd w:val="clear" w:color="auto" w:fill="auto"/>
            <w:tcMar>
              <w:top w:w="33" w:type="dxa"/>
              <w:left w:w="33" w:type="dxa"/>
              <w:bottom w:w="33" w:type="dxa"/>
              <w:right w:w="33" w:type="dxa"/>
            </w:tcMar>
            <w:vAlign w:val="center"/>
            <w:hideMark/>
          </w:tcPr>
          <w:p w:rsidR="0077004F" w:rsidRPr="00D37E2C" w:rsidRDefault="0077004F" w:rsidP="00F03876">
            <w:pPr>
              <w:spacing w:line="162" w:lineRule="atLeast"/>
              <w:jc w:val="center"/>
              <w:rPr>
                <w:rFonts w:ascii="Calibri" w:eastAsia="Calibri" w:hAnsi="Calibri" w:cs="Calibri"/>
                <w:sz w:val="19"/>
                <w:szCs w:val="19"/>
                <w:lang w:val="nl-BE" w:eastAsia="nl-BE"/>
              </w:rPr>
            </w:pPr>
            <w:r>
              <w:rPr>
                <w:rFonts w:ascii="Calibri" w:eastAsia="Calibri" w:hAnsi="Calibri" w:cs="Calibri"/>
                <w:sz w:val="19"/>
                <w:szCs w:val="19"/>
                <w:lang w:val="nl-BE" w:eastAsia="nl-BE"/>
              </w:rPr>
              <w:t>10,2</w:t>
            </w:r>
            <w:r w:rsidRPr="00D37E2C">
              <w:rPr>
                <w:rFonts w:ascii="Calibri" w:eastAsia="Calibri" w:hAnsi="Calibri" w:cs="Calibri"/>
                <w:sz w:val="19"/>
                <w:szCs w:val="19"/>
                <w:lang w:val="nl-BE" w:eastAsia="nl-BE"/>
              </w:rPr>
              <w:t xml:space="preserve"> </w:t>
            </w:r>
            <w:proofErr w:type="spellStart"/>
            <w:r w:rsidRPr="00D37E2C">
              <w:rPr>
                <w:rFonts w:ascii="Calibri" w:eastAsia="Calibri" w:hAnsi="Calibri" w:cs="Calibri"/>
                <w:sz w:val="19"/>
                <w:szCs w:val="19"/>
                <w:lang w:val="nl-BE" w:eastAsia="nl-BE"/>
              </w:rPr>
              <w:t>ppt</w:t>
            </w:r>
            <w:proofErr w:type="spellEnd"/>
            <w:r w:rsidRPr="00D37E2C">
              <w:rPr>
                <w:rFonts w:ascii="Calibri" w:eastAsia="Calibri" w:hAnsi="Calibri" w:cs="Calibri"/>
                <w:sz w:val="19"/>
                <w:szCs w:val="19"/>
                <w:lang w:val="nl-BE" w:eastAsia="nl-BE"/>
              </w:rPr>
              <w:t>.</w:t>
            </w:r>
          </w:p>
        </w:tc>
      </w:tr>
    </w:tbl>
    <w:p w:rsidR="0077004F" w:rsidRDefault="0077004F" w:rsidP="0061668E">
      <w:pPr>
        <w:ind w:left="425"/>
        <w:jc w:val="both"/>
        <w:rPr>
          <w:i/>
          <w:sz w:val="22"/>
          <w:szCs w:val="22"/>
        </w:rPr>
      </w:pPr>
      <w:r>
        <w:rPr>
          <w:i/>
          <w:sz w:val="22"/>
          <w:szCs w:val="22"/>
        </w:rPr>
        <w:t>*: 2013 op basis van eerste drie kwartalen</w:t>
      </w:r>
    </w:p>
    <w:p w:rsidR="00396060" w:rsidRDefault="00396060" w:rsidP="0061668E">
      <w:pPr>
        <w:ind w:left="425"/>
        <w:jc w:val="both"/>
        <w:rPr>
          <w:i/>
          <w:sz w:val="22"/>
          <w:szCs w:val="22"/>
        </w:rPr>
      </w:pPr>
    </w:p>
    <w:p w:rsidR="00396060" w:rsidRPr="004C06FF" w:rsidRDefault="00396060" w:rsidP="00396060">
      <w:pPr>
        <w:pStyle w:val="Lijstalinea"/>
        <w:numPr>
          <w:ilvl w:val="0"/>
          <w:numId w:val="10"/>
        </w:numPr>
        <w:jc w:val="both"/>
        <w:rPr>
          <w:rFonts w:ascii="Times New Roman" w:hAnsi="Times New Roman"/>
        </w:rPr>
      </w:pPr>
      <w:r w:rsidRPr="004C06FF">
        <w:rPr>
          <w:rFonts w:ascii="Times New Roman" w:hAnsi="Times New Roman"/>
        </w:rPr>
        <w:t>Mijn beleid richt zich zo veel mogelijk op maatwerk. Een goede begeleiding van werkzoekenden moet afgestemd zijn op hun competenties, mogelijkheden en beperking</w:t>
      </w:r>
      <w:r w:rsidR="00730B72" w:rsidRPr="004C06FF">
        <w:rPr>
          <w:rFonts w:ascii="Times New Roman" w:hAnsi="Times New Roman"/>
        </w:rPr>
        <w:t>en</w:t>
      </w:r>
      <w:r w:rsidRPr="004C06FF">
        <w:rPr>
          <w:rFonts w:ascii="Times New Roman" w:hAnsi="Times New Roman"/>
        </w:rPr>
        <w:t xml:space="preserve">, ongeacht hun leeftijd of achtergrond. </w:t>
      </w:r>
      <w:r w:rsidR="004C06FF" w:rsidRPr="004C06FF">
        <w:rPr>
          <w:rFonts w:ascii="Times New Roman" w:hAnsi="Times New Roman"/>
        </w:rPr>
        <w:t xml:space="preserve">Sommige drempels kunnen niet met begeleiding weggewerkt worden, en daar </w:t>
      </w:r>
      <w:r w:rsidR="004C06FF" w:rsidRPr="004C06FF">
        <w:rPr>
          <w:rFonts w:ascii="Times New Roman" w:hAnsi="Times New Roman"/>
        </w:rPr>
        <w:lastRenderedPageBreak/>
        <w:t>worden wel specifieke maatregelen ingezet. De tewerkstellingskansen van 50-plussers worden afgeremd door hun</w:t>
      </w:r>
      <w:r w:rsidR="00730B72" w:rsidRPr="004C06FF">
        <w:rPr>
          <w:rFonts w:ascii="Times New Roman" w:hAnsi="Times New Roman"/>
        </w:rPr>
        <w:t xml:space="preserve"> </w:t>
      </w:r>
      <w:r w:rsidR="004C06FF" w:rsidRPr="004C06FF">
        <w:rPr>
          <w:rFonts w:ascii="Times New Roman" w:hAnsi="Times New Roman"/>
        </w:rPr>
        <w:t>hoge loonkosten, waar we met de Vlaamse tewerkstellingspremie 50+ aan tegemoet komen. De overige aspecten van mijn beleid naar 50-plussers toe heb ik reeds in mijn antwoord op schriftelijke vraag 208 uiteengezet.</w:t>
      </w:r>
    </w:p>
    <w:p w:rsidR="004C06FF" w:rsidRPr="004C06FF" w:rsidRDefault="004C06FF" w:rsidP="004C06FF">
      <w:pPr>
        <w:jc w:val="both"/>
        <w:rPr>
          <w:sz w:val="22"/>
          <w:szCs w:val="22"/>
        </w:rPr>
      </w:pPr>
    </w:p>
    <w:p w:rsidR="004C06FF" w:rsidRDefault="004C06FF" w:rsidP="004C06FF">
      <w:pPr>
        <w:ind w:left="425"/>
        <w:jc w:val="both"/>
        <w:rPr>
          <w:sz w:val="22"/>
          <w:szCs w:val="22"/>
        </w:rPr>
      </w:pPr>
      <w:r w:rsidRPr="004C06FF">
        <w:rPr>
          <w:sz w:val="22"/>
          <w:szCs w:val="22"/>
        </w:rPr>
        <w:t>Voor jongeren</w:t>
      </w:r>
      <w:r>
        <w:rPr>
          <w:sz w:val="22"/>
          <w:szCs w:val="22"/>
        </w:rPr>
        <w:t xml:space="preserve">, en vooral vroegtijdige schoolverlaters, zet ik in de eerste plaats in op werkervaring. Met de </w:t>
      </w:r>
      <w:proofErr w:type="spellStart"/>
      <w:r>
        <w:rPr>
          <w:sz w:val="22"/>
          <w:szCs w:val="22"/>
        </w:rPr>
        <w:t>werkinlevingsprojecten</w:t>
      </w:r>
      <w:proofErr w:type="spellEnd"/>
      <w:r>
        <w:rPr>
          <w:sz w:val="22"/>
          <w:szCs w:val="22"/>
        </w:rPr>
        <w:t xml:space="preserve"> voor jongeren (WIJ) laten we jongeren </w:t>
      </w:r>
      <w:r w:rsidR="00D35559">
        <w:rPr>
          <w:sz w:val="22"/>
          <w:szCs w:val="22"/>
        </w:rPr>
        <w:t xml:space="preserve">in de centrumsteden </w:t>
      </w:r>
      <w:r>
        <w:rPr>
          <w:sz w:val="22"/>
          <w:szCs w:val="22"/>
        </w:rPr>
        <w:t>proeven van de werkvloer in begeleide stages, zodat ze beter de stap kunnen zetten naar betaalde tewerkstelling. Ik heb in 2013 €5 miljoen</w:t>
      </w:r>
      <w:r w:rsidR="00D35559">
        <w:rPr>
          <w:sz w:val="22"/>
          <w:szCs w:val="22"/>
        </w:rPr>
        <w:t xml:space="preserve"> extra vrijgemaakt om deze WIJ-trajecten nog uit te breiden in Antwerpen, Gent en de ganse provincie Limburg, en om 2.500 extra trajecten te voorzien voor intensieve begeleiding van jonge werkzoekenden.</w:t>
      </w:r>
      <w:r w:rsidR="00A107EC">
        <w:rPr>
          <w:sz w:val="22"/>
          <w:szCs w:val="22"/>
        </w:rPr>
        <w:t xml:space="preserve"> Sowieso krijgen alle werkzoekende jongeren die zich bij de VDAB inschrijven binnen de 4 maanden een begeleiding op maat. </w:t>
      </w:r>
    </w:p>
    <w:p w:rsidR="00A107EC" w:rsidRDefault="00A107EC" w:rsidP="004C06FF">
      <w:pPr>
        <w:ind w:left="425"/>
        <w:jc w:val="both"/>
        <w:rPr>
          <w:sz w:val="22"/>
          <w:szCs w:val="22"/>
        </w:rPr>
      </w:pPr>
    </w:p>
    <w:p w:rsidR="00A107EC" w:rsidRDefault="003E16FB" w:rsidP="004C06FF">
      <w:pPr>
        <w:ind w:left="425"/>
        <w:jc w:val="both"/>
        <w:rPr>
          <w:sz w:val="22"/>
          <w:szCs w:val="22"/>
        </w:rPr>
      </w:pPr>
      <w:r>
        <w:rPr>
          <w:sz w:val="22"/>
          <w:szCs w:val="22"/>
        </w:rPr>
        <w:t xml:space="preserve">In 2013 heb ik de diversiteitsplannen voor bedrijven die willen werken aan diversiteit in hun personeelsbeleid, omgevormd tot Loopbaan- en Diversiteitsplannen, om beter aan te sluiten bij de gehele HR-loopbaanbeleid van bedrijven. Het aantal plannen is hierdoor toegenomen van 786 in 2012 tot 890 in 2013. Daarnaast heb ik ook het actieplan bestrijding van </w:t>
      </w:r>
      <w:proofErr w:type="spellStart"/>
      <w:r>
        <w:rPr>
          <w:sz w:val="22"/>
          <w:szCs w:val="22"/>
        </w:rPr>
        <w:t>arbeidsgereleateerde</w:t>
      </w:r>
      <w:proofErr w:type="spellEnd"/>
      <w:r>
        <w:rPr>
          <w:sz w:val="22"/>
          <w:szCs w:val="22"/>
        </w:rPr>
        <w:t xml:space="preserve"> discriminatie verder ontwikkeld om discriminatie beter te voorkomen en remediëren.</w:t>
      </w:r>
    </w:p>
    <w:p w:rsidR="004C42D2" w:rsidRDefault="004C42D2" w:rsidP="004C06FF">
      <w:pPr>
        <w:ind w:left="425"/>
        <w:jc w:val="both"/>
        <w:rPr>
          <w:sz w:val="22"/>
          <w:szCs w:val="22"/>
        </w:rPr>
      </w:pPr>
    </w:p>
    <w:p w:rsidR="004C42D2" w:rsidRPr="004C42D2" w:rsidRDefault="004C42D2" w:rsidP="004C42D2">
      <w:pPr>
        <w:pStyle w:val="Lijstalinea"/>
        <w:numPr>
          <w:ilvl w:val="0"/>
          <w:numId w:val="10"/>
        </w:numPr>
        <w:jc w:val="both"/>
        <w:rPr>
          <w:rFonts w:ascii="Times New Roman" w:hAnsi="Times New Roman"/>
        </w:rPr>
      </w:pPr>
      <w:r>
        <w:rPr>
          <w:rFonts w:ascii="Times New Roman" w:hAnsi="Times New Roman"/>
        </w:rPr>
        <w:t xml:space="preserve">Voor een overzicht van de partnerschappen </w:t>
      </w:r>
      <w:r w:rsidR="004804AA">
        <w:rPr>
          <w:rFonts w:ascii="Times New Roman" w:hAnsi="Times New Roman"/>
        </w:rPr>
        <w:t>van het beleidsdomein Werk verwijs ik u graag naar mijn beleidsbrief, waar</w:t>
      </w:r>
      <w:r w:rsidR="004062F0">
        <w:rPr>
          <w:rFonts w:ascii="Times New Roman" w:hAnsi="Times New Roman"/>
        </w:rPr>
        <w:t xml:space="preserve"> deze uitvoerig toegelicht worden</w:t>
      </w:r>
      <w:r w:rsidR="004804AA">
        <w:rPr>
          <w:rFonts w:ascii="Times New Roman" w:hAnsi="Times New Roman"/>
        </w:rPr>
        <w:t>.</w:t>
      </w:r>
    </w:p>
    <w:sectPr w:rsidR="004C42D2" w:rsidRPr="004C42D2" w:rsidSect="00A3083B">
      <w:type w:val="continuous"/>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F14" w:rsidRDefault="00236F14" w:rsidP="00464A7A">
      <w:r>
        <w:separator/>
      </w:r>
    </w:p>
  </w:endnote>
  <w:endnote w:type="continuationSeparator" w:id="0">
    <w:p w:rsidR="00236F14" w:rsidRDefault="00236F14"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F14" w:rsidRDefault="00236F14" w:rsidP="00464A7A">
      <w:r>
        <w:separator/>
      </w:r>
    </w:p>
  </w:footnote>
  <w:footnote w:type="continuationSeparator" w:id="0">
    <w:p w:rsidR="00236F14" w:rsidRDefault="00236F14" w:rsidP="0046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1F64A474"/>
    <w:lvl w:ilvl="0" w:tplc="64DA87A6">
      <w:start w:val="1"/>
      <w:numFmt w:val="decimal"/>
      <w:lvlText w:val="%1."/>
      <w:lvlJc w:val="left"/>
      <w:pPr>
        <w:ind w:left="425" w:hanging="425"/>
      </w:pPr>
      <w:rPr>
        <w:rFonts w:ascii="Times New Roman" w:hAnsi="Times New Roman" w:cs="Times New Roman"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9">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9"/>
  </w:num>
  <w:num w:numId="2">
    <w:abstractNumId w:val="0"/>
  </w:num>
  <w:num w:numId="3">
    <w:abstractNumId w:val="1"/>
  </w:num>
  <w:num w:numId="4">
    <w:abstractNumId w:val="2"/>
  </w:num>
  <w:num w:numId="5">
    <w:abstractNumId w:val="10"/>
  </w:num>
  <w:num w:numId="6">
    <w:abstractNumId w:val="5"/>
  </w:num>
  <w:num w:numId="7">
    <w:abstractNumId w:val="4"/>
  </w:num>
  <w:num w:numId="8">
    <w:abstractNumId w:val="7"/>
  </w:num>
  <w:num w:numId="9">
    <w:abstractNumId w:val="6"/>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132BD7"/>
    <w:rsid w:val="001418EC"/>
    <w:rsid w:val="00165725"/>
    <w:rsid w:val="001A5B8A"/>
    <w:rsid w:val="002173F0"/>
    <w:rsid w:val="002277F6"/>
    <w:rsid w:val="00232BC7"/>
    <w:rsid w:val="00236F14"/>
    <w:rsid w:val="00275808"/>
    <w:rsid w:val="002775A9"/>
    <w:rsid w:val="00291A76"/>
    <w:rsid w:val="002B353C"/>
    <w:rsid w:val="002C779D"/>
    <w:rsid w:val="002D27F6"/>
    <w:rsid w:val="002D4643"/>
    <w:rsid w:val="00313C88"/>
    <w:rsid w:val="00321752"/>
    <w:rsid w:val="003317FE"/>
    <w:rsid w:val="00342E5D"/>
    <w:rsid w:val="00396060"/>
    <w:rsid w:val="003A4CDF"/>
    <w:rsid w:val="003D36CF"/>
    <w:rsid w:val="003E16FB"/>
    <w:rsid w:val="003F1093"/>
    <w:rsid w:val="004062F0"/>
    <w:rsid w:val="00410225"/>
    <w:rsid w:val="00415488"/>
    <w:rsid w:val="00451B13"/>
    <w:rsid w:val="00462E13"/>
    <w:rsid w:val="00463D2B"/>
    <w:rsid w:val="00464A7A"/>
    <w:rsid w:val="004804AA"/>
    <w:rsid w:val="00482870"/>
    <w:rsid w:val="00484404"/>
    <w:rsid w:val="00492D21"/>
    <w:rsid w:val="00495CB1"/>
    <w:rsid w:val="00496B5B"/>
    <w:rsid w:val="004B1659"/>
    <w:rsid w:val="004C06FF"/>
    <w:rsid w:val="004C42D2"/>
    <w:rsid w:val="005628FF"/>
    <w:rsid w:val="00572E3E"/>
    <w:rsid w:val="005B0CF8"/>
    <w:rsid w:val="005D67F9"/>
    <w:rsid w:val="005F2C80"/>
    <w:rsid w:val="0061668E"/>
    <w:rsid w:val="0064100C"/>
    <w:rsid w:val="00651886"/>
    <w:rsid w:val="00656FB5"/>
    <w:rsid w:val="006632DE"/>
    <w:rsid w:val="0068216A"/>
    <w:rsid w:val="006856A0"/>
    <w:rsid w:val="006918D8"/>
    <w:rsid w:val="00696243"/>
    <w:rsid w:val="006A4CA8"/>
    <w:rsid w:val="006B7FCC"/>
    <w:rsid w:val="006D3CE8"/>
    <w:rsid w:val="006D4450"/>
    <w:rsid w:val="006F477D"/>
    <w:rsid w:val="006F7827"/>
    <w:rsid w:val="00707498"/>
    <w:rsid w:val="00707D2E"/>
    <w:rsid w:val="00710414"/>
    <w:rsid w:val="00721A3A"/>
    <w:rsid w:val="00730B72"/>
    <w:rsid w:val="00734FDE"/>
    <w:rsid w:val="00753CC6"/>
    <w:rsid w:val="007613B5"/>
    <w:rsid w:val="0077004F"/>
    <w:rsid w:val="007771C0"/>
    <w:rsid w:val="007B35E6"/>
    <w:rsid w:val="007E2BCE"/>
    <w:rsid w:val="008906D6"/>
    <w:rsid w:val="008E02B5"/>
    <w:rsid w:val="008E60A9"/>
    <w:rsid w:val="008F18E6"/>
    <w:rsid w:val="009373D7"/>
    <w:rsid w:val="0099630A"/>
    <w:rsid w:val="009A3970"/>
    <w:rsid w:val="009C0FF4"/>
    <w:rsid w:val="009D7514"/>
    <w:rsid w:val="00A048A0"/>
    <w:rsid w:val="00A107EC"/>
    <w:rsid w:val="00A27757"/>
    <w:rsid w:val="00A3083B"/>
    <w:rsid w:val="00A75778"/>
    <w:rsid w:val="00A76C9C"/>
    <w:rsid w:val="00AA4E03"/>
    <w:rsid w:val="00AB563F"/>
    <w:rsid w:val="00AE6A03"/>
    <w:rsid w:val="00B27878"/>
    <w:rsid w:val="00B33C6C"/>
    <w:rsid w:val="00B373A0"/>
    <w:rsid w:val="00B64C96"/>
    <w:rsid w:val="00B846A3"/>
    <w:rsid w:val="00B97686"/>
    <w:rsid w:val="00BC72B9"/>
    <w:rsid w:val="00BE4E09"/>
    <w:rsid w:val="00BE6E81"/>
    <w:rsid w:val="00BF75AA"/>
    <w:rsid w:val="00C573FE"/>
    <w:rsid w:val="00C579CC"/>
    <w:rsid w:val="00CB244B"/>
    <w:rsid w:val="00CB3A85"/>
    <w:rsid w:val="00D03794"/>
    <w:rsid w:val="00D0429D"/>
    <w:rsid w:val="00D06542"/>
    <w:rsid w:val="00D15FE9"/>
    <w:rsid w:val="00D169B0"/>
    <w:rsid w:val="00D24515"/>
    <w:rsid w:val="00D35559"/>
    <w:rsid w:val="00D6129C"/>
    <w:rsid w:val="00D71834"/>
    <w:rsid w:val="00D844CB"/>
    <w:rsid w:val="00DF0323"/>
    <w:rsid w:val="00DF0EAA"/>
    <w:rsid w:val="00DF38FD"/>
    <w:rsid w:val="00E135AC"/>
    <w:rsid w:val="00E13E2E"/>
    <w:rsid w:val="00E37C52"/>
    <w:rsid w:val="00E7231E"/>
    <w:rsid w:val="00EB1EE1"/>
    <w:rsid w:val="00EC7346"/>
    <w:rsid w:val="00ED0183"/>
    <w:rsid w:val="00ED7FBB"/>
    <w:rsid w:val="00EE0092"/>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character" w:styleId="Hyperlink">
    <w:name w:val="Hyperlink"/>
    <w:basedOn w:val="Standaardalinea-lettertype"/>
    <w:unhideWhenUsed/>
    <w:rsid w:val="005D67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character" w:styleId="Hyperlink">
    <w:name w:val="Hyperlink"/>
    <w:basedOn w:val="Standaardalinea-lettertype"/>
    <w:unhideWhenUsed/>
    <w:rsid w:val="005D6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ec.europa.eu/europe2020/pdf/europe2020stocktaking_en.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D3F36434BD1C44989A49C8280B093094"/>
        <w:category>
          <w:name w:val="General"/>
          <w:gallery w:val="placeholder"/>
        </w:category>
        <w:types>
          <w:type w:val="bbPlcHdr"/>
        </w:types>
        <w:behaviors>
          <w:behavior w:val="content"/>
        </w:behaviors>
        <w:guid w:val="{50D0EAFB-7B8D-4AAB-9F02-E0A1BB908241}"/>
      </w:docPartPr>
      <w:docPartBody>
        <w:p w:rsidR="00317C8C" w:rsidRDefault="00103CA4">
          <w:r w:rsidRPr="00CE2684">
            <w:rPr>
              <w:rStyle w:val="Tekstvantijdelijkeaanduiding"/>
            </w:rPr>
            <w:t>[Minister]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50863"/>
    <w:rsid w:val="001E5C81"/>
    <w:rsid w:val="002A3787"/>
    <w:rsid w:val="00317C8C"/>
    <w:rsid w:val="003D53FC"/>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3643E"/>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D595272655FB674C8F727EC846093588" ma:contentTypeVersion="14" ma:contentTypeDescription="Schriftelijke vraag met koppeling van andere template." ma:contentTypeScope="" ma:versionID="7f0d22b34b1b3cd217f075a4960fd3f5">
  <xsd:schema xmlns:xsd="http://www.w3.org/2001/XMLSchema" xmlns:xs="http://www.w3.org/2001/XMLSchema" xmlns:p="http://schemas.microsoft.com/office/2006/metadata/properties" xmlns:ns1="http://schemas.microsoft.com/sharepoint/v3" xmlns:ns2="7a2e3783-fe9a-4a2f-bbf4-debb4ac58a5c" xmlns:ns3="$ListId:ParlementaireVragen;" xmlns:ns4="ec82e040-88e9-4975-bc13-a42fab7bb9ce" xmlns:ns5="0432e282-c115-404d-9267-bbe15fcac794" targetNamespace="http://schemas.microsoft.com/office/2006/metadata/properties" ma:root="true" ma:fieldsID="2d4cf42de2961e93a47e50b375b7e039" ns1:_="" ns2:_="" ns3:_="" ns4:_="" ns5:_="">
    <xsd:import namespace="http://schemas.microsoft.com/sharepoint/v3"/>
    <xsd:import namespace="7a2e3783-fe9a-4a2f-bbf4-debb4ac58a5c"/>
    <xsd:import namespace="$ListId:ParlementaireVragen;"/>
    <xsd:import namespace="ec82e040-88e9-4975-bc13-a42fab7bb9ce"/>
    <xsd:import namespace="0432e282-c115-404d-9267-bbe15fcac794"/>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i65be3971a7447f690f0cd0953123e0a" minOccurs="0"/>
                <xsd:element ref="ns2:p19bb4db8f234648b3e23803b44e1a22" minOccurs="0"/>
                <xsd:element ref="ns2:DatumVraag" minOccurs="0"/>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4:ExterneAgentschappen" minOccurs="0"/>
                <xsd:element ref="ns5:Vraagverstuu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indexed="true" ma:list="UserInfo" ma:SharePointGroup="21" ma:internalName="Behandel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dexed="true"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enumeration value="Afgehandeld"/>
        </xsd:restriction>
      </xsd:simpleType>
    </xsd:element>
    <xsd:element name="i65be3971a7447f690f0cd0953123e0a" ma:index="13"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1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element name="DatumVraag" ma:index="17" nillable="true" ma:displayName="Datum Vraag" ma:description="De datum waarop de vraag werd gesteld." ma:format="DateOnly" ma:internalName="DatumVraag" ma:readOnly="false">
      <xsd:simpleType>
        <xsd:restriction base="dms:DateTime"/>
      </xsd:simpleType>
    </xsd:element>
    <xsd:element name="Parlementair" ma:index="18"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9" nillable="true" ma:displayName="Vraagnummer" ma:description="Het nummer van de vraag. Bvb &quot;0021&quot;." ma:internalName="Vraagnummer" ma:readOnly="false">
      <xsd:simpleType>
        <xsd:restriction base="dms:Text">
          <xsd:maxLength value="10"/>
        </xsd:restriction>
      </xsd:simpleType>
    </xsd:element>
    <xsd:element name="Antwoordnummer" ma:index="20" nillable="true" ma:displayName="Antwoordnummer" ma:internalName="Antwoordnummer" ma:readOnly="false">
      <xsd:simpleType>
        <xsd:restriction base="dms:Text">
          <xsd:maxLength value="10"/>
        </xsd:restriction>
      </xsd:simpleType>
    </xsd:element>
    <xsd:element name="Antwoord_x0020_vereist" ma:index="21"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Time"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PVAfdeling" ma:internalName="PVAfdeling">
      <xsd:simpleType>
        <xsd:restriction base="dms:Text">
          <xsd:maxLength value="255"/>
        </xsd:restriction>
      </xsd:simpleType>
    </xsd:element>
    <xsd:element name="PVTeam" ma:index="31" nillable="true" ma:displayName="PV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ParlementaireVragen;"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indexed="true" ma:list="{b67b3043-2083-422e-a1af-e8c2fd97112c}" ma:internalName="Minister" ma:showField="Title" ma:web="ec82e040-88e9-4975-bc13-a42fab7bb9ce">
      <xsd:simpleType>
        <xsd:restriction base="dms:Lookup"/>
      </xsd:simpleType>
    </xsd:element>
    <xsd:element name="ExterneAgentschappen" ma:index="35" nillable="true" ma:displayName="Externe Agentschappen" ma:list="{018b224e-9935-410e-85d0-ef8844e68a6f}" ma:internalName="ExterneAgentschappen" ma:showField="Title" ma:web="ec82e040-88e9-4975-bc13-a42fab7bb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2e282-c115-404d-9267-bbe15fcac794" elementFormDefault="qualified">
    <xsd:import namespace="http://schemas.microsoft.com/office/2006/documentManagement/types"/>
    <xsd:import namespace="http://schemas.microsoft.com/office/infopath/2007/PartnerControls"/>
    <xsd:element name="Vraagverstuurd" ma:index="36" nillable="true" ma:displayName="Vraag verstuurd" ma:format="DateOnly" ma:internalName="Vraagverstuur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451 Pact 2020 - Werkzaamheidsgraad (2°</Titel_x0020_vraag>
    <Vraagnummer xmlns="7a2e3783-fe9a-4a2f-bbf4-debb4ac58a5c">451</Vraagnummer>
    <DatumVraag xmlns="7a2e3783-fe9a-4a2f-bbf4-debb4ac58a5c">2014-02-18T23:00:00+00:00</DatumVraag>
    <DocumentSetDescription xmlns="http://schemas.microsoft.com/sharepoint/v3" xsi:nil="true"/>
    <Antwoord_x0020_vereist xmlns="7a2e3783-fe9a-4a2f-bbf4-debb4ac58a5c">2014-03-09T23:00:00+00:00</Antwoord_x0020_vereist>
    <Onderwerp_x0020_vraag xmlns="7a2e3783-fe9a-4a2f-bbf4-debb4ac58a5c">Pact 2020 - Werkzaamheidsgraad (2°</Onderwerp_x0020_vraag>
    <TaxCatchAll xmlns="7a2e3783-fe9a-4a2f-bbf4-debb4ac58a5c"/>
    <Antwoordnummer xmlns="7a2e3783-fe9a-4a2f-bbf4-debb4ac58a5c">451</Antwoordnummer>
    <Extra_x0020_Behandelaars xmlns="7a2e3783-fe9a-4a2f-bbf4-debb4ac58a5c">
      <UserInfo>
        <DisplayName/>
        <AccountId xsi:nil="true"/>
        <AccountType/>
      </UserInfo>
    </Extra_x0020_Behandelaars>
    <Parlementair xmlns="7a2e3783-fe9a-4a2f-bbf4-debb4ac58a5c">Jean JaCques De Gucht</Parlementair>
    <Doorloopstatus xmlns="7a2e3783-fe9a-4a2f-bbf4-debb4ac58a5c">Beantwoord</Doorloopstatus>
    <Behandelaar xmlns="7a2e3783-fe9a-4a2f-bbf4-debb4ac58a5c">
      <UserInfo>
        <DisplayName>Boey, Raf</DisplayName>
        <AccountId>126</AccountId>
        <AccountType/>
      </UserInfo>
    </Behandelaar>
    <Vraag_x0020_beantwoord xmlns="7a2e3783-fe9a-4a2f-bbf4-debb4ac58a5c">2014-03-06T14:49:48+00:00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Monitoring &amp; Ondersteuning</PVTeam>
    <Historiek xmlns="7a2e3783-fe9a-4a2f-bbf4-debb4ac58a5c" xsi:nil="true"/>
    <MinisterAlleDomeinen xmlns="7a2e3783-fe9a-4a2f-bbf4-debb4ac58a5c">Financiën, Begroting, Werk, Ruimtelijke Ordening en Sport</MinisterAlleDomeinen>
    <DocSetId xmlns="$ListId:ParlementaireVragen;">309</DocSetId>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ExterneAgentschappen xmlns="ec82e040-88e9-4975-bc13-a42fab7bb9ce"/>
    <Vraagverstuurd xmlns="0432e282-c115-404d-9267-bbe15fcac794" xsi:nil="true"/>
  </documentManagement>
</p:properti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95554-8275-411F-95F2-3420BA7B9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ListId:ParlementaireVragen;"/>
    <ds:schemaRef ds:uri="ec82e040-88e9-4975-bc13-a42fab7bb9ce"/>
    <ds:schemaRef ds:uri="0432e282-c115-404d-9267-bbe15fca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74298DB8-679A-49E4-AA34-B450138B57AB}">
  <ds:schemaRefs>
    <ds:schemaRef ds:uri="http://purl.org/dc/dcmitype/"/>
    <ds:schemaRef ds:uri="$ListId:ParlementaireVragen;"/>
    <ds:schemaRef ds:uri="http://schemas.openxmlformats.org/package/2006/metadata/core-properties"/>
    <ds:schemaRef ds:uri="http://www.w3.org/XML/1998/namespace"/>
    <ds:schemaRef ds:uri="0432e282-c115-404d-9267-bbe15fcac794"/>
    <ds:schemaRef ds:uri="http://schemas.microsoft.com/sharepoint/v3"/>
    <ds:schemaRef ds:uri="http://schemas.microsoft.com/office/2006/metadata/properties"/>
    <ds:schemaRef ds:uri="http://purl.org/dc/terms/"/>
    <ds:schemaRef ds:uri="http://schemas.microsoft.com/office/2006/documentManagement/types"/>
    <ds:schemaRef ds:uri="7a2e3783-fe9a-4a2f-bbf4-debb4ac58a5c"/>
    <ds:schemaRef ds:uri="http://purl.org/dc/elements/1.1/"/>
    <ds:schemaRef ds:uri="http://schemas.microsoft.com/office/infopath/2007/PartnerControls"/>
    <ds:schemaRef ds:uri="ec82e040-88e9-4975-bc13-a42fab7bb9ce"/>
  </ds:schemaRefs>
</ds:datastoreItem>
</file>

<file path=customXml/itemProps4.xml><?xml version="1.0" encoding="utf-8"?>
<ds:datastoreItem xmlns:ds="http://schemas.openxmlformats.org/officeDocument/2006/customXml" ds:itemID="{3E85B2EB-515F-493C-9EAA-37703EC02A07}">
  <ds:schemaRefs>
    <ds:schemaRef ds:uri="http://schemas.microsoft.com/office/2006/customDocumentInformationPanel"/>
  </ds:schemaRefs>
</ds:datastoreItem>
</file>

<file path=customXml/itemProps5.xml><?xml version="1.0" encoding="utf-8"?>
<ds:datastoreItem xmlns:ds="http://schemas.openxmlformats.org/officeDocument/2006/customXml" ds:itemID="{08FCB158-4891-4283-930D-DE3FE932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4048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Pact 2020 werkzaamheidsgraad</vt:lpstr>
      <vt:lpstr>Pact 2020 Werkzaamheidsgraad</vt:lpstr>
    </vt:vector>
  </TitlesOfParts>
  <Company>MVG</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Pact 2020 werkzaamheidsgraad</dc:title>
  <dc:creator>techne</dc:creator>
  <cp:lastModifiedBy>Nathalie De Keyzer</cp:lastModifiedBy>
  <cp:revision>3</cp:revision>
  <cp:lastPrinted>2014-03-20T09:58:00Z</cp:lastPrinted>
  <dcterms:created xsi:type="dcterms:W3CDTF">2014-03-20T09:58:00Z</dcterms:created>
  <dcterms:modified xsi:type="dcterms:W3CDTF">2014-03-24T10:22:00Z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0x010100988F5A92209A7C4FB064E8E0C9EC2A95060400D595272655FB674C8F727EC846093588</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fca68142-905b-4f34-951b-f6f0164b58b7</vt:lpwstr>
  </property>
  <property fmtid="{D5CDD505-2E9C-101B-9397-08002B2CF9AE}" pid="7" name="WorkflowCreationPath">
    <vt:lpwstr>1cc3ab1c-df5a-479a-b25b-58269b8aaa6a;</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y fmtid="{D5CDD505-2E9C-101B-9397-08002B2CF9AE}" pid="12" name="PVOrigID">
    <vt:lpwstr/>
  </property>
</Properties>
</file>