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2A" w:rsidRPr="00D65107" w:rsidRDefault="0066612A" w:rsidP="0066612A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6612A" w:rsidRDefault="0066612A" w:rsidP="0066612A">
      <w:pPr>
        <w:jc w:val="both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66612A" w:rsidRPr="00EC684F" w:rsidRDefault="0066612A" w:rsidP="0066612A">
      <w:pPr>
        <w:pStyle w:val="StandaardSV"/>
        <w:pBdr>
          <w:bottom w:val="single" w:sz="4" w:space="1" w:color="auto"/>
        </w:pBdr>
        <w:rPr>
          <w:lang w:val="nl-BE"/>
        </w:rPr>
      </w:pPr>
    </w:p>
    <w:p w:rsidR="0066612A" w:rsidRDefault="0066612A" w:rsidP="0066612A">
      <w:pPr>
        <w:jc w:val="both"/>
        <w:rPr>
          <w:sz w:val="22"/>
        </w:rPr>
      </w:pPr>
    </w:p>
    <w:p w:rsidR="002209C5" w:rsidRPr="00E8167D" w:rsidRDefault="00E8167D" w:rsidP="0066612A">
      <w:pPr>
        <w:jc w:val="both"/>
        <w:rPr>
          <w:rFonts w:ascii="Times New Roman Vet" w:hAnsi="Times New Roman Vet"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66612A" w:rsidRDefault="007E76A1" w:rsidP="0066612A">
      <w:pPr>
        <w:jc w:val="both"/>
        <w:rPr>
          <w:sz w:val="22"/>
        </w:rPr>
      </w:pPr>
      <w:r>
        <w:rPr>
          <w:sz w:val="22"/>
        </w:rPr>
        <w:t xml:space="preserve">op vraag </w:t>
      </w:r>
      <w:r w:rsidR="009F0072">
        <w:rPr>
          <w:sz w:val="22"/>
        </w:rPr>
        <w:t xml:space="preserve">nr. </w:t>
      </w:r>
      <w:r w:rsidR="00D42003">
        <w:rPr>
          <w:sz w:val="22"/>
        </w:rPr>
        <w:t>302</w:t>
      </w:r>
      <w:r w:rsidR="002209C5">
        <w:rPr>
          <w:sz w:val="22"/>
        </w:rPr>
        <w:t xml:space="preserve"> </w:t>
      </w:r>
      <w:r w:rsidR="0066612A">
        <w:rPr>
          <w:sz w:val="22"/>
        </w:rPr>
        <w:t xml:space="preserve">van </w:t>
      </w:r>
      <w:r w:rsidR="00D42003">
        <w:rPr>
          <w:sz w:val="22"/>
        </w:rPr>
        <w:t>18 februari 2014</w:t>
      </w:r>
    </w:p>
    <w:p w:rsidR="0066612A" w:rsidRDefault="0066612A" w:rsidP="0066612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E8167D">
        <w:rPr>
          <w:rFonts w:ascii="Times New Roman Vet" w:hAnsi="Times New Roman Vet"/>
          <w:b/>
          <w:smallCaps/>
          <w:sz w:val="22"/>
        </w:rPr>
        <w:t>bart</w:t>
      </w:r>
      <w:proofErr w:type="spellEnd"/>
      <w:r w:rsidR="00E8167D">
        <w:rPr>
          <w:rFonts w:ascii="Times New Roman Vet" w:hAnsi="Times New Roman Vet"/>
          <w:b/>
          <w:smallCaps/>
          <w:sz w:val="22"/>
        </w:rPr>
        <w:t xml:space="preserve"> martens</w:t>
      </w:r>
    </w:p>
    <w:p w:rsidR="0066612A" w:rsidRDefault="0066612A" w:rsidP="0066612A">
      <w:pPr>
        <w:pBdr>
          <w:bottom w:val="single" w:sz="4" w:space="1" w:color="auto"/>
        </w:pBdr>
        <w:jc w:val="both"/>
        <w:rPr>
          <w:sz w:val="22"/>
        </w:rPr>
      </w:pPr>
    </w:p>
    <w:p w:rsidR="0066612A" w:rsidRDefault="0066612A" w:rsidP="0066612A">
      <w:pPr>
        <w:pStyle w:val="StandaardSV"/>
      </w:pPr>
    </w:p>
    <w:p w:rsidR="00A57D36" w:rsidRDefault="00A57D36"/>
    <w:p w:rsidR="00FB4AEB" w:rsidRDefault="00116356" w:rsidP="00E8167D">
      <w:pPr>
        <w:pStyle w:val="StandaardSV"/>
        <w:numPr>
          <w:ilvl w:val="0"/>
          <w:numId w:val="2"/>
        </w:numPr>
        <w:rPr>
          <w:lang w:val="nl-BE"/>
        </w:rPr>
      </w:pPr>
      <w:r>
        <w:rPr>
          <w:lang w:val="nl-BE"/>
        </w:rPr>
        <w:t>D</w:t>
      </w:r>
      <w:r w:rsidR="00D42003">
        <w:rPr>
          <w:lang w:val="nl-BE"/>
        </w:rPr>
        <w:t xml:space="preserve">e RWZI </w:t>
      </w:r>
      <w:r w:rsidR="00A45F17">
        <w:rPr>
          <w:lang w:val="nl-BE"/>
        </w:rPr>
        <w:t>Brussel-</w:t>
      </w:r>
      <w:r w:rsidR="00D42003">
        <w:rPr>
          <w:lang w:val="nl-BE"/>
        </w:rPr>
        <w:t xml:space="preserve">Zuid </w:t>
      </w:r>
      <w:r>
        <w:rPr>
          <w:lang w:val="nl-BE"/>
        </w:rPr>
        <w:t xml:space="preserve">wordt in uitvoering van de </w:t>
      </w:r>
      <w:r w:rsidR="002119DE">
        <w:rPr>
          <w:lang w:val="nl-BE"/>
        </w:rPr>
        <w:t>R</w:t>
      </w:r>
      <w:r>
        <w:rPr>
          <w:lang w:val="nl-BE"/>
        </w:rPr>
        <w:t xml:space="preserve">ichtlijn </w:t>
      </w:r>
      <w:r w:rsidR="002119DE">
        <w:rPr>
          <w:lang w:val="nl-BE"/>
        </w:rPr>
        <w:t>S</w:t>
      </w:r>
      <w:r>
        <w:rPr>
          <w:lang w:val="nl-BE"/>
        </w:rPr>
        <w:t xml:space="preserve">tedelijk afvalwater </w:t>
      </w:r>
      <w:r w:rsidR="00D42003">
        <w:rPr>
          <w:lang w:val="nl-BE"/>
        </w:rPr>
        <w:t>uitgerust met een tertiaire behandeling (verwijdering stikstof en fosfor). De nominatieve capaciteit van de RWZI blijft behouden op 360.000 IE. Om de tertiaire zuivering te kunnen bouwen</w:t>
      </w:r>
      <w:r w:rsidR="002119DE">
        <w:rPr>
          <w:lang w:val="nl-BE"/>
        </w:rPr>
        <w:t>,</w:t>
      </w:r>
      <w:r w:rsidR="00D42003">
        <w:rPr>
          <w:lang w:val="nl-BE"/>
        </w:rPr>
        <w:t xml:space="preserve"> worden </w:t>
      </w:r>
      <w:r w:rsidR="00717746">
        <w:rPr>
          <w:lang w:val="nl-BE"/>
        </w:rPr>
        <w:t xml:space="preserve">wegens plaatsgebrek </w:t>
      </w:r>
      <w:r w:rsidR="00D42003">
        <w:rPr>
          <w:lang w:val="nl-BE"/>
        </w:rPr>
        <w:t>delen van de bestaande RWZI afgebroken.</w:t>
      </w:r>
    </w:p>
    <w:p w:rsidR="00FB4AEB" w:rsidRDefault="00FB4AEB" w:rsidP="002119DE">
      <w:pPr>
        <w:pStyle w:val="StandaardSV"/>
        <w:ind w:left="567" w:hanging="567"/>
        <w:rPr>
          <w:i/>
          <w:lang w:val="nl-BE"/>
        </w:rPr>
      </w:pPr>
    </w:p>
    <w:p w:rsidR="00394D42" w:rsidRDefault="00FB4AEB" w:rsidP="002119DE">
      <w:pPr>
        <w:pStyle w:val="StandaardSV"/>
        <w:ind w:left="567" w:hanging="567"/>
      </w:pPr>
      <w:r>
        <w:rPr>
          <w:lang w:val="nl-BE"/>
        </w:rPr>
        <w:t>2</w:t>
      </w:r>
      <w:r w:rsidR="002119DE">
        <w:rPr>
          <w:lang w:val="nl-BE"/>
        </w:rPr>
        <w:t>-</w:t>
      </w:r>
      <w:r w:rsidR="00E8167D">
        <w:rPr>
          <w:lang w:val="nl-BE"/>
        </w:rPr>
        <w:t>4.</w:t>
      </w:r>
      <w:r w:rsidR="002119DE">
        <w:rPr>
          <w:lang w:val="nl-BE"/>
        </w:rPr>
        <w:tab/>
      </w:r>
      <w:r w:rsidR="00BA4602">
        <w:t xml:space="preserve">In de overeenkomst tussen de nv </w:t>
      </w:r>
      <w:proofErr w:type="spellStart"/>
      <w:r w:rsidR="00BA4602">
        <w:t>Aquafin</w:t>
      </w:r>
      <w:proofErr w:type="spellEnd"/>
      <w:r w:rsidR="00BA4602">
        <w:t xml:space="preserve"> en de nv BMWB van 21 december 2007 ligt het aandeel van de nv </w:t>
      </w:r>
      <w:proofErr w:type="spellStart"/>
      <w:r w:rsidR="00BA4602">
        <w:t>Aquafin</w:t>
      </w:r>
      <w:proofErr w:type="spellEnd"/>
      <w:r w:rsidR="00BA4602">
        <w:t>, en dus het Vlaams</w:t>
      </w:r>
      <w:r w:rsidR="002119DE">
        <w:t>e</w:t>
      </w:r>
      <w:r w:rsidR="00BA4602">
        <w:t xml:space="preserve"> Gewest, op 15,7% voor het noordelijke deel en 11,68% voor het zuidelijke deel van Brussel. </w:t>
      </w:r>
    </w:p>
    <w:p w:rsidR="00BA4602" w:rsidRDefault="00BA4602" w:rsidP="002119DE">
      <w:pPr>
        <w:pStyle w:val="StandaardSV"/>
        <w:ind w:left="567" w:hanging="567"/>
      </w:pPr>
    </w:p>
    <w:p w:rsidR="00BA4602" w:rsidRDefault="002119DE" w:rsidP="002119DE">
      <w:pPr>
        <w:pStyle w:val="StandaardSV"/>
        <w:ind w:left="567"/>
      </w:pPr>
      <w:r>
        <w:t>Hierna vindt u</w:t>
      </w:r>
      <w:r w:rsidR="00116356">
        <w:t xml:space="preserve"> het gevraagde </w:t>
      </w:r>
      <w:r w:rsidR="00BA4602">
        <w:t xml:space="preserve">overzicht van de totale kosten </w:t>
      </w:r>
      <w:r>
        <w:t xml:space="preserve">(in euro, excl. 21% BTW) </w:t>
      </w:r>
      <w:r w:rsidR="00BA4602">
        <w:t xml:space="preserve">die </w:t>
      </w:r>
      <w:r>
        <w:t xml:space="preserve">de nv </w:t>
      </w:r>
      <w:r w:rsidR="00BA4602">
        <w:t>BMWB afgelopen jaren aanrekende aan de nv Aquafin.</w:t>
      </w:r>
      <w:r w:rsidR="00116356">
        <w:t xml:space="preserve"> Een opsplitsing in exploitatie-, investerings- en aanpassingskosten is niet beschikbaar.</w:t>
      </w:r>
    </w:p>
    <w:p w:rsidR="00116356" w:rsidRDefault="00116356" w:rsidP="002119DE">
      <w:pPr>
        <w:pStyle w:val="StandaardSV"/>
        <w:ind w:left="567" w:hanging="567"/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092"/>
      </w:tblGrid>
      <w:tr w:rsidR="00BA4602" w:rsidTr="002119DE">
        <w:tc>
          <w:tcPr>
            <w:tcW w:w="1701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Jaar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 xml:space="preserve">Noordelijke deel </w:t>
            </w:r>
          </w:p>
        </w:tc>
        <w:tc>
          <w:tcPr>
            <w:tcW w:w="2410" w:type="dxa"/>
          </w:tcPr>
          <w:p w:rsidR="00BA4602" w:rsidRDefault="000D1EA8" w:rsidP="002119DE">
            <w:pPr>
              <w:pStyle w:val="StandaardSV"/>
              <w:ind w:left="567" w:hanging="567"/>
            </w:pPr>
            <w:r>
              <w:t>Zuide</w:t>
            </w:r>
            <w:r w:rsidR="00BA4602">
              <w:t xml:space="preserve">lijke deel </w:t>
            </w:r>
          </w:p>
        </w:tc>
        <w:tc>
          <w:tcPr>
            <w:tcW w:w="2092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 xml:space="preserve">Totaal </w:t>
            </w:r>
          </w:p>
        </w:tc>
      </w:tr>
      <w:tr w:rsidR="00BA4602" w:rsidTr="002119DE">
        <w:tc>
          <w:tcPr>
            <w:tcW w:w="1701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2010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5.527.907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619.768</w:t>
            </w:r>
          </w:p>
        </w:tc>
        <w:tc>
          <w:tcPr>
            <w:tcW w:w="2092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6.147.675</w:t>
            </w:r>
          </w:p>
        </w:tc>
      </w:tr>
      <w:tr w:rsidR="00BA4602" w:rsidTr="002119DE">
        <w:tc>
          <w:tcPr>
            <w:tcW w:w="1701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2011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5.772.999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815.092</w:t>
            </w:r>
          </w:p>
        </w:tc>
        <w:tc>
          <w:tcPr>
            <w:tcW w:w="2092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6.588.091</w:t>
            </w:r>
          </w:p>
        </w:tc>
      </w:tr>
      <w:tr w:rsidR="00BA4602" w:rsidTr="002119DE">
        <w:tc>
          <w:tcPr>
            <w:tcW w:w="1701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2012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5.651.185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871.004</w:t>
            </w:r>
          </w:p>
        </w:tc>
        <w:tc>
          <w:tcPr>
            <w:tcW w:w="2092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 xml:space="preserve">8.033.504 </w:t>
            </w:r>
          </w:p>
        </w:tc>
      </w:tr>
      <w:tr w:rsidR="00BA4602" w:rsidTr="002119DE">
        <w:tc>
          <w:tcPr>
            <w:tcW w:w="1701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2013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6.705.429</w:t>
            </w:r>
          </w:p>
        </w:tc>
        <w:tc>
          <w:tcPr>
            <w:tcW w:w="2410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1.262.839</w:t>
            </w:r>
          </w:p>
        </w:tc>
        <w:tc>
          <w:tcPr>
            <w:tcW w:w="2092" w:type="dxa"/>
          </w:tcPr>
          <w:p w:rsidR="00BA4602" w:rsidRDefault="00BA4602" w:rsidP="002119DE">
            <w:pPr>
              <w:pStyle w:val="StandaardSV"/>
              <w:ind w:left="567" w:hanging="567"/>
            </w:pPr>
            <w:r>
              <w:t>7.968.268</w:t>
            </w:r>
          </w:p>
        </w:tc>
      </w:tr>
    </w:tbl>
    <w:p w:rsidR="00FB4AEB" w:rsidRDefault="00FB4AEB" w:rsidP="002119DE">
      <w:pPr>
        <w:ind w:left="567" w:hanging="567"/>
        <w:rPr>
          <w:lang w:val="nl-BE"/>
        </w:rPr>
      </w:pPr>
    </w:p>
    <w:p w:rsidR="00FB4AEB" w:rsidRPr="00C011FD" w:rsidRDefault="00FB4AEB" w:rsidP="00E8167D">
      <w:pPr>
        <w:ind w:left="426" w:hanging="426"/>
        <w:jc w:val="both"/>
        <w:rPr>
          <w:sz w:val="22"/>
          <w:szCs w:val="22"/>
          <w:lang w:val="nl-BE"/>
        </w:rPr>
      </w:pPr>
      <w:r w:rsidRPr="00C011FD">
        <w:rPr>
          <w:sz w:val="22"/>
          <w:szCs w:val="22"/>
          <w:lang w:val="nl-BE"/>
        </w:rPr>
        <w:t>5.</w:t>
      </w:r>
      <w:r w:rsidRPr="00C011FD">
        <w:rPr>
          <w:sz w:val="22"/>
          <w:szCs w:val="22"/>
          <w:lang w:val="nl-BE"/>
        </w:rPr>
        <w:tab/>
      </w:r>
      <w:r w:rsidR="00A45F17">
        <w:rPr>
          <w:sz w:val="22"/>
          <w:szCs w:val="22"/>
          <w:lang w:val="nl-BE"/>
        </w:rPr>
        <w:t xml:space="preserve">Het economisch toezicht op de uitbouw en </w:t>
      </w:r>
      <w:r w:rsidR="00EC66D0">
        <w:rPr>
          <w:sz w:val="22"/>
          <w:szCs w:val="22"/>
          <w:lang w:val="nl-BE"/>
        </w:rPr>
        <w:t xml:space="preserve">het </w:t>
      </w:r>
      <w:r w:rsidR="00A45F17">
        <w:rPr>
          <w:sz w:val="22"/>
          <w:szCs w:val="22"/>
          <w:lang w:val="nl-BE"/>
        </w:rPr>
        <w:t xml:space="preserve">beheer van de infrastructuurwerken </w:t>
      </w:r>
      <w:r w:rsidR="000D1EA8">
        <w:rPr>
          <w:sz w:val="22"/>
          <w:szCs w:val="22"/>
          <w:lang w:val="nl-BE"/>
        </w:rPr>
        <w:t xml:space="preserve">door </w:t>
      </w:r>
      <w:r w:rsidR="00A45F17">
        <w:rPr>
          <w:sz w:val="22"/>
          <w:szCs w:val="22"/>
          <w:lang w:val="nl-BE"/>
        </w:rPr>
        <w:t xml:space="preserve">de </w:t>
      </w:r>
      <w:r w:rsidR="002119DE">
        <w:rPr>
          <w:sz w:val="22"/>
          <w:szCs w:val="22"/>
          <w:lang w:val="nl-BE"/>
        </w:rPr>
        <w:t>nv BMWB aan de RWZI Zuid behoort tot</w:t>
      </w:r>
      <w:r w:rsidR="00A45F17">
        <w:rPr>
          <w:sz w:val="22"/>
          <w:szCs w:val="22"/>
          <w:lang w:val="nl-BE"/>
        </w:rPr>
        <w:t xml:space="preserve"> de </w:t>
      </w:r>
      <w:bookmarkStart w:id="0" w:name="_GoBack"/>
      <w:bookmarkEnd w:id="0"/>
      <w:r w:rsidR="00A45F17">
        <w:rPr>
          <w:sz w:val="22"/>
          <w:szCs w:val="22"/>
          <w:lang w:val="nl-BE"/>
        </w:rPr>
        <w:t>bevoegdhe</w:t>
      </w:r>
      <w:r w:rsidR="00EC66D0">
        <w:rPr>
          <w:sz w:val="22"/>
          <w:szCs w:val="22"/>
          <w:lang w:val="nl-BE"/>
        </w:rPr>
        <w:t>i</w:t>
      </w:r>
      <w:r w:rsidR="00A45F17">
        <w:rPr>
          <w:sz w:val="22"/>
          <w:szCs w:val="22"/>
          <w:lang w:val="nl-BE"/>
        </w:rPr>
        <w:t>d van het Brusselse Hoofdstedelijke Gewest.</w:t>
      </w:r>
    </w:p>
    <w:sectPr w:rsidR="00FB4AEB" w:rsidRPr="00C011FD" w:rsidSect="00A6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3D1"/>
    <w:multiLevelType w:val="hybridMultilevel"/>
    <w:tmpl w:val="FF3AF55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2586F"/>
    <w:multiLevelType w:val="hybridMultilevel"/>
    <w:tmpl w:val="EA26793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12A"/>
    <w:rsid w:val="00020661"/>
    <w:rsid w:val="000D1EA8"/>
    <w:rsid w:val="00116356"/>
    <w:rsid w:val="002119DE"/>
    <w:rsid w:val="002209C5"/>
    <w:rsid w:val="002F39CA"/>
    <w:rsid w:val="00394D42"/>
    <w:rsid w:val="006471A5"/>
    <w:rsid w:val="00660B95"/>
    <w:rsid w:val="0066612A"/>
    <w:rsid w:val="006B2A46"/>
    <w:rsid w:val="006D7315"/>
    <w:rsid w:val="00717746"/>
    <w:rsid w:val="007805D1"/>
    <w:rsid w:val="007E76A1"/>
    <w:rsid w:val="008751C6"/>
    <w:rsid w:val="009F0072"/>
    <w:rsid w:val="00A150E9"/>
    <w:rsid w:val="00A45F17"/>
    <w:rsid w:val="00A57D36"/>
    <w:rsid w:val="00A64E3C"/>
    <w:rsid w:val="00A66805"/>
    <w:rsid w:val="00BA4602"/>
    <w:rsid w:val="00C011FD"/>
    <w:rsid w:val="00D42003"/>
    <w:rsid w:val="00DB1E29"/>
    <w:rsid w:val="00E707CA"/>
    <w:rsid w:val="00E8167D"/>
    <w:rsid w:val="00E91396"/>
    <w:rsid w:val="00EC66D0"/>
    <w:rsid w:val="00EC6F0F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table" w:styleId="Tabelraster">
    <w:name w:val="Table Grid"/>
    <w:basedOn w:val="Standaardtabel"/>
    <w:uiPriority w:val="59"/>
    <w:rsid w:val="00BA46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unhideWhenUsed/>
    <w:rsid w:val="00BA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46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4602"/>
    <w:rPr>
      <w:lang w:val="nl-NL" w:eastAsia="nl-NL"/>
    </w:rPr>
  </w:style>
  <w:style w:type="paragraph" w:styleId="Ballontekst">
    <w:name w:val="Balloon Text"/>
    <w:basedOn w:val="Standaard"/>
    <w:link w:val="BallontekstChar"/>
    <w:rsid w:val="00BA46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460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table" w:styleId="Tabelraster">
    <w:name w:val="Table Grid"/>
    <w:basedOn w:val="Standaardtabel"/>
    <w:uiPriority w:val="59"/>
    <w:rsid w:val="00BA46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unhideWhenUsed/>
    <w:rsid w:val="00BA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46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4602"/>
    <w:rPr>
      <w:lang w:val="nl-NL" w:eastAsia="nl-NL"/>
    </w:rPr>
  </w:style>
  <w:style w:type="paragraph" w:styleId="Ballontekst">
    <w:name w:val="Balloon Text"/>
    <w:basedOn w:val="Standaard"/>
    <w:link w:val="BallontekstChar"/>
    <w:rsid w:val="00BA46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460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MVG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Claudine Van De Steene</dc:creator>
  <cp:lastModifiedBy>Nathalie De Keyzer</cp:lastModifiedBy>
  <cp:revision>6</cp:revision>
  <cp:lastPrinted>2014-03-19T07:04:00Z</cp:lastPrinted>
  <dcterms:created xsi:type="dcterms:W3CDTF">2014-03-17T13:08:00Z</dcterms:created>
  <dcterms:modified xsi:type="dcterms:W3CDTF">2014-03-21T09:20:00Z</dcterms:modified>
</cp:coreProperties>
</file>