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FC" w:rsidRPr="00E1585F" w:rsidRDefault="005A2F91" w:rsidP="00E922FC">
      <w:pPr>
        <w:pStyle w:val="StandaardSV"/>
        <w:rPr>
          <w:u w:val="single"/>
          <w:lang w:val="nl-NL"/>
        </w:rPr>
      </w:pPr>
      <w:r w:rsidRPr="00E1585F">
        <w:rPr>
          <w:u w:val="single"/>
          <w:lang w:val="nl-NL"/>
        </w:rPr>
        <w:t>Bijlage 3</w:t>
      </w:r>
    </w:p>
    <w:p w:rsidR="00E922FC" w:rsidRPr="00E1585F" w:rsidRDefault="00E922FC" w:rsidP="00E922FC">
      <w:pPr>
        <w:pStyle w:val="StandaardSV"/>
        <w:rPr>
          <w:lang w:val="nl-NL"/>
        </w:rPr>
      </w:pPr>
    </w:p>
    <w:p w:rsidR="000C306F" w:rsidRPr="00E1585F" w:rsidRDefault="00E922FC" w:rsidP="00E922FC">
      <w:pPr>
        <w:pStyle w:val="Lijstalinea"/>
        <w:numPr>
          <w:ilvl w:val="0"/>
          <w:numId w:val="6"/>
        </w:numPr>
        <w:rPr>
          <w:rFonts w:ascii="Times New Roman" w:hAnsi="Times New Roman" w:cs="Times New Roman"/>
          <w:lang w:val="nl-NL"/>
        </w:rPr>
      </w:pPr>
      <w:r w:rsidRPr="00E1585F">
        <w:rPr>
          <w:rFonts w:ascii="Times New Roman" w:hAnsi="Times New Roman" w:cs="Times New Roman"/>
          <w:lang w:val="nl-NL"/>
        </w:rPr>
        <w:t xml:space="preserve">Hieronder vindt u per </w:t>
      </w:r>
      <w:r w:rsidR="00B17961" w:rsidRPr="00E1585F">
        <w:rPr>
          <w:rFonts w:ascii="Times New Roman" w:hAnsi="Times New Roman" w:cs="Times New Roman"/>
          <w:lang w:val="nl-NL"/>
        </w:rPr>
        <w:t xml:space="preserve">thuiszorgvoorziening </w:t>
      </w:r>
      <w:r w:rsidR="00E1585F">
        <w:rPr>
          <w:rFonts w:ascii="Times New Roman" w:hAnsi="Times New Roman" w:cs="Times New Roman"/>
          <w:lang w:val="nl-NL"/>
        </w:rPr>
        <w:t>de gerealiseerde uitbreiding.</w:t>
      </w:r>
    </w:p>
    <w:p w:rsidR="00DB3571" w:rsidRPr="00E1585F" w:rsidRDefault="00E922FC" w:rsidP="00E922FC">
      <w:pPr>
        <w:rPr>
          <w:rFonts w:ascii="Times New Roman" w:hAnsi="Times New Roman" w:cs="Times New Roman"/>
        </w:rPr>
      </w:pPr>
      <w:r w:rsidRPr="00E1585F">
        <w:rPr>
          <w:rFonts w:ascii="Times New Roman" w:hAnsi="Times New Roman" w:cs="Times New Roman"/>
          <w:lang w:val="nl-NL"/>
        </w:rPr>
        <w:t>Gezinszorg en aanvullende thuiszorg</w:t>
      </w:r>
      <w:r w:rsidR="00E1585F">
        <w:rPr>
          <w:rFonts w:ascii="Times New Roman" w:hAnsi="Times New Roman" w:cs="Times New Roman"/>
          <w:lang w:val="nl-NL"/>
        </w:rPr>
        <w:t>:</w:t>
      </w:r>
      <w:r w:rsidR="00DB3571" w:rsidRPr="00E1585F">
        <w:rPr>
          <w:rFonts w:ascii="Times New Roman" w:hAnsi="Times New Roman" w:cs="Times New Roman"/>
          <w:lang w:val="nl-NL"/>
        </w:rPr>
        <w:fldChar w:fldCharType="begin"/>
      </w:r>
      <w:r w:rsidR="00DB3571" w:rsidRPr="00E1585F">
        <w:rPr>
          <w:rFonts w:ascii="Times New Roman" w:hAnsi="Times New Roman" w:cs="Times New Roman"/>
          <w:lang w:val="nl-NL"/>
        </w:rPr>
        <w:instrText xml:space="preserve"> LINK Excel.Sheet.12 "C:\\Users\\scheerer\\AppData\\Local\\Microsoft\\Windows\\Temporary Internet Files\\Content.Outlook\\0YP7EIPT\\Evolutie urencontingent gezinszorg 2000-2013.xlsx" "Blad1!R1K1:R6K4" \a \f 4 \h </w:instrText>
      </w:r>
      <w:r w:rsidR="00E1585F" w:rsidRPr="00E1585F">
        <w:rPr>
          <w:rFonts w:ascii="Times New Roman" w:hAnsi="Times New Roman" w:cs="Times New Roman"/>
          <w:lang w:val="nl-NL"/>
        </w:rPr>
        <w:instrText xml:space="preserve"> \* MERGEFORMAT </w:instrText>
      </w:r>
      <w:r w:rsidR="00DB3571" w:rsidRPr="00E1585F">
        <w:rPr>
          <w:rFonts w:ascii="Times New Roman" w:hAnsi="Times New Roman" w:cs="Times New Roman"/>
          <w:lang w:val="nl-NL"/>
        </w:rPr>
        <w:fldChar w:fldCharType="separate"/>
      </w:r>
    </w:p>
    <w:tbl>
      <w:tblPr>
        <w:tblW w:w="510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1600"/>
        <w:gridCol w:w="1440"/>
        <w:gridCol w:w="960"/>
      </w:tblGrid>
      <w:tr w:rsidR="00DB3571" w:rsidRPr="00E1585F" w:rsidTr="00DB3571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71" w:rsidRPr="00E1585F" w:rsidRDefault="00DB3571" w:rsidP="00DB35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71" w:rsidRPr="00E1585F" w:rsidRDefault="00DB3571" w:rsidP="00DB3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Totaal UC GZ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71" w:rsidRPr="00E1585F" w:rsidRDefault="00DB3571" w:rsidP="00DB3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 xml:space="preserve">Extra uren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71" w:rsidRPr="00E1585F" w:rsidRDefault="00DB3571" w:rsidP="00DB3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%-groei</w:t>
            </w:r>
          </w:p>
        </w:tc>
      </w:tr>
      <w:tr w:rsidR="00DB3571" w:rsidRPr="00E1585F" w:rsidTr="00DB3571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71" w:rsidRPr="00E1585F" w:rsidRDefault="00DB3571" w:rsidP="00DB35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71" w:rsidRPr="00E1585F" w:rsidRDefault="00DB3571" w:rsidP="00DB3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16.192.050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71" w:rsidRPr="00E1585F" w:rsidRDefault="00DB3571" w:rsidP="00DB3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629.586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71" w:rsidRPr="00E1585F" w:rsidRDefault="00DB3571" w:rsidP="00DB3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4,05</w:t>
            </w:r>
          </w:p>
        </w:tc>
      </w:tr>
      <w:tr w:rsidR="00DB3571" w:rsidRPr="00E1585F" w:rsidTr="00DB3571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71" w:rsidRPr="00E1585F" w:rsidRDefault="00DB3571" w:rsidP="00DB35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71" w:rsidRPr="00E1585F" w:rsidRDefault="00DB3571" w:rsidP="00DB3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16.341.913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71" w:rsidRPr="00E1585F" w:rsidRDefault="00DB3571" w:rsidP="00DB3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149.863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71" w:rsidRPr="00E1585F" w:rsidRDefault="00DB3571" w:rsidP="00DB3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0,93</w:t>
            </w:r>
          </w:p>
        </w:tc>
      </w:tr>
      <w:tr w:rsidR="00DB3571" w:rsidRPr="00E1585F" w:rsidTr="00DB3571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71" w:rsidRPr="00E1585F" w:rsidRDefault="00DB3571" w:rsidP="00DB35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71" w:rsidRPr="00E1585F" w:rsidRDefault="00DB3571" w:rsidP="00DB3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16.638.242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71" w:rsidRPr="00E1585F" w:rsidRDefault="00DB3571" w:rsidP="00DB3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296.329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71" w:rsidRPr="00E1585F" w:rsidRDefault="00DB3571" w:rsidP="00DB3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1,81</w:t>
            </w:r>
          </w:p>
        </w:tc>
      </w:tr>
      <w:tr w:rsidR="00DB3571" w:rsidRPr="00E1585F" w:rsidTr="00DB3571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71" w:rsidRPr="00E1585F" w:rsidRDefault="00DB3571" w:rsidP="00DB35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71" w:rsidRPr="00E1585F" w:rsidRDefault="00DB3571" w:rsidP="00DB3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16.966.775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71" w:rsidRPr="00E1585F" w:rsidRDefault="00DB3571" w:rsidP="00DB3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328.533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71" w:rsidRPr="00E1585F" w:rsidRDefault="00DB3571" w:rsidP="00DB3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1,97</w:t>
            </w:r>
          </w:p>
        </w:tc>
      </w:tr>
      <w:tr w:rsidR="00DB3571" w:rsidRPr="00E1585F" w:rsidTr="00DB3571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71" w:rsidRPr="00E1585F" w:rsidRDefault="00DB3571" w:rsidP="00DB35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71" w:rsidRPr="00E1585F" w:rsidRDefault="00DB3571" w:rsidP="00DB3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17.323.914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71" w:rsidRPr="00E1585F" w:rsidRDefault="00DB3571" w:rsidP="00DB3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357.139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71" w:rsidRPr="00E1585F" w:rsidRDefault="00DB3571" w:rsidP="00DB3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2,1</w:t>
            </w:r>
          </w:p>
        </w:tc>
      </w:tr>
    </w:tbl>
    <w:p w:rsidR="00DB3571" w:rsidRPr="00E1585F" w:rsidRDefault="00DB3571" w:rsidP="00E922FC">
      <w:pPr>
        <w:rPr>
          <w:rFonts w:ascii="Times New Roman" w:hAnsi="Times New Roman" w:cs="Times New Roman"/>
          <w:u w:val="single"/>
          <w:lang w:val="nl-NL"/>
        </w:rPr>
      </w:pPr>
      <w:r w:rsidRPr="00E1585F">
        <w:rPr>
          <w:rFonts w:ascii="Times New Roman" w:hAnsi="Times New Roman" w:cs="Times New Roman"/>
          <w:u w:val="single"/>
          <w:lang w:val="nl-NL"/>
        </w:rPr>
        <w:fldChar w:fldCharType="end"/>
      </w:r>
    </w:p>
    <w:tbl>
      <w:tblPr>
        <w:tblW w:w="798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960"/>
        <w:gridCol w:w="960"/>
        <w:gridCol w:w="960"/>
        <w:gridCol w:w="960"/>
        <w:gridCol w:w="960"/>
      </w:tblGrid>
      <w:tr w:rsidR="00E922FC" w:rsidRPr="00E1585F" w:rsidTr="00E922FC">
        <w:trPr>
          <w:trHeight w:val="30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Extra uren gezinszorg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2009</w:t>
            </w:r>
          </w:p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(uren)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2010</w:t>
            </w:r>
          </w:p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(uren)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2011</w:t>
            </w:r>
          </w:p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(uren)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2012</w:t>
            </w:r>
          </w:p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(uren)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2013</w:t>
            </w:r>
          </w:p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(uren)</w:t>
            </w:r>
          </w:p>
        </w:tc>
      </w:tr>
      <w:tr w:rsidR="00E922FC" w:rsidRPr="00E1585F" w:rsidTr="00E922FC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Provincie Antwerpen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176.654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38.329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84.962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86.646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90.725</w:t>
            </w:r>
          </w:p>
        </w:tc>
      </w:tr>
      <w:tr w:rsidR="00E922FC" w:rsidRPr="00E1585F" w:rsidTr="00E922FC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Provincie Limburg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98.056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28.371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44.911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48.956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35.518</w:t>
            </w:r>
          </w:p>
        </w:tc>
      </w:tr>
      <w:tr w:rsidR="00E922FC" w:rsidRPr="00E1585F" w:rsidTr="00E922FC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Provincie Oost-Vlaanderen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128.715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29.746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58.761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67.211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62.141</w:t>
            </w:r>
          </w:p>
        </w:tc>
      </w:tr>
      <w:tr w:rsidR="00E922FC" w:rsidRPr="00E1585F" w:rsidTr="00E922FC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Provincie Vlaams-Brabant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126.607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40.218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69.190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85.133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92.918</w:t>
            </w:r>
          </w:p>
        </w:tc>
      </w:tr>
      <w:tr w:rsidR="00E922FC" w:rsidRPr="00E1585F" w:rsidTr="00E922FC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Provincie West-Vlaanderen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72.080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13.199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35.383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30.359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59.654</w:t>
            </w:r>
          </w:p>
        </w:tc>
      </w:tr>
      <w:tr w:rsidR="00E922FC" w:rsidRPr="00E1585F" w:rsidTr="00E922FC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Brussel- hoofdstad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27.474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0</w:t>
            </w:r>
          </w:p>
        </w:tc>
      </w:tr>
      <w:tr w:rsidR="00E922FC" w:rsidRPr="00E1585F" w:rsidTr="00E922FC">
        <w:trPr>
          <w:trHeight w:val="30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Meerlingenhulp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3.122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10.228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16.183</w:t>
            </w:r>
          </w:p>
        </w:tc>
      </w:tr>
      <w:tr w:rsidR="00E922FC" w:rsidRPr="00E1585F" w:rsidTr="00E922FC">
        <w:trPr>
          <w:trHeight w:val="300"/>
        </w:trPr>
        <w:tc>
          <w:tcPr>
            <w:tcW w:w="318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Totaal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629.586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149.863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296.329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328.533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357.139</w:t>
            </w:r>
          </w:p>
        </w:tc>
      </w:tr>
    </w:tbl>
    <w:p w:rsidR="00E922FC" w:rsidRPr="00E1585F" w:rsidRDefault="00E922FC" w:rsidP="00E922FC">
      <w:pPr>
        <w:spacing w:after="0" w:line="240" w:lineRule="auto"/>
        <w:rPr>
          <w:rFonts w:eastAsia="Calibri" w:cstheme="minorHAnsi"/>
          <w:color w:val="1F497D"/>
          <w:sz w:val="18"/>
          <w:szCs w:val="18"/>
        </w:rPr>
      </w:pPr>
    </w:p>
    <w:p w:rsidR="007850CE" w:rsidRPr="00E1585F" w:rsidRDefault="007850CE" w:rsidP="00E922FC">
      <w:pPr>
        <w:spacing w:after="0" w:line="240" w:lineRule="auto"/>
        <w:rPr>
          <w:rFonts w:ascii="Times New Roman" w:hAnsi="Times New Roman" w:cs="Times New Roman"/>
          <w:lang w:val="nl-NL"/>
        </w:rPr>
      </w:pPr>
      <w:r w:rsidRPr="00E1585F">
        <w:rPr>
          <w:rFonts w:ascii="Times New Roman" w:hAnsi="Times New Roman" w:cs="Times New Roman"/>
          <w:lang w:val="nl-NL"/>
        </w:rPr>
        <w:t>Het subsidiabel urencontingent gezinszorg 2014 werd nog niet vastgelegd door de Vlaamse Regering.</w:t>
      </w:r>
    </w:p>
    <w:p w:rsidR="007850CE" w:rsidRPr="00E1585F" w:rsidRDefault="007850CE" w:rsidP="00E922FC">
      <w:pPr>
        <w:spacing w:after="0" w:line="240" w:lineRule="auto"/>
        <w:rPr>
          <w:rFonts w:ascii="Times New Roman" w:hAnsi="Times New Roman" w:cs="Times New Roman"/>
          <w:lang w:val="nl-NL"/>
        </w:rPr>
      </w:pPr>
    </w:p>
    <w:p w:rsidR="00E922FC" w:rsidRPr="00E1585F" w:rsidRDefault="00DB3571" w:rsidP="00E922FC">
      <w:pPr>
        <w:spacing w:after="0" w:line="240" w:lineRule="auto"/>
        <w:rPr>
          <w:rFonts w:ascii="Times New Roman" w:hAnsi="Times New Roman" w:cs="Times New Roman"/>
          <w:lang w:val="nl-NL"/>
        </w:rPr>
      </w:pPr>
      <w:r w:rsidRPr="00E1585F">
        <w:rPr>
          <w:rFonts w:ascii="Times New Roman" w:hAnsi="Times New Roman" w:cs="Times New Roman"/>
          <w:lang w:val="nl-NL"/>
        </w:rPr>
        <w:t>In 2012 werd een uitbreiding van de aanvullende thuiszorg gerealiseerd met 26 VTE doelgroep</w:t>
      </w:r>
      <w:r w:rsidR="007850CE" w:rsidRPr="00E1585F">
        <w:rPr>
          <w:rFonts w:ascii="Times New Roman" w:hAnsi="Times New Roman" w:cs="Times New Roman"/>
          <w:lang w:val="nl-NL"/>
        </w:rPr>
        <w:t>-</w:t>
      </w:r>
      <w:r w:rsidRPr="00E1585F">
        <w:rPr>
          <w:rFonts w:ascii="Times New Roman" w:hAnsi="Times New Roman" w:cs="Times New Roman"/>
          <w:lang w:val="nl-NL"/>
        </w:rPr>
        <w:t xml:space="preserve">werknemers. </w:t>
      </w:r>
      <w:r w:rsidR="007850CE" w:rsidRPr="00E1585F">
        <w:rPr>
          <w:rFonts w:ascii="Times New Roman" w:hAnsi="Times New Roman" w:cs="Times New Roman"/>
          <w:lang w:val="nl-NL"/>
        </w:rPr>
        <w:t xml:space="preserve">Met de interne staatshervorming werd het aantal logistiek medewerkers uitgebreid met 6,3 VTE. Een provinciale verdeling van deze extra </w:t>
      </w:r>
      <w:proofErr w:type="spellStart"/>
      <w:r w:rsidR="007850CE" w:rsidRPr="00E1585F">
        <w:rPr>
          <w:rFonts w:ascii="Times New Roman" w:hAnsi="Times New Roman" w:cs="Times New Roman"/>
          <w:lang w:val="nl-NL"/>
        </w:rPr>
        <w:t>VTE’s</w:t>
      </w:r>
      <w:proofErr w:type="spellEnd"/>
      <w:r w:rsidR="007850CE" w:rsidRPr="00E1585F">
        <w:rPr>
          <w:rFonts w:ascii="Times New Roman" w:hAnsi="Times New Roman" w:cs="Times New Roman"/>
          <w:lang w:val="nl-NL"/>
        </w:rPr>
        <w:t xml:space="preserve"> is niet mogelijk aangezien een deel van deze </w:t>
      </w:r>
      <w:proofErr w:type="spellStart"/>
      <w:r w:rsidR="007850CE" w:rsidRPr="00E1585F">
        <w:rPr>
          <w:rFonts w:ascii="Times New Roman" w:hAnsi="Times New Roman" w:cs="Times New Roman"/>
          <w:lang w:val="nl-NL"/>
        </w:rPr>
        <w:t>VTE’s</w:t>
      </w:r>
      <w:proofErr w:type="spellEnd"/>
      <w:r w:rsidR="007850CE" w:rsidRPr="00E1585F">
        <w:rPr>
          <w:rFonts w:ascii="Times New Roman" w:hAnsi="Times New Roman" w:cs="Times New Roman"/>
          <w:lang w:val="nl-NL"/>
        </w:rPr>
        <w:t xml:space="preserve"> toegewezen wordt aan vzw’s die werkzaam zijn over gans Vlaanderen.</w:t>
      </w:r>
    </w:p>
    <w:p w:rsidR="00E922FC" w:rsidRDefault="00E922FC" w:rsidP="00E922FC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</w:p>
    <w:p w:rsidR="00E1585F" w:rsidRPr="00E1585F" w:rsidRDefault="00E1585F" w:rsidP="00E922FC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</w:p>
    <w:p w:rsidR="006E5F74" w:rsidRPr="00E1585F" w:rsidRDefault="006E5F74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  <w:r w:rsidRPr="00E1585F">
        <w:rPr>
          <w:rFonts w:ascii="Times New Roman" w:eastAsia="Times New Roman" w:hAnsi="Times New Roman" w:cs="Times New Roman"/>
          <w:color w:val="000000"/>
          <w:lang w:eastAsia="nl-BE"/>
        </w:rPr>
        <w:t>Lokale dienstencentra</w:t>
      </w:r>
      <w:r w:rsidR="00E1585F">
        <w:rPr>
          <w:rFonts w:ascii="Times New Roman" w:eastAsia="Times New Roman" w:hAnsi="Times New Roman" w:cs="Times New Roman"/>
          <w:color w:val="000000"/>
          <w:lang w:eastAsia="nl-BE"/>
        </w:rPr>
        <w:t>:</w:t>
      </w:r>
    </w:p>
    <w:p w:rsidR="006E5F74" w:rsidRPr="00E1585F" w:rsidRDefault="006E5F74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nl-BE"/>
        </w:rPr>
      </w:pPr>
    </w:p>
    <w:p w:rsidR="006E5F74" w:rsidRPr="00E1585F" w:rsidRDefault="006E5F74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  <w:r w:rsidRPr="00E1585F">
        <w:rPr>
          <w:rFonts w:ascii="Times New Roman" w:hAnsi="Times New Roman" w:cs="Times New Roman"/>
          <w:noProof/>
          <w:lang w:eastAsia="nl-BE"/>
        </w:rPr>
        <w:drawing>
          <wp:inline distT="0" distB="0" distL="0" distR="0" wp14:anchorId="69E206FC" wp14:editId="1F32D43B">
            <wp:extent cx="6493113" cy="1238250"/>
            <wp:effectExtent l="0" t="0" r="317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117" cy="124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F74" w:rsidRPr="00E1585F" w:rsidRDefault="00577FE5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  <w:r w:rsidRPr="00E1585F">
        <w:rPr>
          <w:rFonts w:ascii="Times New Roman" w:eastAsia="Times New Roman" w:hAnsi="Times New Roman" w:cs="Times New Roman"/>
          <w:color w:val="000000"/>
          <w:lang w:eastAsia="nl-BE"/>
        </w:rPr>
        <w:t>* Altijd de toestand 1/01 van het volgende jaar</w:t>
      </w:r>
    </w:p>
    <w:p w:rsidR="00764AE4" w:rsidRPr="00E1585F" w:rsidRDefault="00764AE4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nl-BE"/>
        </w:rPr>
      </w:pPr>
    </w:p>
    <w:p w:rsidR="00B17961" w:rsidRPr="00E1585F" w:rsidRDefault="00B17961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nl-BE"/>
        </w:rPr>
      </w:pPr>
    </w:p>
    <w:p w:rsidR="00B17961" w:rsidRPr="00E1585F" w:rsidRDefault="00B17961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nl-BE"/>
        </w:rPr>
      </w:pPr>
    </w:p>
    <w:p w:rsidR="00B17961" w:rsidRPr="00E1585F" w:rsidRDefault="00B17961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nl-BE"/>
        </w:rPr>
      </w:pPr>
    </w:p>
    <w:p w:rsidR="00B17961" w:rsidRPr="00E1585F" w:rsidRDefault="00B17961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nl-BE"/>
        </w:rPr>
      </w:pPr>
    </w:p>
    <w:p w:rsidR="00B17961" w:rsidRPr="00E1585F" w:rsidRDefault="00B17961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nl-BE"/>
        </w:rPr>
      </w:pPr>
    </w:p>
    <w:p w:rsidR="00B17961" w:rsidRDefault="00B17961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nl-BE"/>
        </w:rPr>
      </w:pPr>
    </w:p>
    <w:p w:rsidR="00E1585F" w:rsidRPr="00E1585F" w:rsidRDefault="00E1585F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nl-BE"/>
        </w:rPr>
      </w:pPr>
    </w:p>
    <w:p w:rsidR="006E5F74" w:rsidRPr="00E1585F" w:rsidRDefault="006E5F74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  <w:r w:rsidRPr="00E1585F">
        <w:rPr>
          <w:rFonts w:ascii="Times New Roman" w:eastAsia="Times New Roman" w:hAnsi="Times New Roman" w:cs="Times New Roman"/>
          <w:color w:val="000000"/>
          <w:lang w:eastAsia="nl-BE"/>
        </w:rPr>
        <w:lastRenderedPageBreak/>
        <w:t>Regionale dienstencentra</w:t>
      </w:r>
      <w:r w:rsidR="00E1585F">
        <w:rPr>
          <w:rFonts w:ascii="Times New Roman" w:eastAsia="Times New Roman" w:hAnsi="Times New Roman" w:cs="Times New Roman"/>
          <w:color w:val="000000"/>
          <w:lang w:eastAsia="nl-BE"/>
        </w:rPr>
        <w:t>:</w:t>
      </w:r>
    </w:p>
    <w:p w:rsidR="006E5F74" w:rsidRPr="00E1585F" w:rsidRDefault="006E5F74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nl-BE"/>
        </w:rPr>
      </w:pPr>
    </w:p>
    <w:p w:rsidR="006E5F74" w:rsidRPr="00E1585F" w:rsidRDefault="006E5F74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  <w:r w:rsidRPr="00E1585F">
        <w:rPr>
          <w:rFonts w:ascii="Times New Roman" w:hAnsi="Times New Roman" w:cs="Times New Roman"/>
          <w:noProof/>
          <w:lang w:eastAsia="nl-BE"/>
        </w:rPr>
        <w:drawing>
          <wp:inline distT="0" distB="0" distL="0" distR="0" wp14:anchorId="7C04975F" wp14:editId="573023B4">
            <wp:extent cx="6496050" cy="1238811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066" cy="124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AE4" w:rsidRPr="00E1585F" w:rsidRDefault="00764AE4" w:rsidP="00764A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  <w:r w:rsidRPr="00E1585F">
        <w:rPr>
          <w:rFonts w:ascii="Times New Roman" w:eastAsia="Times New Roman" w:hAnsi="Times New Roman" w:cs="Times New Roman"/>
          <w:color w:val="000000"/>
          <w:lang w:eastAsia="nl-BE"/>
        </w:rPr>
        <w:t>* Altijd de toestand 1/01 van het volgende jaar</w:t>
      </w:r>
    </w:p>
    <w:p w:rsidR="006E5F74" w:rsidRPr="00E1585F" w:rsidRDefault="006E5F74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nl-BE"/>
        </w:rPr>
      </w:pPr>
    </w:p>
    <w:p w:rsidR="00764AE4" w:rsidRPr="00E1585F" w:rsidRDefault="00764AE4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nl-BE"/>
        </w:rPr>
      </w:pPr>
    </w:p>
    <w:p w:rsidR="00BD66E6" w:rsidRPr="00E1585F" w:rsidRDefault="00BD66E6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  <w:r w:rsidRPr="00E1585F">
        <w:rPr>
          <w:rFonts w:ascii="Times New Roman" w:eastAsia="Times New Roman" w:hAnsi="Times New Roman" w:cs="Times New Roman"/>
          <w:color w:val="000000"/>
          <w:lang w:eastAsia="nl-BE"/>
        </w:rPr>
        <w:t>Diensten voor oppashulp</w:t>
      </w:r>
      <w:r w:rsidR="00E1585F">
        <w:rPr>
          <w:rFonts w:ascii="Times New Roman" w:eastAsia="Times New Roman" w:hAnsi="Times New Roman" w:cs="Times New Roman"/>
          <w:color w:val="000000"/>
          <w:lang w:eastAsia="nl-BE"/>
        </w:rPr>
        <w:t>:</w:t>
      </w:r>
    </w:p>
    <w:p w:rsidR="00BD66E6" w:rsidRPr="00E1585F" w:rsidRDefault="00BD66E6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nl-BE"/>
        </w:rPr>
      </w:pPr>
    </w:p>
    <w:p w:rsidR="00BD66E6" w:rsidRPr="00E1585F" w:rsidRDefault="00577FE5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  <w:r w:rsidRPr="00E1585F">
        <w:rPr>
          <w:rFonts w:ascii="Times New Roman" w:hAnsi="Times New Roman" w:cs="Times New Roman"/>
          <w:noProof/>
          <w:lang w:eastAsia="nl-BE"/>
        </w:rPr>
        <w:drawing>
          <wp:inline distT="0" distB="0" distL="0" distR="0" wp14:anchorId="6CD68488" wp14:editId="7CA754EE">
            <wp:extent cx="6493113" cy="1238250"/>
            <wp:effectExtent l="0" t="0" r="317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117" cy="124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AE4" w:rsidRPr="00E1585F" w:rsidRDefault="00764AE4" w:rsidP="00764A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  <w:r w:rsidRPr="00E1585F">
        <w:rPr>
          <w:rFonts w:ascii="Times New Roman" w:eastAsia="Times New Roman" w:hAnsi="Times New Roman" w:cs="Times New Roman"/>
          <w:color w:val="000000"/>
          <w:lang w:eastAsia="nl-BE"/>
        </w:rPr>
        <w:t>* Altijd de toestand 1/01 van het volgende jaar</w:t>
      </w:r>
    </w:p>
    <w:p w:rsidR="00BD66E6" w:rsidRDefault="00BD66E6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nl-BE"/>
        </w:rPr>
      </w:pPr>
    </w:p>
    <w:p w:rsidR="00E1585F" w:rsidRPr="00E1585F" w:rsidRDefault="00E1585F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nl-BE"/>
        </w:rPr>
      </w:pPr>
    </w:p>
    <w:p w:rsidR="00577FE5" w:rsidRDefault="00B17961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  <w:r w:rsidRPr="00E1585F">
        <w:rPr>
          <w:rFonts w:ascii="Times New Roman" w:eastAsia="Times New Roman" w:hAnsi="Times New Roman" w:cs="Times New Roman"/>
          <w:color w:val="000000"/>
          <w:lang w:eastAsia="nl-BE"/>
        </w:rPr>
        <w:t xml:space="preserve">Groei urencontingent </w:t>
      </w:r>
      <w:r w:rsidR="006905B1" w:rsidRPr="00E1585F">
        <w:rPr>
          <w:rFonts w:ascii="Times New Roman" w:eastAsia="Times New Roman" w:hAnsi="Times New Roman" w:cs="Times New Roman"/>
          <w:color w:val="000000"/>
          <w:lang w:eastAsia="nl-BE"/>
        </w:rPr>
        <w:t xml:space="preserve">(UC) </w:t>
      </w:r>
      <w:r w:rsidRPr="00E1585F">
        <w:rPr>
          <w:rFonts w:ascii="Times New Roman" w:eastAsia="Times New Roman" w:hAnsi="Times New Roman" w:cs="Times New Roman"/>
          <w:color w:val="000000"/>
          <w:lang w:eastAsia="nl-BE"/>
        </w:rPr>
        <w:t>vrijwilligersoppas</w:t>
      </w:r>
      <w:r w:rsidR="00E1585F">
        <w:rPr>
          <w:rFonts w:ascii="Times New Roman" w:eastAsia="Times New Roman" w:hAnsi="Times New Roman" w:cs="Times New Roman"/>
          <w:color w:val="000000"/>
          <w:lang w:eastAsia="nl-BE"/>
        </w:rPr>
        <w:t>:</w:t>
      </w:r>
    </w:p>
    <w:p w:rsidR="00E1585F" w:rsidRPr="00E1585F" w:rsidRDefault="00E1585F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</w:p>
    <w:tbl>
      <w:tblPr>
        <w:tblW w:w="3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580"/>
        <w:gridCol w:w="960"/>
      </w:tblGrid>
      <w:tr w:rsidR="00550EE1" w:rsidRPr="00E1585F" w:rsidTr="00550EE1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Totaal UC Oppas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Groei</w:t>
            </w: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br/>
              <w:t>(uren)</w:t>
            </w:r>
          </w:p>
        </w:tc>
      </w:tr>
      <w:tr w:rsidR="00550EE1" w:rsidRPr="00E1585F" w:rsidTr="00550EE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807.274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550EE1" w:rsidRPr="00E1585F" w:rsidTr="00550EE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966.306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159.032</w:t>
            </w:r>
          </w:p>
        </w:tc>
      </w:tr>
      <w:tr w:rsidR="00550EE1" w:rsidRPr="00E1585F" w:rsidTr="00550EE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1.012.501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46.195</w:t>
            </w:r>
          </w:p>
        </w:tc>
      </w:tr>
      <w:tr w:rsidR="00550EE1" w:rsidRPr="00E1585F" w:rsidTr="00550EE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1.019.500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6.999</w:t>
            </w:r>
          </w:p>
        </w:tc>
      </w:tr>
      <w:tr w:rsidR="00550EE1" w:rsidRPr="00E1585F" w:rsidTr="00550EE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1.043.268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23.768</w:t>
            </w:r>
          </w:p>
        </w:tc>
      </w:tr>
      <w:tr w:rsidR="00550EE1" w:rsidRPr="00E1585F" w:rsidTr="00550EE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1.043.268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0</w:t>
            </w:r>
          </w:p>
        </w:tc>
      </w:tr>
    </w:tbl>
    <w:p w:rsidR="00550EE1" w:rsidRPr="00E1585F" w:rsidRDefault="00550EE1" w:rsidP="00753DC0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u w:val="single"/>
          <w:lang w:eastAsia="nl-BE"/>
        </w:rPr>
      </w:pPr>
    </w:p>
    <w:p w:rsidR="00550EE1" w:rsidRPr="00E1585F" w:rsidRDefault="00550EE1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nl-BE"/>
        </w:rPr>
      </w:pPr>
    </w:p>
    <w:p w:rsidR="00EE448E" w:rsidRPr="00E1585F" w:rsidRDefault="00EE448E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  <w:r w:rsidRPr="00E1585F">
        <w:rPr>
          <w:rFonts w:ascii="Times New Roman" w:eastAsia="Times New Roman" w:hAnsi="Times New Roman" w:cs="Times New Roman"/>
          <w:color w:val="000000"/>
          <w:lang w:eastAsia="nl-BE"/>
        </w:rPr>
        <w:t>Diensten voor gastopvang</w:t>
      </w:r>
      <w:r w:rsidR="00E1585F">
        <w:rPr>
          <w:rFonts w:ascii="Times New Roman" w:eastAsia="Times New Roman" w:hAnsi="Times New Roman" w:cs="Times New Roman"/>
          <w:color w:val="000000"/>
          <w:lang w:eastAsia="nl-BE"/>
        </w:rPr>
        <w:t>:</w:t>
      </w:r>
    </w:p>
    <w:p w:rsidR="00EE448E" w:rsidRPr="00E1585F" w:rsidRDefault="00EE448E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nl-BE"/>
        </w:rPr>
      </w:pPr>
    </w:p>
    <w:p w:rsidR="00521A21" w:rsidRPr="00E1585F" w:rsidRDefault="00EE448E" w:rsidP="005F777B">
      <w:pPr>
        <w:spacing w:after="0" w:line="240" w:lineRule="auto"/>
        <w:rPr>
          <w:rFonts w:ascii="Times New Roman" w:hAnsi="Times New Roman" w:cs="Times New Roman"/>
          <w:lang w:val="nl-NL"/>
        </w:rPr>
      </w:pPr>
      <w:r w:rsidRPr="00E1585F">
        <w:rPr>
          <w:rFonts w:ascii="Times New Roman" w:hAnsi="Times New Roman" w:cs="Times New Roman"/>
          <w:lang w:val="nl-NL"/>
        </w:rPr>
        <w:t xml:space="preserve">Het programma van de diensten voor gastopvang </w:t>
      </w:r>
      <w:r w:rsidR="005F777B" w:rsidRPr="00E1585F">
        <w:rPr>
          <w:rFonts w:ascii="Times New Roman" w:hAnsi="Times New Roman" w:cs="Times New Roman"/>
          <w:lang w:val="nl-NL"/>
        </w:rPr>
        <w:t>werd</w:t>
      </w:r>
      <w:r w:rsidRPr="00E1585F">
        <w:rPr>
          <w:rFonts w:ascii="Times New Roman" w:hAnsi="Times New Roman" w:cs="Times New Roman"/>
          <w:lang w:val="nl-NL"/>
        </w:rPr>
        <w:t xml:space="preserve"> </w:t>
      </w:r>
      <w:r w:rsidR="005F777B" w:rsidRPr="00E1585F">
        <w:rPr>
          <w:rFonts w:ascii="Times New Roman" w:hAnsi="Times New Roman" w:cs="Times New Roman"/>
          <w:lang w:val="nl-NL"/>
        </w:rPr>
        <w:t xml:space="preserve">bij de inwerkingtreding van het woonzorgdecreet </w:t>
      </w:r>
      <w:r w:rsidRPr="00E1585F">
        <w:rPr>
          <w:rFonts w:ascii="Times New Roman" w:hAnsi="Times New Roman" w:cs="Times New Roman"/>
          <w:lang w:val="nl-NL"/>
        </w:rPr>
        <w:t>bepaald op 6.</w:t>
      </w:r>
      <w:r w:rsidR="005F777B" w:rsidRPr="00E1585F">
        <w:rPr>
          <w:rFonts w:ascii="Times New Roman" w:hAnsi="Times New Roman" w:cs="Times New Roman"/>
          <w:lang w:val="nl-NL"/>
        </w:rPr>
        <w:t xml:space="preserve"> </w:t>
      </w:r>
      <w:r w:rsidRPr="00E1585F">
        <w:rPr>
          <w:rFonts w:ascii="Times New Roman" w:hAnsi="Times New Roman" w:cs="Times New Roman"/>
          <w:lang w:val="nl-NL"/>
        </w:rPr>
        <w:t xml:space="preserve">De minister stelt volgens de bepalingen van het </w:t>
      </w:r>
      <w:proofErr w:type="spellStart"/>
      <w:r w:rsidRPr="00E1585F">
        <w:rPr>
          <w:rFonts w:ascii="Times New Roman" w:hAnsi="Times New Roman" w:cs="Times New Roman"/>
          <w:lang w:val="nl-NL"/>
        </w:rPr>
        <w:t>Zorgregiodecreet</w:t>
      </w:r>
      <w:proofErr w:type="spellEnd"/>
      <w:r w:rsidRPr="00E1585F">
        <w:rPr>
          <w:rFonts w:ascii="Times New Roman" w:hAnsi="Times New Roman" w:cs="Times New Roman"/>
          <w:lang w:val="nl-NL"/>
        </w:rPr>
        <w:t xml:space="preserve"> de regio's vast waarbinnen een dienst voor gastopvang kan worden erkend. Een regio is minimaal gelijk aan de som van drie aangrenzende regionale steden of aan het tweetalige gebied Brussel-Hoofdstad.</w:t>
      </w:r>
      <w:r w:rsidRPr="00E1585F">
        <w:rPr>
          <w:rFonts w:ascii="Times New Roman" w:hAnsi="Times New Roman" w:cs="Times New Roman"/>
          <w:lang w:val="nl-NL"/>
        </w:rPr>
        <w:br/>
      </w:r>
    </w:p>
    <w:p w:rsidR="00521A21" w:rsidRPr="00E1585F" w:rsidRDefault="00521A21" w:rsidP="005F777B">
      <w:pPr>
        <w:spacing w:after="0" w:line="240" w:lineRule="auto"/>
        <w:rPr>
          <w:rFonts w:ascii="Times New Roman" w:hAnsi="Times New Roman" w:cs="Times New Roman"/>
          <w:lang w:val="nl-NL"/>
        </w:rPr>
      </w:pPr>
      <w:r w:rsidRPr="00E1585F">
        <w:rPr>
          <w:rFonts w:ascii="Times New Roman" w:hAnsi="Times New Roman" w:cs="Times New Roman"/>
          <w:lang w:val="nl-NL"/>
        </w:rPr>
        <w:t>In 2011 zij 5 initiatieven gestart en erkend. Twee hiervan zijn echter met hun activiteiten gestopt.</w:t>
      </w:r>
    </w:p>
    <w:p w:rsidR="005F777B" w:rsidRPr="00E1585F" w:rsidRDefault="00521A21" w:rsidP="005F777B">
      <w:pPr>
        <w:spacing w:after="0" w:line="240" w:lineRule="auto"/>
        <w:rPr>
          <w:rFonts w:ascii="Times New Roman" w:hAnsi="Times New Roman" w:cs="Times New Roman"/>
          <w:lang w:val="nl-NL"/>
        </w:rPr>
      </w:pPr>
      <w:r w:rsidRPr="00E1585F">
        <w:rPr>
          <w:rFonts w:ascii="Times New Roman" w:hAnsi="Times New Roman" w:cs="Times New Roman"/>
          <w:lang w:val="nl-NL"/>
        </w:rPr>
        <w:t>M</w:t>
      </w:r>
      <w:r w:rsidR="005F777B" w:rsidRPr="00E1585F">
        <w:rPr>
          <w:rFonts w:ascii="Times New Roman" w:hAnsi="Times New Roman" w:cs="Times New Roman"/>
          <w:lang w:val="nl-NL"/>
        </w:rPr>
        <w:t xml:space="preserve">omenteel </w:t>
      </w:r>
      <w:r w:rsidRPr="00E1585F">
        <w:rPr>
          <w:rFonts w:ascii="Times New Roman" w:hAnsi="Times New Roman" w:cs="Times New Roman"/>
          <w:lang w:val="nl-NL"/>
        </w:rPr>
        <w:t xml:space="preserve">zijn er dus nog </w:t>
      </w:r>
      <w:r w:rsidR="005F777B" w:rsidRPr="00E1585F">
        <w:rPr>
          <w:rFonts w:ascii="Times New Roman" w:hAnsi="Times New Roman" w:cs="Times New Roman"/>
          <w:lang w:val="nl-NL"/>
        </w:rPr>
        <w:t>3 diensten voor gastopvang erkend</w:t>
      </w:r>
      <w:r w:rsidRPr="00E1585F">
        <w:rPr>
          <w:rFonts w:ascii="Times New Roman" w:hAnsi="Times New Roman" w:cs="Times New Roman"/>
          <w:lang w:val="nl-NL"/>
        </w:rPr>
        <w:t xml:space="preserve">. Deze diensten zijn werkzaam in de volgende </w:t>
      </w:r>
      <w:r w:rsidR="005F777B" w:rsidRPr="00E1585F">
        <w:rPr>
          <w:rFonts w:ascii="Times New Roman" w:hAnsi="Times New Roman" w:cs="Times New Roman"/>
          <w:lang w:val="nl-NL"/>
        </w:rPr>
        <w:t>werkingsgebieden: regio Genk, Hasselt en Leuven; regio Leuven, Brussel en Aalst en regio Antwerpen, Mechelen en Turnhout.</w:t>
      </w:r>
    </w:p>
    <w:p w:rsidR="00521A21" w:rsidRPr="00E1585F" w:rsidRDefault="00521A21" w:rsidP="005F777B">
      <w:pPr>
        <w:spacing w:after="0" w:line="240" w:lineRule="auto"/>
        <w:rPr>
          <w:rFonts w:ascii="Times New Roman" w:hAnsi="Times New Roman" w:cs="Times New Roman"/>
          <w:lang w:val="nl-NL"/>
        </w:rPr>
      </w:pPr>
      <w:r w:rsidRPr="00E1585F">
        <w:rPr>
          <w:rFonts w:ascii="Times New Roman" w:hAnsi="Times New Roman" w:cs="Times New Roman"/>
          <w:lang w:val="nl-NL"/>
        </w:rPr>
        <w:t>Hieronder vindt u de groei van het subsidiabel urencontingent gastopvang. Een verdeling per provincie is niet mogelijk omdat de werkingsgebieden van deze diensten de provinciegrenzen overschrijden.</w:t>
      </w:r>
    </w:p>
    <w:p w:rsidR="005F777B" w:rsidRDefault="005F777B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</w:p>
    <w:p w:rsidR="00E1585F" w:rsidRDefault="00E1585F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</w:p>
    <w:p w:rsidR="00E1585F" w:rsidRDefault="00E1585F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</w:p>
    <w:p w:rsidR="00E1585F" w:rsidRPr="00E1585F" w:rsidRDefault="00E1585F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</w:p>
    <w:p w:rsidR="00B17961" w:rsidRDefault="006905B1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  <w:r w:rsidRPr="00E1585F">
        <w:rPr>
          <w:rFonts w:ascii="Times New Roman" w:eastAsia="Times New Roman" w:hAnsi="Times New Roman" w:cs="Times New Roman"/>
          <w:color w:val="000000"/>
          <w:lang w:eastAsia="nl-BE"/>
        </w:rPr>
        <w:lastRenderedPageBreak/>
        <w:t>Groei urencontingent gastopvang:</w:t>
      </w:r>
    </w:p>
    <w:p w:rsidR="00E1585F" w:rsidRPr="00E1585F" w:rsidRDefault="00E1585F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</w:p>
    <w:tbl>
      <w:tblPr>
        <w:tblW w:w="3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580"/>
        <w:gridCol w:w="960"/>
      </w:tblGrid>
      <w:tr w:rsidR="00550EE1" w:rsidRPr="00E1585F" w:rsidTr="00550EE1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Totaal UC GO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Groei</w:t>
            </w: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br/>
              <w:t>(uren)</w:t>
            </w:r>
          </w:p>
        </w:tc>
      </w:tr>
      <w:tr w:rsidR="00550EE1" w:rsidRPr="00E1585F" w:rsidTr="00550EE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23.000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550EE1" w:rsidRPr="00E1585F" w:rsidTr="00550EE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31.983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8.983</w:t>
            </w:r>
          </w:p>
        </w:tc>
      </w:tr>
      <w:tr w:rsidR="00550EE1" w:rsidRPr="00E1585F" w:rsidTr="00550EE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48.027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16.044</w:t>
            </w:r>
          </w:p>
        </w:tc>
      </w:tr>
      <w:tr w:rsidR="00550EE1" w:rsidRPr="00E1585F" w:rsidTr="00550EE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48.027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E1" w:rsidRPr="00E1585F" w:rsidRDefault="00550EE1" w:rsidP="00550E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0</w:t>
            </w:r>
          </w:p>
        </w:tc>
      </w:tr>
    </w:tbl>
    <w:p w:rsidR="00550EE1" w:rsidRPr="00E1585F" w:rsidRDefault="00550EE1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</w:p>
    <w:p w:rsidR="00550EE1" w:rsidRPr="00E1585F" w:rsidRDefault="00550EE1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</w:p>
    <w:p w:rsidR="00377283" w:rsidRPr="00E1585F" w:rsidRDefault="00377283" w:rsidP="003772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  <w:r w:rsidRPr="00E1585F">
        <w:rPr>
          <w:rFonts w:ascii="Times New Roman" w:eastAsia="Times New Roman" w:hAnsi="Times New Roman" w:cs="Times New Roman"/>
          <w:color w:val="000000"/>
          <w:lang w:eastAsia="nl-BE"/>
        </w:rPr>
        <w:t>Diensten voor thuisverpleging</w:t>
      </w:r>
      <w:r w:rsidR="00E1585F" w:rsidRPr="00E1585F">
        <w:rPr>
          <w:rFonts w:ascii="Times New Roman" w:eastAsia="Times New Roman" w:hAnsi="Times New Roman" w:cs="Times New Roman"/>
          <w:color w:val="000000"/>
          <w:lang w:eastAsia="nl-BE"/>
        </w:rPr>
        <w:t>:</w:t>
      </w:r>
    </w:p>
    <w:p w:rsidR="00377283" w:rsidRPr="00E1585F" w:rsidRDefault="00377283" w:rsidP="00377283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nl-BE"/>
        </w:rPr>
      </w:pPr>
    </w:p>
    <w:p w:rsidR="00B17961" w:rsidRPr="00E1585F" w:rsidRDefault="00B17961" w:rsidP="003772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  <w:r w:rsidRPr="00E1585F">
        <w:rPr>
          <w:rFonts w:ascii="Times New Roman" w:eastAsia="Times New Roman" w:hAnsi="Times New Roman" w:cs="Times New Roman"/>
          <w:color w:val="000000"/>
          <w:lang w:eastAsia="nl-BE"/>
        </w:rPr>
        <w:t xml:space="preserve">Met de inwerkingtreding van het Woonzorgdecreet werd de programmatie voor de diensten voor thuisverpleging vastgelegd op 250 diensten. Ondertussen zijn er reeds 195 diensten erkend. </w:t>
      </w:r>
    </w:p>
    <w:p w:rsidR="00B17961" w:rsidRPr="00E1585F" w:rsidRDefault="00B17961" w:rsidP="003772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</w:p>
    <w:p w:rsidR="00377283" w:rsidRPr="00E1585F" w:rsidRDefault="00377283" w:rsidP="003772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  <w:r w:rsidRPr="00E1585F">
        <w:rPr>
          <w:rFonts w:ascii="Times New Roman" w:eastAsia="Times New Roman" w:hAnsi="Times New Roman" w:cs="Times New Roman"/>
          <w:color w:val="000000"/>
          <w:lang w:eastAsia="nl-BE"/>
        </w:rPr>
        <w:t>Diensten voor maatschappelijk werk van de ziekenfondsen</w:t>
      </w:r>
      <w:r w:rsidR="00E1585F" w:rsidRPr="00E1585F">
        <w:rPr>
          <w:rFonts w:ascii="Times New Roman" w:eastAsia="Times New Roman" w:hAnsi="Times New Roman" w:cs="Times New Roman"/>
          <w:color w:val="000000"/>
          <w:lang w:eastAsia="nl-BE"/>
        </w:rPr>
        <w:t>:</w:t>
      </w:r>
    </w:p>
    <w:p w:rsidR="00377283" w:rsidRPr="00E1585F" w:rsidRDefault="00377283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</w:p>
    <w:tbl>
      <w:tblPr>
        <w:tblW w:w="3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550"/>
        <w:gridCol w:w="1120"/>
      </w:tblGrid>
      <w:tr w:rsidR="00D9616E" w:rsidRPr="00E1585F" w:rsidTr="00D9616E">
        <w:trPr>
          <w:trHeight w:val="60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16E" w:rsidRPr="00E1585F" w:rsidRDefault="00D9616E" w:rsidP="00D961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 xml:space="preserve">Totaal </w:t>
            </w:r>
            <w:proofErr w:type="spellStart"/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VTE's</w:t>
            </w:r>
            <w:proofErr w:type="spellEnd"/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 xml:space="preserve"> DMW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16E" w:rsidRPr="00E1585F" w:rsidRDefault="00D9616E" w:rsidP="00D961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Groei</w:t>
            </w: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br/>
              <w:t>(</w:t>
            </w:r>
            <w:proofErr w:type="spellStart"/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vte</w:t>
            </w:r>
            <w:proofErr w:type="spellEnd"/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)</w:t>
            </w:r>
          </w:p>
        </w:tc>
      </w:tr>
      <w:tr w:rsidR="00D9616E" w:rsidRPr="00E1585F" w:rsidTr="00D9616E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6E" w:rsidRPr="00E1585F" w:rsidRDefault="00D9616E" w:rsidP="00D961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6E" w:rsidRPr="00E1585F" w:rsidRDefault="00D9616E" w:rsidP="00D961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409,61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6E" w:rsidRPr="00E1585F" w:rsidRDefault="00D9616E" w:rsidP="00D961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D9616E" w:rsidRPr="00E1585F" w:rsidTr="00D9616E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6E" w:rsidRPr="00E1585F" w:rsidRDefault="00D9616E" w:rsidP="00D961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6E" w:rsidRPr="00E1585F" w:rsidRDefault="00D9616E" w:rsidP="00D961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409,61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6E" w:rsidRPr="00E1585F" w:rsidRDefault="00D9616E" w:rsidP="00D961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0,00</w:t>
            </w:r>
          </w:p>
        </w:tc>
      </w:tr>
      <w:tr w:rsidR="00D9616E" w:rsidRPr="00E1585F" w:rsidTr="00D9616E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6E" w:rsidRPr="00E1585F" w:rsidRDefault="00D9616E" w:rsidP="00D961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6E" w:rsidRPr="00E1585F" w:rsidRDefault="00D9616E" w:rsidP="00D961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417,24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6E" w:rsidRPr="00E1585F" w:rsidRDefault="00D9616E" w:rsidP="00D961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7,63</w:t>
            </w:r>
          </w:p>
        </w:tc>
      </w:tr>
      <w:tr w:rsidR="00D9616E" w:rsidRPr="00E1585F" w:rsidTr="00D9616E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6E" w:rsidRPr="00E1585F" w:rsidRDefault="00D9616E" w:rsidP="00D961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6E" w:rsidRPr="00E1585F" w:rsidRDefault="00D9616E" w:rsidP="00D961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424,87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6E" w:rsidRPr="00E1585F" w:rsidRDefault="00D9616E" w:rsidP="00D961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7,63</w:t>
            </w:r>
          </w:p>
        </w:tc>
      </w:tr>
      <w:tr w:rsidR="00D9616E" w:rsidRPr="00E1585F" w:rsidTr="00D9616E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6E" w:rsidRPr="00E1585F" w:rsidRDefault="00D9616E" w:rsidP="00D961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6E" w:rsidRPr="00E1585F" w:rsidRDefault="00D9616E" w:rsidP="00D961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432,64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6E" w:rsidRPr="00E1585F" w:rsidRDefault="00D9616E" w:rsidP="00D961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7,77</w:t>
            </w:r>
          </w:p>
        </w:tc>
      </w:tr>
      <w:tr w:rsidR="00D9616E" w:rsidRPr="00E1585F" w:rsidTr="00D9616E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6E" w:rsidRPr="00E1585F" w:rsidRDefault="00D9616E" w:rsidP="00D961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6E" w:rsidRPr="00E1585F" w:rsidRDefault="00D9616E" w:rsidP="00D961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433,15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6E" w:rsidRPr="00E1585F" w:rsidRDefault="00D9616E" w:rsidP="00D961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0,51</w:t>
            </w:r>
          </w:p>
        </w:tc>
      </w:tr>
    </w:tbl>
    <w:p w:rsidR="00D9616E" w:rsidRDefault="00D9616E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</w:p>
    <w:p w:rsidR="00E1585F" w:rsidRPr="00E1585F" w:rsidRDefault="00E1585F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</w:p>
    <w:p w:rsidR="00753DC0" w:rsidRPr="00E1585F" w:rsidRDefault="00753DC0" w:rsidP="00753D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  <w:r w:rsidRPr="00E1585F">
        <w:rPr>
          <w:rFonts w:ascii="Times New Roman" w:eastAsia="Times New Roman" w:hAnsi="Times New Roman" w:cs="Times New Roman"/>
          <w:color w:val="000000"/>
          <w:lang w:eastAsia="nl-BE"/>
        </w:rPr>
        <w:t>Verenigingen voor gebruikers en mantelzorgers</w:t>
      </w:r>
      <w:r w:rsidR="00E1585F" w:rsidRPr="00E1585F">
        <w:rPr>
          <w:rFonts w:ascii="Times New Roman" w:eastAsia="Times New Roman" w:hAnsi="Times New Roman" w:cs="Times New Roman"/>
          <w:color w:val="000000"/>
          <w:lang w:eastAsia="nl-BE"/>
        </w:rPr>
        <w:t>:</w:t>
      </w:r>
    </w:p>
    <w:p w:rsidR="00E922FC" w:rsidRPr="00E1585F" w:rsidRDefault="00E922FC" w:rsidP="00E922FC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</w:p>
    <w:p w:rsidR="00753DC0" w:rsidRPr="00E1585F" w:rsidRDefault="00753DC0" w:rsidP="00E922FC">
      <w:pPr>
        <w:spacing w:after="0" w:line="240" w:lineRule="auto"/>
        <w:rPr>
          <w:rFonts w:ascii="Times New Roman" w:hAnsi="Times New Roman" w:cs="Times New Roman"/>
          <w:lang w:val="nl-NL"/>
        </w:rPr>
      </w:pPr>
      <w:r w:rsidRPr="00E1585F">
        <w:rPr>
          <w:rFonts w:ascii="Times New Roman" w:hAnsi="Times New Roman" w:cs="Times New Roman"/>
          <w:lang w:val="nl-NL"/>
        </w:rPr>
        <w:t xml:space="preserve">Vanaf 1 januari 2010 werd de programmatie van de verenigingen voor </w:t>
      </w:r>
      <w:r w:rsidR="00D9616E" w:rsidRPr="00E1585F">
        <w:rPr>
          <w:rFonts w:ascii="Times New Roman" w:hAnsi="Times New Roman" w:cs="Times New Roman"/>
          <w:lang w:val="nl-NL"/>
        </w:rPr>
        <w:t xml:space="preserve">gebruikers en </w:t>
      </w:r>
      <w:r w:rsidRPr="00E1585F">
        <w:rPr>
          <w:rFonts w:ascii="Times New Roman" w:hAnsi="Times New Roman" w:cs="Times New Roman"/>
          <w:lang w:val="nl-NL"/>
        </w:rPr>
        <w:t>mantelzorgers</w:t>
      </w:r>
      <w:r w:rsidR="00EE448E" w:rsidRPr="00E1585F">
        <w:rPr>
          <w:rFonts w:ascii="Times New Roman" w:hAnsi="Times New Roman" w:cs="Times New Roman"/>
          <w:lang w:val="nl-NL"/>
        </w:rPr>
        <w:t xml:space="preserve"> opgetrokken van 5 naar 6. In 2012 werd de 6</w:t>
      </w:r>
      <w:r w:rsidR="00EE448E" w:rsidRPr="00E1585F">
        <w:rPr>
          <w:rFonts w:ascii="Times New Roman" w:hAnsi="Times New Roman" w:cs="Times New Roman"/>
          <w:vertAlign w:val="superscript"/>
          <w:lang w:val="nl-NL"/>
        </w:rPr>
        <w:t>de</w:t>
      </w:r>
      <w:r w:rsidR="00EE448E" w:rsidRPr="00E1585F">
        <w:rPr>
          <w:rFonts w:ascii="Times New Roman" w:hAnsi="Times New Roman" w:cs="Times New Roman"/>
          <w:lang w:val="nl-NL"/>
        </w:rPr>
        <w:t xml:space="preserve"> vereniging voor </w:t>
      </w:r>
      <w:r w:rsidR="00D9616E" w:rsidRPr="00E1585F">
        <w:rPr>
          <w:rFonts w:ascii="Times New Roman" w:hAnsi="Times New Roman" w:cs="Times New Roman"/>
          <w:lang w:val="nl-NL"/>
        </w:rPr>
        <w:t xml:space="preserve">gebruikers en </w:t>
      </w:r>
      <w:r w:rsidR="00EE448E" w:rsidRPr="00E1585F">
        <w:rPr>
          <w:rFonts w:ascii="Times New Roman" w:hAnsi="Times New Roman" w:cs="Times New Roman"/>
          <w:lang w:val="nl-NL"/>
        </w:rPr>
        <w:t>mantelzorgers erkend, waardoor de programmatie voor deze verenigingen volledig is ingevuld.</w:t>
      </w:r>
    </w:p>
    <w:p w:rsidR="00E1585F" w:rsidRDefault="00E1585F" w:rsidP="00E1585F">
      <w:pPr>
        <w:rPr>
          <w:rFonts w:ascii="Times New Roman" w:eastAsia="Calibri" w:hAnsi="Times New Roman" w:cs="Times New Roman"/>
          <w:color w:val="1F497D"/>
          <w:lang w:val="nl-NL"/>
        </w:rPr>
      </w:pPr>
    </w:p>
    <w:p w:rsidR="00E922FC" w:rsidRPr="00E1585F" w:rsidRDefault="00E922FC" w:rsidP="00E1585F">
      <w:pPr>
        <w:rPr>
          <w:rFonts w:ascii="Times New Roman" w:hAnsi="Times New Roman" w:cs="Times New Roman"/>
          <w:lang w:val="nl-NL"/>
        </w:rPr>
      </w:pPr>
      <w:r w:rsidRPr="00E1585F">
        <w:rPr>
          <w:rFonts w:ascii="Times New Roman" w:hAnsi="Times New Roman" w:cs="Times New Roman"/>
          <w:lang w:val="nl-NL"/>
        </w:rPr>
        <w:t xml:space="preserve">Hieronder vindt u per sector het budget </w:t>
      </w:r>
      <w:r w:rsidR="007D68A6" w:rsidRPr="00E1585F">
        <w:rPr>
          <w:rFonts w:ascii="Times New Roman" w:hAnsi="Times New Roman" w:cs="Times New Roman"/>
          <w:lang w:val="nl-NL"/>
        </w:rPr>
        <w:t xml:space="preserve">voor </w:t>
      </w:r>
      <w:r w:rsidRPr="00E1585F">
        <w:rPr>
          <w:rFonts w:ascii="Times New Roman" w:hAnsi="Times New Roman" w:cs="Times New Roman"/>
          <w:lang w:val="nl-NL"/>
        </w:rPr>
        <w:t xml:space="preserve">de gerealiseerde </w:t>
      </w:r>
      <w:r w:rsidR="00E1585F">
        <w:rPr>
          <w:rFonts w:ascii="Times New Roman" w:hAnsi="Times New Roman" w:cs="Times New Roman"/>
          <w:lang w:val="nl-NL"/>
        </w:rPr>
        <w:t>uitbreiding.</w:t>
      </w:r>
    </w:p>
    <w:p w:rsidR="00E922FC" w:rsidRPr="00E1585F" w:rsidRDefault="00E922FC" w:rsidP="00E922FC">
      <w:pPr>
        <w:rPr>
          <w:rFonts w:ascii="Times New Roman" w:hAnsi="Times New Roman" w:cs="Times New Roman"/>
          <w:lang w:val="nl-NL"/>
        </w:rPr>
      </w:pPr>
      <w:r w:rsidRPr="00E1585F">
        <w:rPr>
          <w:rFonts w:ascii="Times New Roman" w:hAnsi="Times New Roman" w:cs="Times New Roman"/>
          <w:lang w:val="nl-NL"/>
        </w:rPr>
        <w:t>Gezinszorg en aanvullende thuiszorg</w:t>
      </w:r>
      <w:r w:rsidR="00E1585F">
        <w:rPr>
          <w:rFonts w:ascii="Times New Roman" w:hAnsi="Times New Roman" w:cs="Times New Roman"/>
          <w:lang w:val="nl-NL"/>
        </w:rPr>
        <w:t>:</w:t>
      </w:r>
    </w:p>
    <w:tbl>
      <w:tblPr>
        <w:tblW w:w="46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800"/>
      </w:tblGrid>
      <w:tr w:rsidR="00E922FC" w:rsidRPr="00E1585F" w:rsidTr="00E922FC">
        <w:trPr>
          <w:trHeight w:val="30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Budget uitbreiding</w:t>
            </w:r>
            <w:r w:rsidR="00321DE9"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 xml:space="preserve"> gezinszorg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euro</w:t>
            </w:r>
          </w:p>
        </w:tc>
      </w:tr>
      <w:tr w:rsidR="00E922FC" w:rsidRPr="00E1585F" w:rsidTr="00E922FC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2009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16.929.743</w:t>
            </w:r>
          </w:p>
        </w:tc>
      </w:tr>
      <w:tr w:rsidR="00E922FC" w:rsidRPr="00E1585F" w:rsidTr="00E922FC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2010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4.108.611</w:t>
            </w:r>
          </w:p>
        </w:tc>
      </w:tr>
      <w:tr w:rsidR="00E922FC" w:rsidRPr="00E1585F" w:rsidTr="00E922FC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2011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8.239.492</w:t>
            </w:r>
          </w:p>
        </w:tc>
      </w:tr>
      <w:tr w:rsidR="00E922FC" w:rsidRPr="00E1585F" w:rsidTr="00E922FC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2012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9.751.811</w:t>
            </w:r>
          </w:p>
        </w:tc>
      </w:tr>
      <w:tr w:rsidR="00E922FC" w:rsidRPr="00E1585F" w:rsidTr="00E922FC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2FC" w:rsidRPr="00E1585F" w:rsidRDefault="00E922FC" w:rsidP="00E922F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10.700.949</w:t>
            </w:r>
          </w:p>
        </w:tc>
      </w:tr>
    </w:tbl>
    <w:p w:rsidR="00E922FC" w:rsidRPr="00E1585F" w:rsidRDefault="00E922FC" w:rsidP="00E922FC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6"/>
        <w:gridCol w:w="1609"/>
        <w:gridCol w:w="3108"/>
      </w:tblGrid>
      <w:tr w:rsidR="00321DE9" w:rsidRPr="00E1585F" w:rsidTr="00E1585F">
        <w:trPr>
          <w:trHeight w:val="300"/>
        </w:trPr>
        <w:tc>
          <w:tcPr>
            <w:tcW w:w="5373" w:type="dxa"/>
            <w:gridSpan w:val="3"/>
            <w:noWrap/>
            <w:hideMark/>
          </w:tcPr>
          <w:p w:rsidR="00321DE9" w:rsidRPr="00E1585F" w:rsidRDefault="00321DE9" w:rsidP="00321DE9">
            <w:pPr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Budget uitbreiding aanvullende thuiszorg</w:t>
            </w:r>
          </w:p>
        </w:tc>
      </w:tr>
      <w:tr w:rsidR="00321DE9" w:rsidRPr="00E1585F" w:rsidTr="00E1585F">
        <w:trPr>
          <w:trHeight w:val="300"/>
        </w:trPr>
        <w:tc>
          <w:tcPr>
            <w:tcW w:w="656" w:type="dxa"/>
            <w:noWrap/>
            <w:hideMark/>
          </w:tcPr>
          <w:p w:rsidR="00321DE9" w:rsidRPr="00E1585F" w:rsidRDefault="00321DE9" w:rsidP="00321DE9">
            <w:pPr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2012</w:t>
            </w:r>
          </w:p>
        </w:tc>
        <w:tc>
          <w:tcPr>
            <w:tcW w:w="1609" w:type="dxa"/>
            <w:noWrap/>
            <w:hideMark/>
          </w:tcPr>
          <w:p w:rsidR="00321DE9" w:rsidRPr="00E1585F" w:rsidRDefault="00321DE9" w:rsidP="00321DE9">
            <w:pPr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€ 436.000,00</w:t>
            </w:r>
          </w:p>
        </w:tc>
        <w:tc>
          <w:tcPr>
            <w:tcW w:w="3108" w:type="dxa"/>
            <w:noWrap/>
            <w:hideMark/>
          </w:tcPr>
          <w:p w:rsidR="00321DE9" w:rsidRPr="00E1585F" w:rsidRDefault="00321DE9" w:rsidP="00321DE9">
            <w:pPr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321DE9" w:rsidRPr="00E1585F" w:rsidTr="00E1585F">
        <w:trPr>
          <w:trHeight w:val="300"/>
        </w:trPr>
        <w:tc>
          <w:tcPr>
            <w:tcW w:w="656" w:type="dxa"/>
            <w:noWrap/>
            <w:hideMark/>
          </w:tcPr>
          <w:p w:rsidR="00321DE9" w:rsidRPr="00E1585F" w:rsidRDefault="00321DE9" w:rsidP="00321DE9">
            <w:pPr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2014</w:t>
            </w:r>
          </w:p>
        </w:tc>
        <w:tc>
          <w:tcPr>
            <w:tcW w:w="1609" w:type="dxa"/>
            <w:noWrap/>
            <w:hideMark/>
          </w:tcPr>
          <w:p w:rsidR="00321DE9" w:rsidRPr="00E1585F" w:rsidRDefault="00321DE9" w:rsidP="00321DE9">
            <w:pPr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€ 240.184,05</w:t>
            </w:r>
          </w:p>
        </w:tc>
        <w:tc>
          <w:tcPr>
            <w:tcW w:w="3108" w:type="dxa"/>
            <w:noWrap/>
            <w:hideMark/>
          </w:tcPr>
          <w:p w:rsidR="00321DE9" w:rsidRPr="00E1585F" w:rsidRDefault="00321DE9" w:rsidP="00321DE9">
            <w:pPr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Calibri" w:cstheme="minorHAnsi"/>
                <w:color w:val="000000"/>
                <w:sz w:val="18"/>
                <w:szCs w:val="18"/>
                <w:lang w:eastAsia="nl-BE"/>
              </w:rPr>
              <w:t>Interne staatshervorming</w:t>
            </w:r>
          </w:p>
        </w:tc>
      </w:tr>
    </w:tbl>
    <w:p w:rsidR="002B32E9" w:rsidRPr="00E1585F" w:rsidRDefault="002B32E9" w:rsidP="002B3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  <w:r w:rsidRPr="00E1585F">
        <w:rPr>
          <w:rFonts w:ascii="Times New Roman" w:eastAsia="Times New Roman" w:hAnsi="Times New Roman" w:cs="Times New Roman"/>
          <w:color w:val="000000"/>
          <w:lang w:eastAsia="nl-BE"/>
        </w:rPr>
        <w:t>Diensten voor thuisverpleging</w:t>
      </w:r>
      <w:r w:rsidR="00E1585F">
        <w:rPr>
          <w:rFonts w:ascii="Times New Roman" w:eastAsia="Times New Roman" w:hAnsi="Times New Roman" w:cs="Times New Roman"/>
          <w:color w:val="000000"/>
          <w:lang w:eastAsia="nl-BE"/>
        </w:rPr>
        <w:t>:</w:t>
      </w:r>
    </w:p>
    <w:p w:rsidR="002B32E9" w:rsidRPr="00E1585F" w:rsidRDefault="002B32E9" w:rsidP="00E922FC">
      <w:pPr>
        <w:spacing w:after="0" w:line="240" w:lineRule="auto"/>
        <w:rPr>
          <w:rFonts w:ascii="Times New Roman" w:hAnsi="Times New Roman" w:cs="Times New Roman"/>
          <w:lang w:val="nl-NL"/>
        </w:rPr>
      </w:pPr>
      <w:r w:rsidRPr="00E1585F">
        <w:rPr>
          <w:rFonts w:ascii="Times New Roman" w:hAnsi="Times New Roman" w:cs="Times New Roman"/>
          <w:lang w:val="nl-NL"/>
        </w:rPr>
        <w:t xml:space="preserve">De diensten voor thuisverpleging ontvangen geen subsidies. </w:t>
      </w:r>
      <w:r w:rsidRPr="00E1585F">
        <w:rPr>
          <w:rFonts w:ascii="Times New Roman" w:hAnsi="Times New Roman" w:cs="Times New Roman"/>
        </w:rPr>
        <w:t>Budget uitbreiding niet van toepassing.</w:t>
      </w:r>
    </w:p>
    <w:p w:rsidR="002B32E9" w:rsidRPr="00E1585F" w:rsidRDefault="002B32E9" w:rsidP="00E922FC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</w:p>
    <w:p w:rsidR="002B32E9" w:rsidRPr="00E1585F" w:rsidRDefault="002B32E9" w:rsidP="00E922FC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</w:p>
    <w:p w:rsidR="00455506" w:rsidRPr="00E1585F" w:rsidRDefault="00455506" w:rsidP="004555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  <w:r w:rsidRPr="00E1585F">
        <w:rPr>
          <w:rFonts w:ascii="Times New Roman" w:eastAsia="Times New Roman" w:hAnsi="Times New Roman" w:cs="Times New Roman"/>
          <w:color w:val="000000"/>
          <w:lang w:eastAsia="nl-BE"/>
        </w:rPr>
        <w:t>Diensten voor maatschappelijk werk van de ziekenfondsen</w:t>
      </w:r>
      <w:r w:rsidR="00E1585F">
        <w:rPr>
          <w:rFonts w:ascii="Times New Roman" w:eastAsia="Times New Roman" w:hAnsi="Times New Roman" w:cs="Times New Roman"/>
          <w:color w:val="000000"/>
          <w:lang w:eastAsia="nl-BE"/>
        </w:rPr>
        <w:t>:</w:t>
      </w:r>
    </w:p>
    <w:p w:rsidR="00455506" w:rsidRPr="00E1585F" w:rsidRDefault="00455506" w:rsidP="00E922FC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</w:p>
    <w:tbl>
      <w:tblPr>
        <w:tblW w:w="8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550"/>
        <w:gridCol w:w="1120"/>
        <w:gridCol w:w="1420"/>
        <w:gridCol w:w="2800"/>
      </w:tblGrid>
      <w:tr w:rsidR="00871239" w:rsidRPr="00E1585F" w:rsidTr="00871239">
        <w:trPr>
          <w:trHeight w:val="60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239" w:rsidRPr="00E1585F" w:rsidRDefault="00871239" w:rsidP="008712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 xml:space="preserve">Totaal </w:t>
            </w:r>
            <w:proofErr w:type="spellStart"/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VTE's</w:t>
            </w:r>
            <w:proofErr w:type="spellEnd"/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 xml:space="preserve"> DMW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Groei</w:t>
            </w: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br/>
              <w:t>(</w:t>
            </w:r>
            <w:proofErr w:type="spellStart"/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vte</w:t>
            </w:r>
            <w:proofErr w:type="spellEnd"/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budget</w:t>
            </w: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br/>
              <w:t>groei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871239" w:rsidRPr="00E1585F" w:rsidTr="00871239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409,61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/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871239" w:rsidRPr="00E1585F" w:rsidTr="00871239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409,61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€ 0,00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871239" w:rsidRPr="00E1585F" w:rsidTr="00871239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417,24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€ 270.000,00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871239" w:rsidRPr="00E1585F" w:rsidTr="00871239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424,87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€ 290.000,00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871239" w:rsidRPr="00E1585F" w:rsidTr="00871239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432,64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7,77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€ 300.000,00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871239" w:rsidRPr="00E1585F" w:rsidTr="00871239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433,15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0,51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€ 19.824,15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39" w:rsidRPr="00E1585F" w:rsidRDefault="00871239" w:rsidP="008712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interne staatshervorming</w:t>
            </w:r>
          </w:p>
        </w:tc>
      </w:tr>
    </w:tbl>
    <w:p w:rsidR="00455506" w:rsidRDefault="00455506" w:rsidP="00E922FC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</w:p>
    <w:p w:rsidR="00E1585F" w:rsidRPr="00E1585F" w:rsidRDefault="00E1585F" w:rsidP="00E922FC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</w:p>
    <w:p w:rsidR="00D92A58" w:rsidRPr="00E1585F" w:rsidRDefault="00D92A58" w:rsidP="00E922F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  <w:r w:rsidRPr="00E1585F">
        <w:rPr>
          <w:rFonts w:ascii="Times New Roman" w:eastAsia="Times New Roman" w:hAnsi="Times New Roman" w:cs="Times New Roman"/>
          <w:color w:val="000000"/>
          <w:lang w:eastAsia="nl-BE"/>
        </w:rPr>
        <w:t>Budget extra erkenningen</w:t>
      </w:r>
      <w:r w:rsidR="00B17961" w:rsidRPr="00E1585F">
        <w:rPr>
          <w:rFonts w:ascii="Times New Roman" w:eastAsia="Times New Roman" w:hAnsi="Times New Roman" w:cs="Times New Roman"/>
          <w:color w:val="000000"/>
          <w:lang w:eastAsia="nl-BE"/>
        </w:rPr>
        <w:t xml:space="preserve"> thuiszorgvoorzieningen</w:t>
      </w:r>
      <w:r w:rsidRPr="00E1585F">
        <w:rPr>
          <w:rFonts w:ascii="Times New Roman" w:eastAsia="Times New Roman" w:hAnsi="Times New Roman" w:cs="Times New Roman"/>
          <w:color w:val="000000"/>
          <w:lang w:eastAsia="nl-BE"/>
        </w:rPr>
        <w:t>:</w:t>
      </w:r>
    </w:p>
    <w:p w:rsidR="00455506" w:rsidRPr="00E1585F" w:rsidRDefault="00455506" w:rsidP="00E922FC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</w:p>
    <w:p w:rsidR="00EE448E" w:rsidRPr="00E1585F" w:rsidRDefault="00D92A58" w:rsidP="00E922FC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  <w:r w:rsidRPr="00E1585F">
        <w:rPr>
          <w:rFonts w:ascii="Times New Roman" w:hAnsi="Times New Roman" w:cs="Times New Roman"/>
          <w:noProof/>
          <w:lang w:eastAsia="nl-BE"/>
        </w:rPr>
        <w:drawing>
          <wp:inline distT="0" distB="0" distL="0" distR="0" wp14:anchorId="3A7234A8" wp14:editId="4A5AF729">
            <wp:extent cx="5760720" cy="463091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3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5B1" w:rsidRPr="00E1585F" w:rsidRDefault="006905B1" w:rsidP="00B17961">
      <w:pPr>
        <w:rPr>
          <w:rFonts w:ascii="Times New Roman" w:hAnsi="Times New Roman" w:cs="Times New Roman"/>
          <w:u w:val="single"/>
          <w:lang w:val="nl-NL"/>
        </w:rPr>
      </w:pPr>
    </w:p>
    <w:p w:rsidR="006905B1" w:rsidRPr="00E1585F" w:rsidRDefault="006905B1" w:rsidP="00B17961">
      <w:pPr>
        <w:rPr>
          <w:rFonts w:ascii="Times New Roman" w:hAnsi="Times New Roman" w:cs="Times New Roman"/>
          <w:u w:val="single"/>
          <w:lang w:val="nl-NL"/>
        </w:rPr>
      </w:pPr>
    </w:p>
    <w:p w:rsidR="006905B1" w:rsidRDefault="006905B1" w:rsidP="00B17961">
      <w:pPr>
        <w:rPr>
          <w:rFonts w:ascii="Times New Roman" w:hAnsi="Times New Roman" w:cs="Times New Roman"/>
          <w:u w:val="single"/>
          <w:lang w:val="nl-NL"/>
        </w:rPr>
      </w:pPr>
    </w:p>
    <w:p w:rsidR="00EE448E" w:rsidRPr="00E1585F" w:rsidRDefault="00B17961" w:rsidP="00B17961">
      <w:pPr>
        <w:rPr>
          <w:rFonts w:ascii="Times New Roman" w:hAnsi="Times New Roman" w:cs="Times New Roman"/>
          <w:lang w:val="nl-NL"/>
        </w:rPr>
      </w:pPr>
      <w:r w:rsidRPr="00E1585F">
        <w:rPr>
          <w:rFonts w:ascii="Times New Roman" w:hAnsi="Times New Roman" w:cs="Times New Roman"/>
          <w:lang w:val="nl-NL"/>
        </w:rPr>
        <w:t>Budget uitbreiding urencontingent vrijwilligersoppas:</w:t>
      </w:r>
    </w:p>
    <w:tbl>
      <w:tblPr>
        <w:tblW w:w="52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580"/>
        <w:gridCol w:w="1143"/>
        <w:gridCol w:w="1420"/>
      </w:tblGrid>
      <w:tr w:rsidR="00B17961" w:rsidRPr="00E1585F" w:rsidTr="00B17961">
        <w:trPr>
          <w:trHeight w:val="9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Totaal UC Oppas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Groei</w:t>
            </w: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br/>
              <w:t>(uren)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Budget uitbreiding UC</w:t>
            </w:r>
          </w:p>
        </w:tc>
      </w:tr>
      <w:tr w:rsidR="00B17961" w:rsidRPr="00E1585F" w:rsidTr="00B1796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807.274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B17961" w:rsidRPr="00E1585F" w:rsidTr="00B1796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966.306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159.032,00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€ 172.073,48</w:t>
            </w:r>
          </w:p>
        </w:tc>
      </w:tr>
      <w:tr w:rsidR="00B17961" w:rsidRPr="00E1585F" w:rsidTr="00B1796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1.012.501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46.195,00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€ 51.000,00</w:t>
            </w:r>
          </w:p>
        </w:tc>
      </w:tr>
      <w:tr w:rsidR="00B17961" w:rsidRPr="00E1585F" w:rsidTr="00B1796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1.019.500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6.999,00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€ 18.231,40</w:t>
            </w:r>
          </w:p>
        </w:tc>
      </w:tr>
      <w:tr w:rsidR="00B17961" w:rsidRPr="00E1585F" w:rsidTr="00B1796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1.043.268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23.768,00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€ 50.000,00</w:t>
            </w:r>
          </w:p>
        </w:tc>
      </w:tr>
      <w:tr w:rsidR="00B17961" w:rsidRPr="00E1585F" w:rsidTr="00B1796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2014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1.043.268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  <w:t>€ 0,00</w:t>
            </w:r>
          </w:p>
        </w:tc>
      </w:tr>
    </w:tbl>
    <w:p w:rsidR="00E1585F" w:rsidRDefault="00E1585F" w:rsidP="00B17961">
      <w:pPr>
        <w:rPr>
          <w:rFonts w:ascii="Times New Roman" w:hAnsi="Times New Roman" w:cs="Times New Roman"/>
          <w:u w:val="single"/>
          <w:lang w:val="nl-NL"/>
        </w:rPr>
      </w:pPr>
      <w:bookmarkStart w:id="0" w:name="_GoBack"/>
      <w:bookmarkEnd w:id="0"/>
    </w:p>
    <w:p w:rsidR="00B17961" w:rsidRPr="00E1585F" w:rsidRDefault="00B17961" w:rsidP="00B17961">
      <w:pPr>
        <w:rPr>
          <w:rFonts w:ascii="Times New Roman" w:hAnsi="Times New Roman" w:cs="Times New Roman"/>
          <w:lang w:val="nl-NL"/>
        </w:rPr>
      </w:pPr>
      <w:r w:rsidRPr="00E1585F">
        <w:rPr>
          <w:rFonts w:ascii="Times New Roman" w:hAnsi="Times New Roman" w:cs="Times New Roman"/>
          <w:lang w:val="nl-NL"/>
        </w:rPr>
        <w:t>Budget uitbreiding urencontingent gastopvang:</w:t>
      </w:r>
    </w:p>
    <w:tbl>
      <w:tblPr>
        <w:tblW w:w="5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580"/>
        <w:gridCol w:w="1120"/>
        <w:gridCol w:w="1420"/>
      </w:tblGrid>
      <w:tr w:rsidR="00B17961" w:rsidRPr="00E1585F" w:rsidTr="00B17961">
        <w:trPr>
          <w:trHeight w:val="9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Totaal UC GO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Groei</w:t>
            </w:r>
            <w:r w:rsidRPr="00E1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br/>
              <w:t>(uren)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Budget uitbreiding UC</w:t>
            </w:r>
          </w:p>
        </w:tc>
      </w:tr>
      <w:tr w:rsidR="00B17961" w:rsidRPr="00E1585F" w:rsidTr="00B1796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23.000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B17961" w:rsidRPr="00E1585F" w:rsidTr="00B1796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31.983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8.983,00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€ 10.116,00</w:t>
            </w:r>
          </w:p>
        </w:tc>
      </w:tr>
      <w:tr w:rsidR="00B17961" w:rsidRPr="00E1585F" w:rsidTr="00B1796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48.027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16.044,00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€ 22.300,94</w:t>
            </w:r>
          </w:p>
        </w:tc>
      </w:tr>
      <w:tr w:rsidR="00B17961" w:rsidRPr="00E1585F" w:rsidTr="00B1796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48.027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E1585F" w:rsidRDefault="00B17961" w:rsidP="00B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E1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€ 0,00</w:t>
            </w:r>
          </w:p>
        </w:tc>
      </w:tr>
    </w:tbl>
    <w:p w:rsidR="00E922FC" w:rsidRPr="00E1585F" w:rsidRDefault="00E922FC" w:rsidP="00E1585F">
      <w:pPr>
        <w:pStyle w:val="StandaardSV"/>
        <w:rPr>
          <w:lang w:val="nl-NL"/>
        </w:rPr>
      </w:pPr>
    </w:p>
    <w:sectPr w:rsidR="00E922FC" w:rsidRPr="00E1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7FB3"/>
    <w:multiLevelType w:val="multilevel"/>
    <w:tmpl w:val="0813001F"/>
    <w:styleLink w:val="Stijl3"/>
    <w:lvl w:ilvl="0">
      <w:start w:val="2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B63BC1"/>
    <w:multiLevelType w:val="hybridMultilevel"/>
    <w:tmpl w:val="261A1BB0"/>
    <w:lvl w:ilvl="0" w:tplc="FDC06D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FA4152"/>
    <w:multiLevelType w:val="hybridMultilevel"/>
    <w:tmpl w:val="B502A7B8"/>
    <w:lvl w:ilvl="0" w:tplc="B024C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47566"/>
    <w:multiLevelType w:val="hybridMultilevel"/>
    <w:tmpl w:val="8B8E68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C683F"/>
    <w:multiLevelType w:val="hybridMultilevel"/>
    <w:tmpl w:val="FF72707E"/>
    <w:lvl w:ilvl="0" w:tplc="41305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950707"/>
    <w:multiLevelType w:val="multilevel"/>
    <w:tmpl w:val="417204B2"/>
    <w:styleLink w:val="Stijl2"/>
    <w:lvl w:ilvl="0">
      <w:start w:val="2"/>
      <w:numFmt w:val="lowerLetter"/>
      <w:lvlText w:val="%1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3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3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3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3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3" w:hanging="113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FC"/>
    <w:rsid w:val="00057C1B"/>
    <w:rsid w:val="000C306F"/>
    <w:rsid w:val="002B32E9"/>
    <w:rsid w:val="00321DE9"/>
    <w:rsid w:val="00376D1E"/>
    <w:rsid w:val="00377283"/>
    <w:rsid w:val="00455506"/>
    <w:rsid w:val="00521A21"/>
    <w:rsid w:val="00550EE1"/>
    <w:rsid w:val="00577FE5"/>
    <w:rsid w:val="005A2F91"/>
    <w:rsid w:val="005A5CF9"/>
    <w:rsid w:val="005F777B"/>
    <w:rsid w:val="006905B1"/>
    <w:rsid w:val="006E5F74"/>
    <w:rsid w:val="00703195"/>
    <w:rsid w:val="00753DC0"/>
    <w:rsid w:val="00764AE4"/>
    <w:rsid w:val="007850CE"/>
    <w:rsid w:val="007D68A6"/>
    <w:rsid w:val="00871239"/>
    <w:rsid w:val="008F1F81"/>
    <w:rsid w:val="009133E8"/>
    <w:rsid w:val="00B17961"/>
    <w:rsid w:val="00BD4645"/>
    <w:rsid w:val="00BD66E6"/>
    <w:rsid w:val="00D92A58"/>
    <w:rsid w:val="00D9616E"/>
    <w:rsid w:val="00DB3571"/>
    <w:rsid w:val="00E1585F"/>
    <w:rsid w:val="00E922FC"/>
    <w:rsid w:val="00EA3103"/>
    <w:rsid w:val="00E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32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Stijl2">
    <w:name w:val="Stijl2"/>
    <w:uiPriority w:val="99"/>
    <w:rsid w:val="00057C1B"/>
    <w:pPr>
      <w:numPr>
        <w:numId w:val="1"/>
      </w:numPr>
    </w:pPr>
  </w:style>
  <w:style w:type="numbering" w:customStyle="1" w:styleId="Stijl3">
    <w:name w:val="Stijl3"/>
    <w:rsid w:val="00057C1B"/>
    <w:pPr>
      <w:numPr>
        <w:numId w:val="2"/>
      </w:numPr>
    </w:pPr>
  </w:style>
  <w:style w:type="paragraph" w:customStyle="1" w:styleId="StandaardSV">
    <w:name w:val="Standaard SV"/>
    <w:basedOn w:val="Standaard"/>
    <w:rsid w:val="00E922FC"/>
    <w:pPr>
      <w:spacing w:after="0" w:line="240" w:lineRule="auto"/>
      <w:jc w:val="both"/>
    </w:pPr>
    <w:rPr>
      <w:rFonts w:ascii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E922F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357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21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32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Stijl2">
    <w:name w:val="Stijl2"/>
    <w:uiPriority w:val="99"/>
    <w:rsid w:val="00057C1B"/>
    <w:pPr>
      <w:numPr>
        <w:numId w:val="1"/>
      </w:numPr>
    </w:pPr>
  </w:style>
  <w:style w:type="numbering" w:customStyle="1" w:styleId="Stijl3">
    <w:name w:val="Stijl3"/>
    <w:rsid w:val="00057C1B"/>
    <w:pPr>
      <w:numPr>
        <w:numId w:val="2"/>
      </w:numPr>
    </w:pPr>
  </w:style>
  <w:style w:type="paragraph" w:customStyle="1" w:styleId="StandaardSV">
    <w:name w:val="Standaard SV"/>
    <w:basedOn w:val="Standaard"/>
    <w:rsid w:val="00E922FC"/>
    <w:pPr>
      <w:spacing w:after="0" w:line="240" w:lineRule="auto"/>
      <w:jc w:val="both"/>
    </w:pPr>
    <w:rPr>
      <w:rFonts w:ascii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E922F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357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21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782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Scheers, Erna</dc:creator>
  <cp:lastModifiedBy>Van Neste, Ulrike</cp:lastModifiedBy>
  <cp:revision>4</cp:revision>
  <cp:lastPrinted>2014-02-26T09:36:00Z</cp:lastPrinted>
  <dcterms:created xsi:type="dcterms:W3CDTF">2014-02-25T21:23:00Z</dcterms:created>
  <dcterms:modified xsi:type="dcterms:W3CDTF">2014-02-26T09:36:00Z</dcterms:modified>
</cp:coreProperties>
</file>