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C33DC6" w:rsidRPr="00DD4121" w:rsidRDefault="00C33DC6" w:rsidP="00C33DC6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C33DC6" w:rsidRPr="00015BF7" w:rsidRDefault="00C33DC6" w:rsidP="00C33DC6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vlaams minister van welzijn, volksgezondheid en gezin</w:t>
      </w:r>
      <w:r>
        <w:fldChar w:fldCharType="end"/>
      </w:r>
      <w:bookmarkEnd w:id="1"/>
    </w:p>
    <w:p w:rsidR="00C33DC6" w:rsidRPr="00015BF7" w:rsidRDefault="00C33DC6" w:rsidP="00C33DC6">
      <w:pPr>
        <w:rPr>
          <w:szCs w:val="22"/>
        </w:rPr>
      </w:pPr>
    </w:p>
    <w:p w:rsidR="00C33DC6" w:rsidRPr="00DB41C0" w:rsidRDefault="00C33DC6" w:rsidP="00C33DC6">
      <w:pPr>
        <w:pStyle w:val="A-Lijn"/>
      </w:pPr>
    </w:p>
    <w:p w:rsidR="00C33DC6" w:rsidRDefault="00C33DC6" w:rsidP="00C33DC6">
      <w:pPr>
        <w:pStyle w:val="A-Type"/>
        <w:sectPr w:rsidR="00C33D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3DC6" w:rsidRDefault="00C33DC6" w:rsidP="00C33DC6">
      <w:pPr>
        <w:pStyle w:val="A-Type"/>
        <w:outlineLvl w:val="0"/>
        <w:sectPr w:rsidR="00C33DC6" w:rsidSect="003B3111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C33DC6" w:rsidRPr="00326A58" w:rsidRDefault="00C33DC6" w:rsidP="00C33DC6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0D2A17">
        <w:rPr>
          <w:b w:val="0"/>
        </w:rPr>
        <w:t>33</w:t>
      </w:r>
      <w:r w:rsidR="00092BDE">
        <w:rPr>
          <w:b w:val="0"/>
        </w:rPr>
        <w:t>2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092BDE">
        <w:rPr>
          <w:b w:val="0"/>
        </w:rPr>
        <w:t>23</w:t>
      </w:r>
      <w:r>
        <w:rPr>
          <w:b w:val="0"/>
        </w:rPr>
        <w:fldChar w:fldCharType="end"/>
      </w:r>
      <w:bookmarkStart w:id="4" w:name="Dropdown2"/>
      <w:bookmarkEnd w:id="3"/>
      <w:r>
        <w:rPr>
          <w:b w:val="0"/>
        </w:rPr>
        <w:t xml:space="preserve"> </w:t>
      </w:r>
      <w:bookmarkEnd w:id="4"/>
      <w:r w:rsidR="00EE4E83">
        <w:rPr>
          <w:b w:val="0"/>
        </w:rPr>
        <w:fldChar w:fldCharType="begin">
          <w:ffData>
            <w:name w:val="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EE4E83">
        <w:rPr>
          <w:b w:val="0"/>
        </w:rPr>
        <w:instrText xml:space="preserve"> FORMDROPDOWN </w:instrText>
      </w:r>
      <w:r w:rsidR="00B364A0">
        <w:rPr>
          <w:b w:val="0"/>
        </w:rPr>
      </w:r>
      <w:r w:rsidR="00B364A0">
        <w:rPr>
          <w:b w:val="0"/>
        </w:rPr>
        <w:fldChar w:fldCharType="separate"/>
      </w:r>
      <w:r w:rsidR="00EE4E83">
        <w:rPr>
          <w:b w:val="0"/>
        </w:rPr>
        <w:fldChar w:fldCharType="end"/>
      </w:r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 w:rsidR="00B364A0">
        <w:rPr>
          <w:b w:val="0"/>
        </w:rPr>
      </w:r>
      <w:r w:rsidR="00B364A0">
        <w:rPr>
          <w:b w:val="0"/>
        </w:rPr>
        <w:fldChar w:fldCharType="separate"/>
      </w:r>
      <w:r>
        <w:rPr>
          <w:b w:val="0"/>
        </w:rPr>
        <w:fldChar w:fldCharType="end"/>
      </w:r>
      <w:bookmarkEnd w:id="5"/>
    </w:p>
    <w:p w:rsidR="00C33DC6" w:rsidRDefault="00C33DC6" w:rsidP="00C33DC6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</w:rPr>
        <w:instrText xml:space="preserve"> FORMTEXT </w:instrText>
      </w:r>
      <w:r w:rsidRPr="009D7043">
        <w:rPr>
          <w:rStyle w:val="AntwoordNaamMinisterChar"/>
        </w:rPr>
      </w:r>
      <w:r w:rsidRPr="009D7043">
        <w:rPr>
          <w:rStyle w:val="AntwoordNaamMinisterChar"/>
        </w:rPr>
        <w:fldChar w:fldCharType="separate"/>
      </w:r>
      <w:r w:rsidR="00092BDE">
        <w:rPr>
          <w:rStyle w:val="AntwoordNaamMinisterChar"/>
        </w:rPr>
        <w:t>mieke vogels</w:t>
      </w:r>
      <w:r w:rsidRPr="009D7043">
        <w:rPr>
          <w:rStyle w:val="AntwoordNaamMinisterChar"/>
        </w:rPr>
        <w:fldChar w:fldCharType="end"/>
      </w:r>
    </w:p>
    <w:p w:rsidR="00C33DC6" w:rsidRPr="00015BF7" w:rsidRDefault="00C33DC6" w:rsidP="00C33DC6">
      <w:pPr>
        <w:rPr>
          <w:szCs w:val="22"/>
        </w:rPr>
      </w:pPr>
    </w:p>
    <w:p w:rsidR="00C33DC6" w:rsidRPr="00DB41C0" w:rsidRDefault="00C33DC6" w:rsidP="00C33DC6">
      <w:pPr>
        <w:pStyle w:val="A-Lijn"/>
      </w:pPr>
    </w:p>
    <w:p w:rsidR="00C33DC6" w:rsidRPr="00DB41C0" w:rsidRDefault="00C33DC6" w:rsidP="00C33DC6">
      <w:pPr>
        <w:pStyle w:val="A-Lijn"/>
      </w:pPr>
    </w:p>
    <w:p w:rsidR="00C33DC6" w:rsidRDefault="00C33DC6" w:rsidP="00C33DC6">
      <w:pPr>
        <w:sectPr w:rsidR="00C33DC6" w:rsidSect="003B311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607E" w:rsidRDefault="00265BAE" w:rsidP="00265BAE">
      <w:pPr>
        <w:ind w:left="426" w:hanging="426"/>
        <w:jc w:val="both"/>
      </w:pPr>
      <w:r>
        <w:lastRenderedPageBreak/>
        <w:t>1-</w:t>
      </w:r>
      <w:r w:rsidR="005570FA">
        <w:t>2</w:t>
      </w:r>
      <w:r w:rsidR="005570FA">
        <w:tab/>
      </w:r>
      <w:r w:rsidR="00814644">
        <w:t xml:space="preserve">Op </w:t>
      </w:r>
      <w:r w:rsidR="00B3607E">
        <w:t xml:space="preserve">10 februari 2014 werden er in totaal </w:t>
      </w:r>
      <w:r w:rsidR="005D1584">
        <w:t xml:space="preserve">67 </w:t>
      </w:r>
      <w:r w:rsidR="00344406">
        <w:t xml:space="preserve">extra </w:t>
      </w:r>
      <w:r w:rsidR="00B3607E">
        <w:t xml:space="preserve">PAB-toekenningen </w:t>
      </w:r>
      <w:r w:rsidR="00344406">
        <w:t>n</w:t>
      </w:r>
      <w:r w:rsidR="00AC5A56">
        <w:t>.</w:t>
      </w:r>
      <w:r w:rsidR="00344406">
        <w:t>a</w:t>
      </w:r>
      <w:r w:rsidR="00AC5A56">
        <w:t>.</w:t>
      </w:r>
      <w:r w:rsidR="00344406">
        <w:t>v</w:t>
      </w:r>
      <w:r w:rsidR="00AC5A56">
        <w:t>.</w:t>
      </w:r>
      <w:r w:rsidR="00344406">
        <w:t xml:space="preserve"> de invoering van het werkkapitaal </w:t>
      </w:r>
      <w:r w:rsidR="00B3607E">
        <w:t>beslist door de regionale prioriteitencommissies</w:t>
      </w:r>
      <w:r w:rsidR="00344406">
        <w:t>.</w:t>
      </w:r>
    </w:p>
    <w:p w:rsidR="00092BDE" w:rsidRDefault="00092BDE" w:rsidP="00265BAE">
      <w:pPr>
        <w:pStyle w:val="Lijstalinea"/>
        <w:ind w:left="426" w:hanging="426"/>
        <w:jc w:val="both"/>
      </w:pPr>
    </w:p>
    <w:p w:rsidR="00A6678D" w:rsidRDefault="00A6678D" w:rsidP="00265BAE">
      <w:pPr>
        <w:ind w:left="426"/>
        <w:rPr>
          <w:b/>
          <w:bCs/>
          <w:color w:val="000000"/>
          <w:szCs w:val="22"/>
        </w:rPr>
      </w:pPr>
      <w:r w:rsidRPr="00101297">
        <w:rPr>
          <w:b/>
          <w:lang w:val="nl-BE"/>
        </w:rPr>
        <w:t xml:space="preserve">Tabel 1: </w:t>
      </w:r>
      <w:r w:rsidR="00344406">
        <w:rPr>
          <w:b/>
          <w:lang w:val="nl-BE"/>
        </w:rPr>
        <w:t xml:space="preserve">extra </w:t>
      </w:r>
      <w:r w:rsidRPr="00101297">
        <w:rPr>
          <w:b/>
          <w:lang w:val="nl-BE"/>
        </w:rPr>
        <w:t xml:space="preserve">PAB-toekenningen </w:t>
      </w:r>
      <w:r w:rsidR="00344406">
        <w:rPr>
          <w:b/>
          <w:lang w:val="nl-BE"/>
        </w:rPr>
        <w:t xml:space="preserve">nav de invoer van het werkkapitaal </w:t>
      </w:r>
      <w:r w:rsidRPr="00101297">
        <w:rPr>
          <w:b/>
          <w:lang w:val="nl-BE"/>
        </w:rPr>
        <w:t>volgens provincie (situatie op</w:t>
      </w:r>
      <w:r>
        <w:rPr>
          <w:b/>
          <w:lang w:val="nl-BE"/>
        </w:rPr>
        <w:t xml:space="preserve"> 10 februari 2014</w:t>
      </w:r>
      <w:r w:rsidRPr="00101297">
        <w:rPr>
          <w:b/>
          <w:bCs/>
          <w:color w:val="000000"/>
          <w:szCs w:val="22"/>
        </w:rPr>
        <w:t>)</w:t>
      </w:r>
    </w:p>
    <w:p w:rsidR="00A6678D" w:rsidRDefault="00A6678D" w:rsidP="00A6678D">
      <w:pPr>
        <w:rPr>
          <w:b/>
          <w:bCs/>
          <w:color w:val="000000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2355"/>
        <w:gridCol w:w="2693"/>
      </w:tblGrid>
      <w:tr w:rsidR="00A6678D" w:rsidRPr="00540609" w:rsidTr="00265BAE">
        <w:tc>
          <w:tcPr>
            <w:tcW w:w="1898" w:type="dxa"/>
            <w:shd w:val="clear" w:color="auto" w:fill="auto"/>
          </w:tcPr>
          <w:p w:rsidR="00A6678D" w:rsidRPr="00540609" w:rsidRDefault="00A6678D" w:rsidP="00D92DE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 w:rsidRPr="00540609">
              <w:rPr>
                <w:bCs/>
                <w:color w:val="000000"/>
                <w:szCs w:val="22"/>
              </w:rPr>
              <w:t>Provincie:</w:t>
            </w:r>
          </w:p>
        </w:tc>
        <w:tc>
          <w:tcPr>
            <w:tcW w:w="5048" w:type="dxa"/>
            <w:gridSpan w:val="2"/>
            <w:shd w:val="clear" w:color="auto" w:fill="auto"/>
          </w:tcPr>
          <w:p w:rsidR="00A6678D" w:rsidRPr="00540609" w:rsidRDefault="00A6678D" w:rsidP="00D92DE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 w:rsidRPr="00540609">
              <w:rPr>
                <w:bCs/>
                <w:color w:val="000000"/>
                <w:szCs w:val="22"/>
              </w:rPr>
              <w:t>Aantal toekenningen</w:t>
            </w:r>
            <w:r>
              <w:rPr>
                <w:bCs/>
                <w:color w:val="000000"/>
                <w:szCs w:val="22"/>
              </w:rPr>
              <w:t xml:space="preserve"> nav invoering werkkapitaal</w:t>
            </w:r>
          </w:p>
        </w:tc>
      </w:tr>
      <w:tr w:rsidR="00A6678D" w:rsidRPr="00540609" w:rsidTr="00265BAE">
        <w:tc>
          <w:tcPr>
            <w:tcW w:w="1898" w:type="dxa"/>
            <w:shd w:val="clear" w:color="auto" w:fill="auto"/>
          </w:tcPr>
          <w:p w:rsidR="00A6678D" w:rsidRPr="00540609" w:rsidRDefault="00A6678D" w:rsidP="00D92DE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2355" w:type="dxa"/>
            <w:shd w:val="clear" w:color="auto" w:fill="auto"/>
          </w:tcPr>
          <w:p w:rsidR="00A6678D" w:rsidRPr="00540609" w:rsidRDefault="00A6678D" w:rsidP="00D92DE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minderjarigen</w:t>
            </w:r>
          </w:p>
        </w:tc>
        <w:tc>
          <w:tcPr>
            <w:tcW w:w="2693" w:type="dxa"/>
          </w:tcPr>
          <w:p w:rsidR="00A6678D" w:rsidRPr="00540609" w:rsidRDefault="00A6678D" w:rsidP="00D92DE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meerderjarigen</w:t>
            </w:r>
          </w:p>
        </w:tc>
      </w:tr>
      <w:tr w:rsidR="00A6678D" w:rsidRPr="00540609" w:rsidTr="00265BAE">
        <w:tc>
          <w:tcPr>
            <w:tcW w:w="1898" w:type="dxa"/>
            <w:shd w:val="clear" w:color="auto" w:fill="auto"/>
          </w:tcPr>
          <w:p w:rsidR="00A6678D" w:rsidRPr="00540609" w:rsidRDefault="00A6678D" w:rsidP="00D92DE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 w:rsidRPr="00540609">
              <w:rPr>
                <w:bCs/>
                <w:color w:val="000000"/>
                <w:szCs w:val="22"/>
              </w:rPr>
              <w:t>Antwerpen</w:t>
            </w:r>
          </w:p>
        </w:tc>
        <w:tc>
          <w:tcPr>
            <w:tcW w:w="2355" w:type="dxa"/>
            <w:shd w:val="clear" w:color="auto" w:fill="auto"/>
          </w:tcPr>
          <w:p w:rsidR="00A6678D" w:rsidRPr="00540609" w:rsidRDefault="00C44323" w:rsidP="00A6678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/</w:t>
            </w:r>
          </w:p>
        </w:tc>
        <w:tc>
          <w:tcPr>
            <w:tcW w:w="2693" w:type="dxa"/>
          </w:tcPr>
          <w:p w:rsidR="00A6678D" w:rsidRDefault="00C44323" w:rsidP="00A6678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</w:t>
            </w:r>
          </w:p>
        </w:tc>
      </w:tr>
      <w:tr w:rsidR="00A6678D" w:rsidRPr="00540609" w:rsidTr="00265BAE">
        <w:tc>
          <w:tcPr>
            <w:tcW w:w="1898" w:type="dxa"/>
            <w:shd w:val="clear" w:color="auto" w:fill="auto"/>
          </w:tcPr>
          <w:p w:rsidR="00A6678D" w:rsidRPr="00540609" w:rsidRDefault="00A6678D" w:rsidP="00D92DE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 w:rsidRPr="00540609">
              <w:rPr>
                <w:bCs/>
                <w:color w:val="000000"/>
                <w:szCs w:val="22"/>
              </w:rPr>
              <w:t>Limburg</w:t>
            </w:r>
          </w:p>
        </w:tc>
        <w:tc>
          <w:tcPr>
            <w:tcW w:w="2355" w:type="dxa"/>
            <w:shd w:val="clear" w:color="auto" w:fill="auto"/>
          </w:tcPr>
          <w:p w:rsidR="00A6678D" w:rsidRPr="00540609" w:rsidRDefault="00C44323" w:rsidP="00C44323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3</w:t>
            </w:r>
          </w:p>
        </w:tc>
        <w:tc>
          <w:tcPr>
            <w:tcW w:w="2693" w:type="dxa"/>
          </w:tcPr>
          <w:p w:rsidR="00A6678D" w:rsidRDefault="00C44323" w:rsidP="00A6678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/</w:t>
            </w:r>
          </w:p>
        </w:tc>
      </w:tr>
      <w:tr w:rsidR="00A6678D" w:rsidRPr="00540609" w:rsidTr="00265BAE">
        <w:tc>
          <w:tcPr>
            <w:tcW w:w="1898" w:type="dxa"/>
            <w:shd w:val="clear" w:color="auto" w:fill="auto"/>
          </w:tcPr>
          <w:p w:rsidR="00A6678D" w:rsidRPr="00540609" w:rsidRDefault="00A6678D" w:rsidP="00D92DE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 w:rsidRPr="00540609">
              <w:rPr>
                <w:bCs/>
                <w:color w:val="000000"/>
                <w:szCs w:val="22"/>
              </w:rPr>
              <w:t>Oost-Vlaanderen</w:t>
            </w:r>
          </w:p>
        </w:tc>
        <w:tc>
          <w:tcPr>
            <w:tcW w:w="2355" w:type="dxa"/>
            <w:shd w:val="clear" w:color="auto" w:fill="auto"/>
          </w:tcPr>
          <w:p w:rsidR="00A6678D" w:rsidRPr="00540609" w:rsidRDefault="00C44323" w:rsidP="00C44323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5</w:t>
            </w:r>
          </w:p>
        </w:tc>
        <w:tc>
          <w:tcPr>
            <w:tcW w:w="2693" w:type="dxa"/>
          </w:tcPr>
          <w:p w:rsidR="00A6678D" w:rsidRDefault="00951987" w:rsidP="00951987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</w:t>
            </w:r>
          </w:p>
        </w:tc>
      </w:tr>
      <w:tr w:rsidR="00A6678D" w:rsidRPr="00540609" w:rsidTr="00265BAE"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:rsidR="00A6678D" w:rsidRPr="00540609" w:rsidRDefault="00A6678D" w:rsidP="00D92DE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 w:rsidRPr="00540609">
              <w:rPr>
                <w:bCs/>
                <w:color w:val="000000"/>
                <w:szCs w:val="22"/>
              </w:rPr>
              <w:t>Vlaams-Brabant</w:t>
            </w:r>
            <w:r w:rsidR="00A46CD7">
              <w:rPr>
                <w:bCs/>
                <w:color w:val="000000"/>
                <w:szCs w:val="22"/>
              </w:rPr>
              <w:t xml:space="preserve"> + Brussel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:rsidR="00A6678D" w:rsidRPr="00540609" w:rsidRDefault="00C44323" w:rsidP="00C44323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678D" w:rsidRDefault="00C44323" w:rsidP="00A6678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15</w:t>
            </w:r>
          </w:p>
        </w:tc>
      </w:tr>
      <w:tr w:rsidR="00A6678D" w:rsidRPr="00540609" w:rsidTr="00265BAE">
        <w:tc>
          <w:tcPr>
            <w:tcW w:w="1898" w:type="dxa"/>
            <w:tcBorders>
              <w:bottom w:val="single" w:sz="12" w:space="0" w:color="auto"/>
            </w:tcBorders>
            <w:shd w:val="clear" w:color="auto" w:fill="auto"/>
          </w:tcPr>
          <w:p w:rsidR="00A6678D" w:rsidRPr="00540609" w:rsidRDefault="00A6678D" w:rsidP="00D92DE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 w:rsidRPr="00540609">
              <w:rPr>
                <w:bCs/>
                <w:color w:val="000000"/>
                <w:szCs w:val="22"/>
              </w:rPr>
              <w:t>West-Vlaanderen</w:t>
            </w:r>
          </w:p>
        </w:tc>
        <w:tc>
          <w:tcPr>
            <w:tcW w:w="2355" w:type="dxa"/>
            <w:tcBorders>
              <w:bottom w:val="single" w:sz="12" w:space="0" w:color="auto"/>
            </w:tcBorders>
            <w:shd w:val="clear" w:color="auto" w:fill="auto"/>
          </w:tcPr>
          <w:p w:rsidR="00951987" w:rsidRPr="00540609" w:rsidRDefault="00951987" w:rsidP="00951987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3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A6678D" w:rsidRDefault="00C44323" w:rsidP="00951987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</w:t>
            </w:r>
            <w:r w:rsidR="00951987">
              <w:rPr>
                <w:bCs/>
                <w:color w:val="000000"/>
                <w:szCs w:val="22"/>
              </w:rPr>
              <w:t>1</w:t>
            </w:r>
          </w:p>
        </w:tc>
      </w:tr>
      <w:tr w:rsidR="00A6678D" w:rsidRPr="00540609" w:rsidTr="00265BAE">
        <w:tc>
          <w:tcPr>
            <w:tcW w:w="18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6678D" w:rsidRPr="00344406" w:rsidRDefault="00A6678D" w:rsidP="00D92DED">
            <w:pPr>
              <w:autoSpaceDE w:val="0"/>
              <w:jc w:val="center"/>
              <w:rPr>
                <w:b/>
                <w:bCs/>
                <w:color w:val="000000"/>
                <w:szCs w:val="22"/>
              </w:rPr>
            </w:pPr>
            <w:r w:rsidRPr="00344406">
              <w:rPr>
                <w:b/>
                <w:bCs/>
                <w:color w:val="000000"/>
                <w:szCs w:val="22"/>
              </w:rPr>
              <w:t>Totaal:</w:t>
            </w:r>
            <w:r w:rsidR="00C44323" w:rsidRPr="00344406">
              <w:rPr>
                <w:b/>
                <w:bCs/>
                <w:color w:val="000000"/>
                <w:szCs w:val="22"/>
              </w:rPr>
              <w:t xml:space="preserve"> 67</w:t>
            </w:r>
          </w:p>
        </w:tc>
        <w:tc>
          <w:tcPr>
            <w:tcW w:w="2355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678D" w:rsidRPr="00540609" w:rsidRDefault="00C44323" w:rsidP="00A6678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22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6678D" w:rsidRDefault="00C44323" w:rsidP="00A6678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45</w:t>
            </w:r>
          </w:p>
        </w:tc>
      </w:tr>
    </w:tbl>
    <w:p w:rsidR="00344406" w:rsidRDefault="00344406" w:rsidP="00344406"/>
    <w:p w:rsidR="00344406" w:rsidRDefault="00344406" w:rsidP="00265BAE">
      <w:pPr>
        <w:ind w:left="426"/>
        <w:rPr>
          <w:b/>
          <w:bCs/>
          <w:color w:val="000000"/>
          <w:szCs w:val="22"/>
        </w:rPr>
      </w:pPr>
      <w:r w:rsidRPr="00101297">
        <w:rPr>
          <w:b/>
          <w:lang w:val="nl-BE"/>
        </w:rPr>
        <w:t xml:space="preserve">Tabel </w:t>
      </w:r>
      <w:r>
        <w:rPr>
          <w:b/>
          <w:lang w:val="nl-BE"/>
        </w:rPr>
        <w:t>2</w:t>
      </w:r>
      <w:r w:rsidRPr="00101297">
        <w:rPr>
          <w:b/>
          <w:lang w:val="nl-BE"/>
        </w:rPr>
        <w:t xml:space="preserve">: </w:t>
      </w:r>
      <w:r>
        <w:rPr>
          <w:b/>
          <w:lang w:val="nl-BE"/>
        </w:rPr>
        <w:t xml:space="preserve">ingezette middelen voor extra </w:t>
      </w:r>
      <w:r w:rsidRPr="00101297">
        <w:rPr>
          <w:b/>
          <w:lang w:val="nl-BE"/>
        </w:rPr>
        <w:t xml:space="preserve">PAB-toekenningen </w:t>
      </w:r>
      <w:r>
        <w:rPr>
          <w:b/>
          <w:lang w:val="nl-BE"/>
        </w:rPr>
        <w:t xml:space="preserve">nav de invoer van het werkkapitaal </w:t>
      </w:r>
      <w:r w:rsidRPr="00101297">
        <w:rPr>
          <w:b/>
          <w:lang w:val="nl-BE"/>
        </w:rPr>
        <w:t>volgens provincie (situatie op</w:t>
      </w:r>
      <w:r>
        <w:rPr>
          <w:b/>
          <w:lang w:val="nl-BE"/>
        </w:rPr>
        <w:t>10 februari 2014</w:t>
      </w:r>
      <w:r w:rsidRPr="00101297">
        <w:rPr>
          <w:b/>
          <w:bCs/>
          <w:color w:val="000000"/>
          <w:szCs w:val="22"/>
        </w:rPr>
        <w:t>)</w:t>
      </w:r>
    </w:p>
    <w:p w:rsidR="00344406" w:rsidRDefault="00344406" w:rsidP="00344406">
      <w:pPr>
        <w:rPr>
          <w:b/>
          <w:bCs/>
          <w:color w:val="000000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055"/>
        <w:gridCol w:w="2113"/>
        <w:gridCol w:w="2318"/>
      </w:tblGrid>
      <w:tr w:rsidR="005A1CDB" w:rsidRPr="00540609" w:rsidTr="00265BAE">
        <w:tc>
          <w:tcPr>
            <w:tcW w:w="1985" w:type="dxa"/>
            <w:shd w:val="clear" w:color="auto" w:fill="auto"/>
          </w:tcPr>
          <w:p w:rsidR="005A1CDB" w:rsidRPr="00540609" w:rsidRDefault="005A1CDB" w:rsidP="00D92DE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 w:rsidRPr="00540609">
              <w:rPr>
                <w:bCs/>
                <w:color w:val="000000"/>
                <w:szCs w:val="22"/>
              </w:rPr>
              <w:t>Provincie:</w:t>
            </w:r>
          </w:p>
        </w:tc>
        <w:tc>
          <w:tcPr>
            <w:tcW w:w="2055" w:type="dxa"/>
            <w:shd w:val="clear" w:color="auto" w:fill="auto"/>
          </w:tcPr>
          <w:p w:rsidR="005A1CDB" w:rsidRPr="00540609" w:rsidRDefault="005A1CDB" w:rsidP="00AC5A56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Ingezette middelen</w:t>
            </w:r>
            <w:r w:rsidR="00265BAE">
              <w:rPr>
                <w:bCs/>
                <w:color w:val="000000"/>
                <w:szCs w:val="22"/>
              </w:rPr>
              <w:t>:</w:t>
            </w:r>
          </w:p>
        </w:tc>
        <w:tc>
          <w:tcPr>
            <w:tcW w:w="2113" w:type="dxa"/>
          </w:tcPr>
          <w:p w:rsidR="005A1CDB" w:rsidRDefault="005A1CDB" w:rsidP="00AC5A56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Inzetbaar budget</w:t>
            </w:r>
          </w:p>
        </w:tc>
        <w:tc>
          <w:tcPr>
            <w:tcW w:w="2318" w:type="dxa"/>
          </w:tcPr>
          <w:p w:rsidR="005A1CDB" w:rsidRDefault="005A1CDB" w:rsidP="00AC5A56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Nog in te zetten middelen:</w:t>
            </w:r>
          </w:p>
        </w:tc>
      </w:tr>
      <w:tr w:rsidR="005A1CDB" w:rsidRPr="00540609" w:rsidTr="00265BAE">
        <w:tc>
          <w:tcPr>
            <w:tcW w:w="1985" w:type="dxa"/>
            <w:shd w:val="clear" w:color="auto" w:fill="auto"/>
          </w:tcPr>
          <w:p w:rsidR="005A1CDB" w:rsidRPr="00540609" w:rsidRDefault="005A1CDB" w:rsidP="00D92DE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 w:rsidRPr="00540609">
              <w:rPr>
                <w:bCs/>
                <w:color w:val="000000"/>
                <w:szCs w:val="22"/>
              </w:rPr>
              <w:t>Antwerpen</w:t>
            </w:r>
          </w:p>
        </w:tc>
        <w:tc>
          <w:tcPr>
            <w:tcW w:w="2055" w:type="dxa"/>
            <w:shd w:val="clear" w:color="auto" w:fill="auto"/>
          </w:tcPr>
          <w:p w:rsidR="005A1CDB" w:rsidRPr="00E03337" w:rsidRDefault="005A1CDB" w:rsidP="00E03337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 w:rsidRPr="00E03337">
              <w:rPr>
                <w:szCs w:val="22"/>
              </w:rPr>
              <w:t>€</w:t>
            </w:r>
            <w:r w:rsidR="00E03337" w:rsidRPr="00E03337">
              <w:rPr>
                <w:szCs w:val="22"/>
              </w:rPr>
              <w:t xml:space="preserve"> </w:t>
            </w:r>
            <w:r w:rsidR="00E03337" w:rsidRPr="00E03337">
              <w:rPr>
                <w:color w:val="000000"/>
                <w:szCs w:val="22"/>
              </w:rPr>
              <w:t>64.289,22</w:t>
            </w:r>
          </w:p>
        </w:tc>
        <w:tc>
          <w:tcPr>
            <w:tcW w:w="2113" w:type="dxa"/>
          </w:tcPr>
          <w:p w:rsidR="005A1CDB" w:rsidRDefault="005A1CDB" w:rsidP="00D92DE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 w:rsidRPr="00D12078">
              <w:t>€</w:t>
            </w:r>
            <w:r w:rsidR="009C3493">
              <w:t xml:space="preserve"> 1.368.450</w:t>
            </w:r>
          </w:p>
        </w:tc>
        <w:tc>
          <w:tcPr>
            <w:tcW w:w="2318" w:type="dxa"/>
          </w:tcPr>
          <w:p w:rsidR="005A1CDB" w:rsidRPr="00E03337" w:rsidRDefault="005A1CDB" w:rsidP="00E03337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 w:rsidRPr="00E03337">
              <w:rPr>
                <w:szCs w:val="22"/>
              </w:rPr>
              <w:t>€</w:t>
            </w:r>
            <w:r w:rsidR="00E03337" w:rsidRPr="00E03337">
              <w:rPr>
                <w:szCs w:val="22"/>
              </w:rPr>
              <w:t xml:space="preserve"> </w:t>
            </w:r>
            <w:r w:rsidR="00E03337" w:rsidRPr="00E03337">
              <w:rPr>
                <w:color w:val="000000"/>
                <w:szCs w:val="22"/>
              </w:rPr>
              <w:t>1.304.160,78</w:t>
            </w:r>
          </w:p>
        </w:tc>
      </w:tr>
      <w:tr w:rsidR="005A1CDB" w:rsidRPr="00540609" w:rsidTr="00265BAE">
        <w:tc>
          <w:tcPr>
            <w:tcW w:w="1985" w:type="dxa"/>
            <w:shd w:val="clear" w:color="auto" w:fill="auto"/>
          </w:tcPr>
          <w:p w:rsidR="005A1CDB" w:rsidRPr="00540609" w:rsidRDefault="005A1CDB" w:rsidP="00D92DE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 w:rsidRPr="00540609">
              <w:rPr>
                <w:bCs/>
                <w:color w:val="000000"/>
                <w:szCs w:val="22"/>
              </w:rPr>
              <w:t>Limburg</w:t>
            </w:r>
          </w:p>
        </w:tc>
        <w:tc>
          <w:tcPr>
            <w:tcW w:w="2055" w:type="dxa"/>
            <w:shd w:val="clear" w:color="auto" w:fill="auto"/>
          </w:tcPr>
          <w:p w:rsidR="005A1CDB" w:rsidRPr="00540609" w:rsidRDefault="005A1CDB" w:rsidP="00D92DE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 w:rsidRPr="00D12078">
              <w:t>€107.460</w:t>
            </w:r>
          </w:p>
        </w:tc>
        <w:tc>
          <w:tcPr>
            <w:tcW w:w="2113" w:type="dxa"/>
          </w:tcPr>
          <w:p w:rsidR="005A1CDB" w:rsidRDefault="005A1CDB" w:rsidP="00D92DE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 w:rsidRPr="00D12078">
              <w:t>€</w:t>
            </w:r>
            <w:r w:rsidR="009C3493">
              <w:t xml:space="preserve"> 537.300</w:t>
            </w:r>
          </w:p>
        </w:tc>
        <w:tc>
          <w:tcPr>
            <w:tcW w:w="2318" w:type="dxa"/>
          </w:tcPr>
          <w:p w:rsidR="005A1CDB" w:rsidRDefault="005A1CDB" w:rsidP="00D92DE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 w:rsidRPr="00D12078">
              <w:t>€</w:t>
            </w:r>
            <w:r w:rsidR="00AD42A4">
              <w:t xml:space="preserve"> 429.840</w:t>
            </w:r>
          </w:p>
        </w:tc>
      </w:tr>
      <w:tr w:rsidR="005A1CDB" w:rsidRPr="00540609" w:rsidTr="00265BAE">
        <w:tc>
          <w:tcPr>
            <w:tcW w:w="1985" w:type="dxa"/>
            <w:shd w:val="clear" w:color="auto" w:fill="auto"/>
          </w:tcPr>
          <w:p w:rsidR="005A1CDB" w:rsidRPr="00540609" w:rsidRDefault="005A1CDB" w:rsidP="00D92DE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 w:rsidRPr="00540609">
              <w:rPr>
                <w:bCs/>
                <w:color w:val="000000"/>
                <w:szCs w:val="22"/>
              </w:rPr>
              <w:t>Oost-Vlaanderen</w:t>
            </w:r>
          </w:p>
        </w:tc>
        <w:tc>
          <w:tcPr>
            <w:tcW w:w="2055" w:type="dxa"/>
            <w:shd w:val="clear" w:color="auto" w:fill="auto"/>
          </w:tcPr>
          <w:p w:rsidR="005A1CDB" w:rsidRPr="00540609" w:rsidRDefault="005A1CDB" w:rsidP="00D92DE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 w:rsidRPr="00D12078">
              <w:t>€</w:t>
            </w:r>
            <w:r w:rsidR="004A4C5F">
              <w:t xml:space="preserve"> 482.405,48</w:t>
            </w:r>
          </w:p>
        </w:tc>
        <w:tc>
          <w:tcPr>
            <w:tcW w:w="2113" w:type="dxa"/>
          </w:tcPr>
          <w:p w:rsidR="005A1CDB" w:rsidRDefault="005A1CDB" w:rsidP="00D92DE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 w:rsidRPr="00D12078">
              <w:t>€</w:t>
            </w:r>
            <w:r w:rsidR="009C3493">
              <w:t xml:space="preserve"> 884.250</w:t>
            </w:r>
          </w:p>
        </w:tc>
        <w:tc>
          <w:tcPr>
            <w:tcW w:w="2318" w:type="dxa"/>
          </w:tcPr>
          <w:p w:rsidR="005A1CDB" w:rsidRDefault="005A1CDB" w:rsidP="00C3258F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 w:rsidRPr="00D12078">
              <w:t>€</w:t>
            </w:r>
            <w:r w:rsidR="004A4C5F">
              <w:t xml:space="preserve"> 401.84</w:t>
            </w:r>
            <w:r w:rsidR="00C3258F">
              <w:t>4,52</w:t>
            </w:r>
          </w:p>
        </w:tc>
      </w:tr>
      <w:tr w:rsidR="005A1CDB" w:rsidRPr="00540609" w:rsidTr="00265BAE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A1CDB" w:rsidRPr="00540609" w:rsidRDefault="005A1CDB" w:rsidP="00D92DE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 w:rsidRPr="00540609">
              <w:rPr>
                <w:bCs/>
                <w:color w:val="000000"/>
                <w:szCs w:val="22"/>
              </w:rPr>
              <w:t>Vlaams-Brabant</w:t>
            </w:r>
            <w:r w:rsidR="00A46CD7">
              <w:rPr>
                <w:bCs/>
                <w:color w:val="000000"/>
                <w:szCs w:val="22"/>
              </w:rPr>
              <w:t xml:space="preserve"> + Brussel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5A1CDB" w:rsidRPr="00540609" w:rsidRDefault="005A1CDB" w:rsidP="00D92DE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 w:rsidRPr="00D12078">
              <w:t>€</w:t>
            </w:r>
            <w:r w:rsidR="00304F71">
              <w:t xml:space="preserve"> 687.218,05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5A1CDB" w:rsidRDefault="005A1CDB" w:rsidP="00D92DE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 w:rsidRPr="00D12078">
              <w:t>€</w:t>
            </w:r>
            <w:r w:rsidR="009C3493">
              <w:t xml:space="preserve"> 991.800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5A1CDB" w:rsidRDefault="005A1CDB" w:rsidP="00D92DE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 w:rsidRPr="00D12078">
              <w:t>€</w:t>
            </w:r>
            <w:r w:rsidR="00304F71">
              <w:t xml:space="preserve"> 304.581,95</w:t>
            </w:r>
          </w:p>
        </w:tc>
      </w:tr>
      <w:tr w:rsidR="005A1CDB" w:rsidRPr="00540609" w:rsidTr="00265BAE"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5A1CDB" w:rsidRPr="00540609" w:rsidRDefault="005A1CDB" w:rsidP="00D92DE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 w:rsidRPr="00540609">
              <w:rPr>
                <w:bCs/>
                <w:color w:val="000000"/>
                <w:szCs w:val="22"/>
              </w:rPr>
              <w:t>West-Vlaanderen</w:t>
            </w:r>
          </w:p>
        </w:tc>
        <w:tc>
          <w:tcPr>
            <w:tcW w:w="2055" w:type="dxa"/>
            <w:tcBorders>
              <w:bottom w:val="single" w:sz="12" w:space="0" w:color="auto"/>
            </w:tcBorders>
            <w:shd w:val="clear" w:color="auto" w:fill="auto"/>
          </w:tcPr>
          <w:p w:rsidR="00C3258F" w:rsidRDefault="005A1CDB" w:rsidP="00C3258F">
            <w:pPr>
              <w:autoSpaceDE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078">
              <w:t>€</w:t>
            </w:r>
            <w:r w:rsidR="00C3258F">
              <w:t xml:space="preserve"> 718.039,34</w:t>
            </w:r>
          </w:p>
          <w:p w:rsidR="005A1CDB" w:rsidRPr="00540609" w:rsidRDefault="005A1CDB" w:rsidP="00D92DE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2113" w:type="dxa"/>
            <w:tcBorders>
              <w:bottom w:val="single" w:sz="12" w:space="0" w:color="auto"/>
            </w:tcBorders>
          </w:tcPr>
          <w:p w:rsidR="005A1CDB" w:rsidRDefault="005A1CDB" w:rsidP="00D92DE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 w:rsidRPr="00D12078">
              <w:t>€</w:t>
            </w:r>
            <w:r w:rsidR="009C3493">
              <w:t xml:space="preserve"> 715.750</w:t>
            </w:r>
          </w:p>
        </w:tc>
        <w:tc>
          <w:tcPr>
            <w:tcW w:w="2318" w:type="dxa"/>
            <w:tcBorders>
              <w:bottom w:val="single" w:sz="12" w:space="0" w:color="auto"/>
            </w:tcBorders>
          </w:tcPr>
          <w:p w:rsidR="005A1CDB" w:rsidRDefault="00C3258F" w:rsidP="00C3258F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>
              <w:t>/</w:t>
            </w:r>
          </w:p>
        </w:tc>
      </w:tr>
      <w:tr w:rsidR="005A1CDB" w:rsidRPr="00540609" w:rsidTr="00265BAE"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A1CDB" w:rsidRPr="00540609" w:rsidRDefault="005A1CDB" w:rsidP="00D92DED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 w:rsidRPr="00540609">
              <w:rPr>
                <w:bCs/>
                <w:color w:val="000000"/>
                <w:szCs w:val="22"/>
              </w:rPr>
              <w:t>Totaal: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1CDB" w:rsidRPr="00540609" w:rsidRDefault="005A1CDB" w:rsidP="005B630B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 w:rsidRPr="00D12078">
              <w:t>€</w:t>
            </w:r>
            <w:r w:rsidR="0062247F">
              <w:t xml:space="preserve"> </w:t>
            </w:r>
            <w:r w:rsidR="0062247F" w:rsidRPr="0062247F">
              <w:rPr>
                <w:color w:val="000000"/>
                <w:szCs w:val="22"/>
              </w:rPr>
              <w:t>2</w:t>
            </w:r>
            <w:r w:rsidR="0062247F">
              <w:rPr>
                <w:color w:val="000000"/>
                <w:szCs w:val="22"/>
              </w:rPr>
              <w:t>.</w:t>
            </w:r>
            <w:r w:rsidR="0062247F" w:rsidRPr="0062247F">
              <w:rPr>
                <w:color w:val="000000"/>
                <w:szCs w:val="22"/>
              </w:rPr>
              <w:t>059</w:t>
            </w:r>
            <w:r w:rsidR="0062247F">
              <w:rPr>
                <w:color w:val="000000"/>
                <w:szCs w:val="22"/>
              </w:rPr>
              <w:t>.</w:t>
            </w:r>
            <w:r w:rsidR="0062247F" w:rsidRPr="0062247F">
              <w:rPr>
                <w:color w:val="000000"/>
                <w:szCs w:val="22"/>
              </w:rPr>
              <w:t>412,09</w:t>
            </w:r>
          </w:p>
        </w:tc>
        <w:tc>
          <w:tcPr>
            <w:tcW w:w="211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5A1CDB" w:rsidRDefault="005A1CDB" w:rsidP="0062247F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  <w:r w:rsidRPr="00D12078">
              <w:t>€</w:t>
            </w:r>
            <w:r w:rsidR="009C3493">
              <w:t xml:space="preserve"> 4.</w:t>
            </w:r>
            <w:r w:rsidR="0062247F">
              <w:t>497.550</w:t>
            </w:r>
          </w:p>
        </w:tc>
        <w:tc>
          <w:tcPr>
            <w:tcW w:w="231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64789" w:rsidRPr="0086738A" w:rsidRDefault="005A1CDB" w:rsidP="00764789">
            <w:pPr>
              <w:autoSpaceDE w:val="0"/>
              <w:jc w:val="center"/>
              <w:rPr>
                <w:color w:val="000000"/>
                <w:szCs w:val="22"/>
              </w:rPr>
            </w:pPr>
            <w:r w:rsidRPr="0086738A">
              <w:rPr>
                <w:szCs w:val="22"/>
              </w:rPr>
              <w:t>€</w:t>
            </w:r>
            <w:r w:rsidR="00C3258F" w:rsidRPr="0086738A">
              <w:rPr>
                <w:szCs w:val="22"/>
              </w:rPr>
              <w:t xml:space="preserve"> </w:t>
            </w:r>
            <w:r w:rsidR="00764789" w:rsidRPr="0086738A">
              <w:rPr>
                <w:color w:val="000000"/>
                <w:szCs w:val="22"/>
              </w:rPr>
              <w:t>2.440.427,25</w:t>
            </w:r>
          </w:p>
          <w:p w:rsidR="005A1CDB" w:rsidRDefault="005A1CDB" w:rsidP="00764789">
            <w:pPr>
              <w:autoSpaceDE w:val="0"/>
              <w:jc w:val="center"/>
              <w:rPr>
                <w:bCs/>
                <w:color w:val="000000"/>
                <w:szCs w:val="22"/>
              </w:rPr>
            </w:pPr>
          </w:p>
        </w:tc>
      </w:tr>
    </w:tbl>
    <w:p w:rsidR="00344406" w:rsidRDefault="00344406" w:rsidP="00344406"/>
    <w:p w:rsidR="00344406" w:rsidRDefault="00AB530A" w:rsidP="00265BAE">
      <w:pPr>
        <w:ind w:left="426"/>
        <w:jc w:val="both"/>
      </w:pPr>
      <w:r>
        <w:t xml:space="preserve">In </w:t>
      </w:r>
      <w:r w:rsidRPr="00AB530A">
        <w:rPr>
          <w:b/>
        </w:rPr>
        <w:t>Antwerpen</w:t>
      </w:r>
      <w:r>
        <w:t xml:space="preserve"> werd op vraag</w:t>
      </w:r>
      <w:r w:rsidR="00344406" w:rsidRPr="00D12078">
        <w:t xml:space="preserve"> van de gebruikers in de RPC in december reeds een eerste selectie </w:t>
      </w:r>
      <w:r w:rsidR="00265BAE" w:rsidRPr="00D12078">
        <w:t>toegekend.</w:t>
      </w:r>
      <w:r w:rsidR="00265BAE">
        <w:t xml:space="preserve"> </w:t>
      </w:r>
      <w:r w:rsidR="008035B3">
        <w:t>Op vraag van de g</w:t>
      </w:r>
      <w:r w:rsidR="00344406" w:rsidRPr="00D12078">
        <w:t xml:space="preserve">ebruikers </w:t>
      </w:r>
      <w:r w:rsidR="008035B3">
        <w:t>beslist</w:t>
      </w:r>
      <w:r w:rsidR="00344406" w:rsidRPr="00D12078">
        <w:t xml:space="preserve">e </w:t>
      </w:r>
      <w:r w:rsidR="008035B3">
        <w:t xml:space="preserve">de </w:t>
      </w:r>
      <w:r w:rsidR="00344406" w:rsidRPr="00D12078">
        <w:t xml:space="preserve">RPC om eerst een toekenning te doen van aanvragen PAB waarvan geoordeeld wordt dat zij zich in een noodsituatie </w:t>
      </w:r>
      <w:r w:rsidR="00265BAE" w:rsidRPr="00D12078">
        <w:t xml:space="preserve">bevinden. </w:t>
      </w:r>
      <w:r w:rsidR="00344406" w:rsidRPr="00D12078">
        <w:t>Hierbij was het de bedoeling de beoordelingscriteria toe te passen zoals bij het protocol noodsituatie ZIN (zorg in natura) voor meerderjarigen. Op de vergadering van dece</w:t>
      </w:r>
      <w:r>
        <w:t xml:space="preserve">mber 2013 werden twee dossiers </w:t>
      </w:r>
      <w:r w:rsidR="00344406" w:rsidRPr="00D12078">
        <w:t xml:space="preserve">geselecteerd die aan de criteria </w:t>
      </w:r>
      <w:r w:rsidR="00265BAE" w:rsidRPr="00D12078">
        <w:t>voldeden.</w:t>
      </w:r>
      <w:r w:rsidR="00265BAE">
        <w:t xml:space="preserve"> </w:t>
      </w:r>
      <w:r w:rsidR="00344406" w:rsidRPr="00D12078">
        <w:t xml:space="preserve">In Antwerpen wordt het resterend werkkapitaal voor minderjarigen toegekend tijdens een extra RPC </w:t>
      </w:r>
      <w:r>
        <w:t xml:space="preserve">eind </w:t>
      </w:r>
      <w:r w:rsidR="00265BAE">
        <w:t xml:space="preserve">februari. </w:t>
      </w:r>
      <w:r w:rsidR="00344406" w:rsidRPr="00D12078">
        <w:t xml:space="preserve">Het werkkapitaal meerderjarigen wordt samen met het budget UB 2014 in 2 rondes toegekend, nl. de eerste helft van het budget tijdens een extra RPC </w:t>
      </w:r>
      <w:r>
        <w:t>eind maart 2014</w:t>
      </w:r>
      <w:r w:rsidR="00344406" w:rsidRPr="00D12078">
        <w:t xml:space="preserve"> en </w:t>
      </w:r>
      <w:r w:rsidR="00344406">
        <w:t xml:space="preserve">de laatste helft van het budget </w:t>
      </w:r>
      <w:r w:rsidR="00344406" w:rsidRPr="00D12078">
        <w:t xml:space="preserve">tijdens een extra RPC </w:t>
      </w:r>
      <w:r>
        <w:t xml:space="preserve">eind juni </w:t>
      </w:r>
      <w:r w:rsidR="00344406" w:rsidRPr="00D12078">
        <w:t>2014.</w:t>
      </w:r>
    </w:p>
    <w:p w:rsidR="005A1CDB" w:rsidRDefault="005A1CDB" w:rsidP="00265BAE">
      <w:pPr>
        <w:ind w:left="432"/>
        <w:jc w:val="both"/>
      </w:pPr>
    </w:p>
    <w:p w:rsidR="00344406" w:rsidRDefault="005A1CDB" w:rsidP="00265BAE">
      <w:pPr>
        <w:ind w:left="426"/>
        <w:jc w:val="both"/>
      </w:pPr>
      <w:r>
        <w:t xml:space="preserve">In </w:t>
      </w:r>
      <w:r w:rsidRPr="00A46CD7">
        <w:rPr>
          <w:b/>
        </w:rPr>
        <w:t>Limburg</w:t>
      </w:r>
      <w:r>
        <w:t xml:space="preserve"> werden de middelen reeds ingezet voor de minderjarigen eind december 2013</w:t>
      </w:r>
      <w:r w:rsidR="00344406" w:rsidRPr="00D12078">
        <w:t xml:space="preserve"> (€107.460) op 10/12/2013: budget ging </w:t>
      </w:r>
      <w:r w:rsidR="00265BAE" w:rsidRPr="00D12078">
        <w:t xml:space="preserve">naar </w:t>
      </w:r>
      <w:r w:rsidR="00344406" w:rsidRPr="00D12078">
        <w:t xml:space="preserve">3 </w:t>
      </w:r>
      <w:r w:rsidR="00265BAE" w:rsidRPr="00D12078">
        <w:t>zorgvragers.</w:t>
      </w:r>
      <w:r w:rsidR="00265BAE">
        <w:t xml:space="preserve"> </w:t>
      </w:r>
      <w:r w:rsidR="00344406" w:rsidRPr="00D12078">
        <w:t xml:space="preserve">Voor meerderjarigen is er beslist om </w:t>
      </w:r>
      <w:r w:rsidR="00344406" w:rsidRPr="00D12078">
        <w:lastRenderedPageBreak/>
        <w:t>het werkkapitaal 2013 samen te leggen met UB 2014 (werkkapitaal gaat over €</w:t>
      </w:r>
      <w:r w:rsidR="006F25DA">
        <w:t xml:space="preserve"> </w:t>
      </w:r>
      <w:r w:rsidR="00265BAE" w:rsidRPr="00D12078">
        <w:t>429.840).</w:t>
      </w:r>
      <w:r w:rsidR="00265BAE">
        <w:t xml:space="preserve"> </w:t>
      </w:r>
      <w:r w:rsidR="00344406" w:rsidRPr="00D12078">
        <w:t xml:space="preserve">Deze middelen zullen toegekend worden </w:t>
      </w:r>
      <w:r w:rsidR="006F25DA">
        <w:t>midden maart 2014.</w:t>
      </w:r>
    </w:p>
    <w:p w:rsidR="0082512B" w:rsidRDefault="0082512B" w:rsidP="00265BAE">
      <w:pPr>
        <w:ind w:left="426"/>
        <w:jc w:val="both"/>
      </w:pPr>
    </w:p>
    <w:p w:rsidR="0086738A" w:rsidRDefault="0082512B" w:rsidP="00265BAE">
      <w:pPr>
        <w:ind w:left="426"/>
        <w:jc w:val="both"/>
      </w:pPr>
      <w:r>
        <w:t xml:space="preserve">In </w:t>
      </w:r>
      <w:r w:rsidRPr="0082512B">
        <w:rPr>
          <w:b/>
        </w:rPr>
        <w:t>Oost-Vlaanderen</w:t>
      </w:r>
      <w:r>
        <w:t xml:space="preserve"> werden alle middelen voor de minderjarigen toegeken</w:t>
      </w:r>
      <w:r w:rsidR="00344406" w:rsidRPr="00D12078">
        <w:t xml:space="preserve">d binnen de </w:t>
      </w:r>
      <w:r w:rsidR="008035B3">
        <w:t>intersectorale toegangspoort</w:t>
      </w:r>
      <w:r w:rsidR="00344406" w:rsidRPr="00D12078">
        <w:t xml:space="preserve"> in 2013</w:t>
      </w:r>
      <w:r w:rsidR="008035B3">
        <w:t xml:space="preserve">. </w:t>
      </w:r>
      <w:r>
        <w:t xml:space="preserve">Voor minderjarigen is dus </w:t>
      </w:r>
      <w:r w:rsidR="00344406" w:rsidRPr="00D12078">
        <w:t xml:space="preserve">geen budget meer </w:t>
      </w:r>
      <w:r w:rsidR="008035B3">
        <w:t>beschikbaar</w:t>
      </w:r>
      <w:r w:rsidR="00265BAE">
        <w:t xml:space="preserve">. </w:t>
      </w:r>
      <w:r>
        <w:t xml:space="preserve">De toekenningen werden via een </w:t>
      </w:r>
      <w:r w:rsidR="00344406" w:rsidRPr="00D12078">
        <w:t xml:space="preserve">apart opgezette procedure in samenwerking met het VAPH georganiseerd. De IRPC heeft de vragen </w:t>
      </w:r>
      <w:r w:rsidR="00265BAE" w:rsidRPr="00D12078">
        <w:t>behandeld.</w:t>
      </w:r>
      <w:r w:rsidR="00265BAE">
        <w:t xml:space="preserve"> </w:t>
      </w:r>
      <w:r w:rsidR="00A46CD7">
        <w:t xml:space="preserve">Voor </w:t>
      </w:r>
      <w:r>
        <w:t xml:space="preserve">meerderjarigen werd in </w:t>
      </w:r>
      <w:r w:rsidR="00A46CD7" w:rsidRPr="0082512B">
        <w:t>Oost-Vlaanderen</w:t>
      </w:r>
      <w:r w:rsidR="00A46CD7" w:rsidRPr="00AB530A">
        <w:rPr>
          <w:b/>
        </w:rPr>
        <w:t xml:space="preserve"> </w:t>
      </w:r>
      <w:r>
        <w:t xml:space="preserve">de </w:t>
      </w:r>
      <w:r w:rsidR="00A46CD7">
        <w:t xml:space="preserve">keuze gemaakt de beslissingen te spreiden zodat op elk moment tegemoet gekomen kan worden aan nieuwe, dringende </w:t>
      </w:r>
      <w:r w:rsidR="00265BAE">
        <w:t xml:space="preserve">vragen. </w:t>
      </w:r>
    </w:p>
    <w:p w:rsidR="0086738A" w:rsidRDefault="0086738A" w:rsidP="00265BAE">
      <w:pPr>
        <w:ind w:left="426"/>
        <w:jc w:val="both"/>
      </w:pPr>
    </w:p>
    <w:p w:rsidR="00344406" w:rsidRDefault="002D5F79" w:rsidP="00265BAE">
      <w:pPr>
        <w:ind w:left="426"/>
        <w:jc w:val="both"/>
      </w:pPr>
      <w:r>
        <w:t xml:space="preserve">Voor </w:t>
      </w:r>
      <w:r w:rsidRPr="008B312A">
        <w:rPr>
          <w:b/>
        </w:rPr>
        <w:t>Vlaams-Brabant en Brussel</w:t>
      </w:r>
      <w:r>
        <w:t xml:space="preserve"> werden voor de minderjarigen alle middelen toegekend (</w:t>
      </w:r>
      <w:r w:rsidR="00344406" w:rsidRPr="00D12078">
        <w:t>op 4400 euro na)</w:t>
      </w:r>
      <w:r>
        <w:t xml:space="preserve"> begin </w:t>
      </w:r>
      <w:r w:rsidR="00265BAE">
        <w:t xml:space="preserve">2014. </w:t>
      </w:r>
      <w:r>
        <w:t>Ook voor de meerderjarigen gebeurden reeds een groot aantal toekenningen in januari.</w:t>
      </w:r>
    </w:p>
    <w:p w:rsidR="008B312A" w:rsidRDefault="008B312A" w:rsidP="00265BAE">
      <w:pPr>
        <w:ind w:left="426"/>
        <w:jc w:val="both"/>
      </w:pPr>
    </w:p>
    <w:p w:rsidR="00344406" w:rsidRDefault="008B312A" w:rsidP="00265BAE">
      <w:pPr>
        <w:ind w:left="426"/>
        <w:jc w:val="both"/>
        <w:rPr>
          <w:rFonts w:ascii="Arial" w:hAnsi="Arial" w:cs="Arial"/>
          <w:color w:val="222222"/>
          <w:sz w:val="20"/>
          <w:szCs w:val="20"/>
          <w:lang w:val="nl-BE" w:eastAsia="nl-BE"/>
        </w:rPr>
      </w:pPr>
      <w:r>
        <w:t xml:space="preserve">In </w:t>
      </w:r>
      <w:r w:rsidRPr="008B312A">
        <w:rPr>
          <w:b/>
        </w:rPr>
        <w:t>West-Vlaanderen</w:t>
      </w:r>
      <w:r>
        <w:t xml:space="preserve"> werden reeds alle budgetten n.a.v. de invoering van het werkkapitaal toegekend eind 2013.</w:t>
      </w:r>
    </w:p>
    <w:p w:rsidR="00344406" w:rsidRPr="00344406" w:rsidRDefault="00344406" w:rsidP="00265BAE">
      <w:pPr>
        <w:pStyle w:val="Lijstalinea"/>
        <w:shd w:val="clear" w:color="auto" w:fill="FFFFFF"/>
        <w:ind w:left="426"/>
        <w:jc w:val="both"/>
        <w:rPr>
          <w:rFonts w:ascii="Arial" w:hAnsi="Arial" w:cs="Arial"/>
          <w:color w:val="222222"/>
          <w:sz w:val="20"/>
          <w:szCs w:val="20"/>
          <w:lang w:val="nl-BE" w:eastAsia="nl-BE"/>
        </w:rPr>
      </w:pPr>
    </w:p>
    <w:p w:rsidR="004E7B7E" w:rsidRPr="004E7B7E" w:rsidRDefault="000D2A17" w:rsidP="00265BAE">
      <w:pPr>
        <w:pStyle w:val="Lijstalinea"/>
        <w:numPr>
          <w:ilvl w:val="0"/>
          <w:numId w:val="10"/>
        </w:numPr>
        <w:shd w:val="clear" w:color="auto" w:fill="FFFFFF"/>
        <w:ind w:left="426"/>
        <w:jc w:val="both"/>
        <w:rPr>
          <w:rFonts w:ascii="Arial" w:hAnsi="Arial" w:cs="Arial"/>
          <w:color w:val="222222"/>
          <w:sz w:val="20"/>
          <w:szCs w:val="20"/>
          <w:lang w:val="nl-BE" w:eastAsia="nl-BE"/>
        </w:rPr>
      </w:pPr>
      <w:r>
        <w:t>Het is vanzelfsprekend zeer belangrijk dat de beschikbare middelen voor PAB zo spoedig mogelijk geactiveerd worden. Derhalve is het belangrijk dat de selecties door de provinciale prioriteitencommissie</w:t>
      </w:r>
      <w:r w:rsidR="005636B8">
        <w:t>s zonder uitstel plaatsvinden</w:t>
      </w:r>
      <w:r w:rsidR="00265BAE">
        <w:t>.</w:t>
      </w:r>
      <w:r w:rsidR="00652E81">
        <w:t xml:space="preserve"> Dit is ook hetgeen m</w:t>
      </w:r>
      <w:r w:rsidR="005636B8">
        <w:t>en tracht te</w:t>
      </w:r>
      <w:r w:rsidR="00265BAE">
        <w:t xml:space="preserve"> verwezelijken binnen de RPC’s.</w:t>
      </w:r>
      <w:r w:rsidR="005636B8">
        <w:t xml:space="preserve"> </w:t>
      </w:r>
      <w:r w:rsidR="00484988">
        <w:t xml:space="preserve">In enkele provincies zijn reeds budgetten toegekend </w:t>
      </w:r>
      <w:r w:rsidR="008B312A">
        <w:t xml:space="preserve">eind 2013. </w:t>
      </w:r>
      <w:r w:rsidR="00A17D93">
        <w:t xml:space="preserve">Een aantal provincies kiezen om de middelen uitbreidingsbeleid 2014 en de middelen werkkapitaal te bundelen, omdat er anders uit ongeveer dezelfde groep 2 maal moet gekozen worden. </w:t>
      </w:r>
    </w:p>
    <w:p w:rsidR="000D2A17" w:rsidRPr="005570FA" w:rsidRDefault="004E7B7E" w:rsidP="004E7B7E">
      <w:pPr>
        <w:pStyle w:val="Lijstalinea"/>
        <w:shd w:val="clear" w:color="auto" w:fill="FFFFFF"/>
        <w:ind w:left="426"/>
        <w:jc w:val="both"/>
        <w:rPr>
          <w:rFonts w:ascii="Arial" w:hAnsi="Arial" w:cs="Arial"/>
          <w:color w:val="222222"/>
          <w:sz w:val="20"/>
          <w:szCs w:val="20"/>
          <w:lang w:val="nl-BE" w:eastAsia="nl-BE"/>
        </w:rPr>
      </w:pPr>
      <w:r>
        <w:t>Ik sta erop</w:t>
      </w:r>
      <w:r w:rsidR="000D2A17">
        <w:t xml:space="preserve"> dat de procedure voor de indiening </w:t>
      </w:r>
      <w:r w:rsidR="007F76B8">
        <w:t xml:space="preserve">en bespreking </w:t>
      </w:r>
      <w:r w:rsidR="000D2A17">
        <w:t xml:space="preserve">van de </w:t>
      </w:r>
      <w:r w:rsidR="004259DA">
        <w:t xml:space="preserve">prioritair te bemiddelen </w:t>
      </w:r>
      <w:r w:rsidR="000D2A17">
        <w:t>aanvragen</w:t>
      </w:r>
      <w:r w:rsidR="004259DA">
        <w:t xml:space="preserve"> (aanvragen </w:t>
      </w:r>
      <w:r w:rsidR="00484988">
        <w:t>PTB-PAB</w:t>
      </w:r>
      <w:r w:rsidR="004259DA">
        <w:t>)</w:t>
      </w:r>
      <w:r w:rsidR="000D2A17">
        <w:t xml:space="preserve"> correct </w:t>
      </w:r>
      <w:r w:rsidR="00265BAE">
        <w:t xml:space="preserve">verloopt. </w:t>
      </w:r>
      <w:r w:rsidR="000D2A17">
        <w:t xml:space="preserve">Dit </w:t>
      </w:r>
      <w:r>
        <w:t>impliceert onder meer</w:t>
      </w:r>
      <w:r w:rsidR="000D2A17">
        <w:t xml:space="preserve"> dat de contactpersonen de nodige tijd moeten krijgen om de checklist</w:t>
      </w:r>
      <w:r w:rsidR="00484988">
        <w:t xml:space="preserve"> </w:t>
      </w:r>
      <w:r w:rsidR="00201000">
        <w:t>PTB-PAB</w:t>
      </w:r>
      <w:r w:rsidR="00A7681D">
        <w:t xml:space="preserve"> </w:t>
      </w:r>
      <w:r w:rsidR="00484988">
        <w:t xml:space="preserve">in te vullen en binnen te </w:t>
      </w:r>
      <w:r w:rsidR="00265BAE">
        <w:t xml:space="preserve">sturen. </w:t>
      </w:r>
      <w:r w:rsidR="00484988">
        <w:t xml:space="preserve">Daarnaast </w:t>
      </w:r>
      <w:r w:rsidR="00A7681D">
        <w:t xml:space="preserve">hebben ook de </w:t>
      </w:r>
      <w:r w:rsidR="00484988">
        <w:t>provinciale regionale prioriteitencommissie</w:t>
      </w:r>
      <w:r w:rsidR="00283206">
        <w:t>s</w:t>
      </w:r>
      <w:r w:rsidR="00484988">
        <w:t xml:space="preserve"> </w:t>
      </w:r>
      <w:r w:rsidR="00A7681D">
        <w:t xml:space="preserve">voldoende tijd nodig </w:t>
      </w:r>
      <w:r w:rsidR="00484988">
        <w:t xml:space="preserve">om </w:t>
      </w:r>
      <w:r w:rsidR="00A17D93">
        <w:t>de meest dringende situaties te kunnen identificeren.</w:t>
      </w:r>
      <w:bookmarkStart w:id="6" w:name="_GoBack"/>
      <w:bookmarkEnd w:id="6"/>
    </w:p>
    <w:sectPr w:rsidR="000D2A17" w:rsidRPr="005570FA" w:rsidSect="003B3111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6E" w:rsidRDefault="00070D6E">
      <w:r>
        <w:separator/>
      </w:r>
    </w:p>
  </w:endnote>
  <w:endnote w:type="continuationSeparator" w:id="0">
    <w:p w:rsidR="00070D6E" w:rsidRDefault="0007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6E" w:rsidRDefault="00070D6E">
      <w:r>
        <w:separator/>
      </w:r>
    </w:p>
  </w:footnote>
  <w:footnote w:type="continuationSeparator" w:id="0">
    <w:p w:rsidR="00070D6E" w:rsidRDefault="00070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E8F"/>
    <w:multiLevelType w:val="hybridMultilevel"/>
    <w:tmpl w:val="E6FA895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56F"/>
    <w:multiLevelType w:val="hybridMultilevel"/>
    <w:tmpl w:val="E35CBFFC"/>
    <w:lvl w:ilvl="0" w:tplc="425C2FB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37A3"/>
    <w:multiLevelType w:val="hybridMultilevel"/>
    <w:tmpl w:val="0D141CF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E5A42"/>
    <w:multiLevelType w:val="hybridMultilevel"/>
    <w:tmpl w:val="33F21FEA"/>
    <w:lvl w:ilvl="0" w:tplc="08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27E32"/>
    <w:multiLevelType w:val="hybridMultilevel"/>
    <w:tmpl w:val="9D9C17B8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A06D2"/>
    <w:multiLevelType w:val="multilevel"/>
    <w:tmpl w:val="2C3EBF3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6">
    <w:nsid w:val="57F104BF"/>
    <w:multiLevelType w:val="hybridMultilevel"/>
    <w:tmpl w:val="63705CD2"/>
    <w:lvl w:ilvl="0" w:tplc="08130017">
      <w:start w:val="1"/>
      <w:numFmt w:val="lowerLetter"/>
      <w:lvlText w:val="%1)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7C3CD8"/>
    <w:multiLevelType w:val="hybridMultilevel"/>
    <w:tmpl w:val="BDF618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C409D"/>
    <w:multiLevelType w:val="hybridMultilevel"/>
    <w:tmpl w:val="9F52AF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24411"/>
    <w:multiLevelType w:val="hybridMultilevel"/>
    <w:tmpl w:val="4036B084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C8"/>
    <w:rsid w:val="00024950"/>
    <w:rsid w:val="00031E9C"/>
    <w:rsid w:val="00056FD5"/>
    <w:rsid w:val="000639D2"/>
    <w:rsid w:val="00070D6E"/>
    <w:rsid w:val="000911FF"/>
    <w:rsid w:val="00092BDE"/>
    <w:rsid w:val="000A33B7"/>
    <w:rsid w:val="000D2A17"/>
    <w:rsid w:val="000E3C99"/>
    <w:rsid w:val="000F0BE6"/>
    <w:rsid w:val="001119C8"/>
    <w:rsid w:val="0012184C"/>
    <w:rsid w:val="001238DE"/>
    <w:rsid w:val="00127E8D"/>
    <w:rsid w:val="001550EA"/>
    <w:rsid w:val="001809B8"/>
    <w:rsid w:val="00185AE2"/>
    <w:rsid w:val="001931A8"/>
    <w:rsid w:val="001A0325"/>
    <w:rsid w:val="001D50C9"/>
    <w:rsid w:val="001E2B90"/>
    <w:rsid w:val="00201000"/>
    <w:rsid w:val="00235FD5"/>
    <w:rsid w:val="0025500A"/>
    <w:rsid w:val="00256296"/>
    <w:rsid w:val="00265BAE"/>
    <w:rsid w:val="00283206"/>
    <w:rsid w:val="002D0831"/>
    <w:rsid w:val="002D5F79"/>
    <w:rsid w:val="002E1233"/>
    <w:rsid w:val="00304F71"/>
    <w:rsid w:val="0031375C"/>
    <w:rsid w:val="00325689"/>
    <w:rsid w:val="00344406"/>
    <w:rsid w:val="00350115"/>
    <w:rsid w:val="00353ECB"/>
    <w:rsid w:val="003B3111"/>
    <w:rsid w:val="003D1194"/>
    <w:rsid w:val="003E56E5"/>
    <w:rsid w:val="00407A53"/>
    <w:rsid w:val="004259DA"/>
    <w:rsid w:val="0046631B"/>
    <w:rsid w:val="004753BF"/>
    <w:rsid w:val="00480634"/>
    <w:rsid w:val="00484988"/>
    <w:rsid w:val="00493FE7"/>
    <w:rsid w:val="00494E55"/>
    <w:rsid w:val="004A182A"/>
    <w:rsid w:val="004A4C5F"/>
    <w:rsid w:val="004D3C0F"/>
    <w:rsid w:val="004E470A"/>
    <w:rsid w:val="004E7B7E"/>
    <w:rsid w:val="00542152"/>
    <w:rsid w:val="005570FA"/>
    <w:rsid w:val="00557E4A"/>
    <w:rsid w:val="005636B8"/>
    <w:rsid w:val="005A1CDB"/>
    <w:rsid w:val="005B630B"/>
    <w:rsid w:val="005D1584"/>
    <w:rsid w:val="00604FBB"/>
    <w:rsid w:val="0062247F"/>
    <w:rsid w:val="0062569C"/>
    <w:rsid w:val="006359E3"/>
    <w:rsid w:val="0063632B"/>
    <w:rsid w:val="00652E81"/>
    <w:rsid w:val="00664485"/>
    <w:rsid w:val="00676663"/>
    <w:rsid w:val="00682B8E"/>
    <w:rsid w:val="00685882"/>
    <w:rsid w:val="006929AA"/>
    <w:rsid w:val="006A3405"/>
    <w:rsid w:val="006B3409"/>
    <w:rsid w:val="006C759A"/>
    <w:rsid w:val="006F25DA"/>
    <w:rsid w:val="006F4096"/>
    <w:rsid w:val="007044B8"/>
    <w:rsid w:val="00726528"/>
    <w:rsid w:val="007633AF"/>
    <w:rsid w:val="00764789"/>
    <w:rsid w:val="00781AFD"/>
    <w:rsid w:val="00783980"/>
    <w:rsid w:val="007A2846"/>
    <w:rsid w:val="007A4722"/>
    <w:rsid w:val="007D2DE3"/>
    <w:rsid w:val="007F76B8"/>
    <w:rsid w:val="00802B86"/>
    <w:rsid w:val="00803445"/>
    <w:rsid w:val="008035B3"/>
    <w:rsid w:val="00814644"/>
    <w:rsid w:val="0082512B"/>
    <w:rsid w:val="00843BDB"/>
    <w:rsid w:val="0086553C"/>
    <w:rsid w:val="0086738A"/>
    <w:rsid w:val="008760DB"/>
    <w:rsid w:val="008B312A"/>
    <w:rsid w:val="008D01C4"/>
    <w:rsid w:val="008E5280"/>
    <w:rsid w:val="008F4736"/>
    <w:rsid w:val="00914C02"/>
    <w:rsid w:val="00951987"/>
    <w:rsid w:val="00993036"/>
    <w:rsid w:val="009B5A94"/>
    <w:rsid w:val="009C2069"/>
    <w:rsid w:val="009C3493"/>
    <w:rsid w:val="009D6681"/>
    <w:rsid w:val="009E45CB"/>
    <w:rsid w:val="009F484E"/>
    <w:rsid w:val="00A11DBC"/>
    <w:rsid w:val="00A17D93"/>
    <w:rsid w:val="00A46CD7"/>
    <w:rsid w:val="00A6678D"/>
    <w:rsid w:val="00A7366C"/>
    <w:rsid w:val="00A76556"/>
    <w:rsid w:val="00A7681D"/>
    <w:rsid w:val="00A80C68"/>
    <w:rsid w:val="00A916CA"/>
    <w:rsid w:val="00AA18FC"/>
    <w:rsid w:val="00AB3462"/>
    <w:rsid w:val="00AB530A"/>
    <w:rsid w:val="00AB73DD"/>
    <w:rsid w:val="00AC51A6"/>
    <w:rsid w:val="00AC5A56"/>
    <w:rsid w:val="00AD42A4"/>
    <w:rsid w:val="00AE5D99"/>
    <w:rsid w:val="00AE6C8E"/>
    <w:rsid w:val="00AE7650"/>
    <w:rsid w:val="00B064C5"/>
    <w:rsid w:val="00B3607E"/>
    <w:rsid w:val="00B364A0"/>
    <w:rsid w:val="00B408A6"/>
    <w:rsid w:val="00B40BDB"/>
    <w:rsid w:val="00B41BD3"/>
    <w:rsid w:val="00B81CA0"/>
    <w:rsid w:val="00B847F2"/>
    <w:rsid w:val="00BA24D3"/>
    <w:rsid w:val="00BF764D"/>
    <w:rsid w:val="00C2724A"/>
    <w:rsid w:val="00C3258F"/>
    <w:rsid w:val="00C33DC6"/>
    <w:rsid w:val="00C42093"/>
    <w:rsid w:val="00C44323"/>
    <w:rsid w:val="00C666B2"/>
    <w:rsid w:val="00C84F0B"/>
    <w:rsid w:val="00CC1968"/>
    <w:rsid w:val="00CE01B1"/>
    <w:rsid w:val="00CE30B2"/>
    <w:rsid w:val="00CF6F78"/>
    <w:rsid w:val="00D11F14"/>
    <w:rsid w:val="00D40838"/>
    <w:rsid w:val="00D70685"/>
    <w:rsid w:val="00D76223"/>
    <w:rsid w:val="00DA74A0"/>
    <w:rsid w:val="00DB4BBD"/>
    <w:rsid w:val="00DD39AC"/>
    <w:rsid w:val="00E03337"/>
    <w:rsid w:val="00E50FCF"/>
    <w:rsid w:val="00E579D1"/>
    <w:rsid w:val="00E72064"/>
    <w:rsid w:val="00E77747"/>
    <w:rsid w:val="00E962B2"/>
    <w:rsid w:val="00EE4E83"/>
    <w:rsid w:val="00EE5815"/>
    <w:rsid w:val="00F068D5"/>
    <w:rsid w:val="00F34BEC"/>
    <w:rsid w:val="00F84C2E"/>
    <w:rsid w:val="00F93F9A"/>
    <w:rsid w:val="00FA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33DC6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44406"/>
    <w:pPr>
      <w:keepNext/>
      <w:keepLines/>
      <w:numPr>
        <w:numId w:val="9"/>
      </w:numPr>
      <w:spacing w:before="120" w:after="240"/>
      <w:outlineLvl w:val="0"/>
    </w:pPr>
    <w:rPr>
      <w:rFonts w:asciiTheme="majorHAnsi" w:eastAsiaTheme="majorEastAsia" w:hAnsiTheme="majorHAnsi" w:cstheme="majorBidi"/>
      <w:b/>
      <w:bCs/>
      <w:color w:val="5F5F5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44406"/>
    <w:pPr>
      <w:keepNext/>
      <w:numPr>
        <w:ilvl w:val="1"/>
        <w:numId w:val="9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iCs/>
      <w:color w:val="5F5F5F"/>
      <w:sz w:val="24"/>
      <w:szCs w:val="28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44406"/>
    <w:pPr>
      <w:keepNext/>
      <w:keepLines/>
      <w:numPr>
        <w:ilvl w:val="2"/>
        <w:numId w:val="9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5F5F5F"/>
      <w:sz w:val="20"/>
      <w:szCs w:val="22"/>
      <w:lang w:val="en-US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344406"/>
    <w:pPr>
      <w:keepNext/>
      <w:keepLines/>
      <w:numPr>
        <w:ilvl w:val="3"/>
        <w:numId w:val="9"/>
      </w:numPr>
      <w:spacing w:before="120"/>
      <w:outlineLvl w:val="3"/>
    </w:pPr>
    <w:rPr>
      <w:rFonts w:asciiTheme="majorHAnsi" w:eastAsiaTheme="majorEastAsia" w:hAnsiTheme="majorHAnsi" w:cstheme="majorBidi"/>
      <w:b/>
      <w:bCs/>
      <w:iCs/>
      <w:color w:val="5F5F5F"/>
      <w:sz w:val="20"/>
      <w:szCs w:val="22"/>
      <w:lang w:val="en-US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344406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5F5F5F"/>
      <w:sz w:val="20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34440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F5F5F"/>
      <w:sz w:val="20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34440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F5F5F"/>
      <w:sz w:val="20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34440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5F5F5F"/>
      <w:sz w:val="20"/>
      <w:szCs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344406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ntwoordNaamMinister">
    <w:name w:val="AntwoordNaamMinister"/>
    <w:basedOn w:val="Standaard"/>
    <w:link w:val="AntwoordNaamMinisterChar"/>
    <w:rsid w:val="00C33DC6"/>
    <w:rPr>
      <w:b/>
      <w:smallCaps/>
      <w:lang w:val="nl-BE"/>
    </w:rPr>
  </w:style>
  <w:style w:type="paragraph" w:customStyle="1" w:styleId="A-TitelMinister">
    <w:name w:val="A-TitelMinister"/>
    <w:basedOn w:val="Standaard"/>
    <w:rsid w:val="00C33DC6"/>
    <w:rPr>
      <w:smallCaps/>
      <w:szCs w:val="22"/>
      <w:lang w:val="nl-BE"/>
    </w:rPr>
  </w:style>
  <w:style w:type="paragraph" w:customStyle="1" w:styleId="A-NaamMinister">
    <w:name w:val="A-NaamMinister"/>
    <w:basedOn w:val="Standaard"/>
    <w:link w:val="A-NaamMinisterChar"/>
    <w:rsid w:val="00C33DC6"/>
    <w:rPr>
      <w:b/>
      <w:smallCaps/>
      <w:lang w:val="nl-BE"/>
    </w:rPr>
  </w:style>
  <w:style w:type="paragraph" w:customStyle="1" w:styleId="A-Lijn">
    <w:name w:val="A-Lijn"/>
    <w:basedOn w:val="Standaard"/>
    <w:rsid w:val="00C33DC6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C33DC6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C33DC6"/>
    <w:rPr>
      <w:b/>
      <w:smallCaps/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C33DC6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C33DC6"/>
    <w:rPr>
      <w:b/>
      <w:smallCaps/>
      <w:sz w:val="22"/>
      <w:szCs w:val="24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664485"/>
    <w:pPr>
      <w:ind w:left="720"/>
      <w:contextualSpacing/>
    </w:pPr>
  </w:style>
  <w:style w:type="table" w:styleId="Tabelraster">
    <w:name w:val="Table Grid"/>
    <w:basedOn w:val="Standaardtabel"/>
    <w:rsid w:val="00664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DA74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A74A0"/>
    <w:rPr>
      <w:rFonts w:ascii="Tahoma" w:hAnsi="Tahoma" w:cs="Tahoma"/>
      <w:sz w:val="16"/>
      <w:szCs w:val="1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344406"/>
    <w:rPr>
      <w:rFonts w:asciiTheme="majorHAnsi" w:eastAsiaTheme="majorEastAsia" w:hAnsiTheme="majorHAnsi" w:cstheme="majorBidi"/>
      <w:b/>
      <w:bCs/>
      <w:color w:val="5F5F5F"/>
      <w:sz w:val="28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344406"/>
    <w:rPr>
      <w:rFonts w:asciiTheme="majorHAnsi" w:eastAsiaTheme="majorEastAsia" w:hAnsiTheme="majorHAnsi" w:cstheme="majorBidi"/>
      <w:b/>
      <w:bCs/>
      <w:iCs/>
      <w:color w:val="5F5F5F"/>
      <w:sz w:val="24"/>
      <w:szCs w:val="28"/>
      <w:lang w:val="nl-NL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44406"/>
    <w:rPr>
      <w:rFonts w:asciiTheme="majorHAnsi" w:eastAsiaTheme="majorEastAsia" w:hAnsiTheme="majorHAnsi" w:cstheme="majorBidi"/>
      <w:b/>
      <w:bCs/>
      <w:color w:val="5F5F5F"/>
      <w:szCs w:val="22"/>
      <w:lang w:val="en-US"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344406"/>
    <w:rPr>
      <w:rFonts w:asciiTheme="majorHAnsi" w:eastAsiaTheme="majorEastAsia" w:hAnsiTheme="majorHAnsi" w:cstheme="majorBidi"/>
      <w:b/>
      <w:bCs/>
      <w:iCs/>
      <w:color w:val="5F5F5F"/>
      <w:szCs w:val="22"/>
      <w:lang w:val="en-US"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344406"/>
    <w:rPr>
      <w:rFonts w:asciiTheme="majorHAnsi" w:eastAsiaTheme="majorEastAsia" w:hAnsiTheme="majorHAnsi" w:cstheme="majorBidi"/>
      <w:color w:val="5F5F5F"/>
      <w:szCs w:val="22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rsid w:val="00344406"/>
    <w:rPr>
      <w:rFonts w:asciiTheme="majorHAnsi" w:eastAsiaTheme="majorEastAsia" w:hAnsiTheme="majorHAnsi" w:cstheme="majorBidi"/>
      <w:i/>
      <w:iCs/>
      <w:color w:val="5F5F5F"/>
      <w:szCs w:val="22"/>
      <w:lang w:eastAsia="en-US"/>
    </w:rPr>
  </w:style>
  <w:style w:type="character" w:customStyle="1" w:styleId="Kop7Char">
    <w:name w:val="Kop 7 Char"/>
    <w:basedOn w:val="Standaardalinea-lettertype"/>
    <w:link w:val="Kop7"/>
    <w:uiPriority w:val="9"/>
    <w:rsid w:val="00344406"/>
    <w:rPr>
      <w:rFonts w:asciiTheme="majorHAnsi" w:eastAsiaTheme="majorEastAsia" w:hAnsiTheme="majorHAnsi" w:cstheme="majorBidi"/>
      <w:i/>
      <w:iCs/>
      <w:color w:val="5F5F5F"/>
      <w:szCs w:val="22"/>
      <w:lang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44406"/>
    <w:rPr>
      <w:rFonts w:asciiTheme="majorHAnsi" w:eastAsiaTheme="majorEastAsia" w:hAnsiTheme="majorHAnsi" w:cstheme="majorBidi"/>
      <w:color w:val="5F5F5F"/>
      <w:lang w:eastAsia="en-US"/>
    </w:rPr>
  </w:style>
  <w:style w:type="character" w:customStyle="1" w:styleId="Kop9Char">
    <w:name w:val="Kop 9 Char"/>
    <w:basedOn w:val="Standaardalinea-lettertype"/>
    <w:link w:val="Kop9"/>
    <w:uiPriority w:val="9"/>
    <w:rsid w:val="0034440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33DC6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44406"/>
    <w:pPr>
      <w:keepNext/>
      <w:keepLines/>
      <w:numPr>
        <w:numId w:val="9"/>
      </w:numPr>
      <w:spacing w:before="120" w:after="240"/>
      <w:outlineLvl w:val="0"/>
    </w:pPr>
    <w:rPr>
      <w:rFonts w:asciiTheme="majorHAnsi" w:eastAsiaTheme="majorEastAsia" w:hAnsiTheme="majorHAnsi" w:cstheme="majorBidi"/>
      <w:b/>
      <w:bCs/>
      <w:color w:val="5F5F5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44406"/>
    <w:pPr>
      <w:keepNext/>
      <w:numPr>
        <w:ilvl w:val="1"/>
        <w:numId w:val="9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iCs/>
      <w:color w:val="5F5F5F"/>
      <w:sz w:val="24"/>
      <w:szCs w:val="28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44406"/>
    <w:pPr>
      <w:keepNext/>
      <w:keepLines/>
      <w:numPr>
        <w:ilvl w:val="2"/>
        <w:numId w:val="9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5F5F5F"/>
      <w:sz w:val="20"/>
      <w:szCs w:val="22"/>
      <w:lang w:val="en-US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344406"/>
    <w:pPr>
      <w:keepNext/>
      <w:keepLines/>
      <w:numPr>
        <w:ilvl w:val="3"/>
        <w:numId w:val="9"/>
      </w:numPr>
      <w:spacing w:before="120"/>
      <w:outlineLvl w:val="3"/>
    </w:pPr>
    <w:rPr>
      <w:rFonts w:asciiTheme="majorHAnsi" w:eastAsiaTheme="majorEastAsia" w:hAnsiTheme="majorHAnsi" w:cstheme="majorBidi"/>
      <w:b/>
      <w:bCs/>
      <w:iCs/>
      <w:color w:val="5F5F5F"/>
      <w:sz w:val="20"/>
      <w:szCs w:val="22"/>
      <w:lang w:val="en-US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344406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5F5F5F"/>
      <w:sz w:val="20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34440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F5F5F"/>
      <w:sz w:val="20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34440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F5F5F"/>
      <w:sz w:val="20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34440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5F5F5F"/>
      <w:sz w:val="20"/>
      <w:szCs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344406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ntwoordNaamMinister">
    <w:name w:val="AntwoordNaamMinister"/>
    <w:basedOn w:val="Standaard"/>
    <w:link w:val="AntwoordNaamMinisterChar"/>
    <w:rsid w:val="00C33DC6"/>
    <w:rPr>
      <w:b/>
      <w:smallCaps/>
      <w:lang w:val="nl-BE"/>
    </w:rPr>
  </w:style>
  <w:style w:type="paragraph" w:customStyle="1" w:styleId="A-TitelMinister">
    <w:name w:val="A-TitelMinister"/>
    <w:basedOn w:val="Standaard"/>
    <w:rsid w:val="00C33DC6"/>
    <w:rPr>
      <w:smallCaps/>
      <w:szCs w:val="22"/>
      <w:lang w:val="nl-BE"/>
    </w:rPr>
  </w:style>
  <w:style w:type="paragraph" w:customStyle="1" w:styleId="A-NaamMinister">
    <w:name w:val="A-NaamMinister"/>
    <w:basedOn w:val="Standaard"/>
    <w:link w:val="A-NaamMinisterChar"/>
    <w:rsid w:val="00C33DC6"/>
    <w:rPr>
      <w:b/>
      <w:smallCaps/>
      <w:lang w:val="nl-BE"/>
    </w:rPr>
  </w:style>
  <w:style w:type="paragraph" w:customStyle="1" w:styleId="A-Lijn">
    <w:name w:val="A-Lijn"/>
    <w:basedOn w:val="Standaard"/>
    <w:rsid w:val="00C33DC6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C33DC6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C33DC6"/>
    <w:rPr>
      <w:b/>
      <w:smallCaps/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C33DC6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C33DC6"/>
    <w:rPr>
      <w:b/>
      <w:smallCaps/>
      <w:sz w:val="22"/>
      <w:szCs w:val="24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664485"/>
    <w:pPr>
      <w:ind w:left="720"/>
      <w:contextualSpacing/>
    </w:pPr>
  </w:style>
  <w:style w:type="table" w:styleId="Tabelraster">
    <w:name w:val="Table Grid"/>
    <w:basedOn w:val="Standaardtabel"/>
    <w:rsid w:val="00664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DA74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A74A0"/>
    <w:rPr>
      <w:rFonts w:ascii="Tahoma" w:hAnsi="Tahoma" w:cs="Tahoma"/>
      <w:sz w:val="16"/>
      <w:szCs w:val="1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344406"/>
    <w:rPr>
      <w:rFonts w:asciiTheme="majorHAnsi" w:eastAsiaTheme="majorEastAsia" w:hAnsiTheme="majorHAnsi" w:cstheme="majorBidi"/>
      <w:b/>
      <w:bCs/>
      <w:color w:val="5F5F5F"/>
      <w:sz w:val="28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344406"/>
    <w:rPr>
      <w:rFonts w:asciiTheme="majorHAnsi" w:eastAsiaTheme="majorEastAsia" w:hAnsiTheme="majorHAnsi" w:cstheme="majorBidi"/>
      <w:b/>
      <w:bCs/>
      <w:iCs/>
      <w:color w:val="5F5F5F"/>
      <w:sz w:val="24"/>
      <w:szCs w:val="28"/>
      <w:lang w:val="nl-NL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44406"/>
    <w:rPr>
      <w:rFonts w:asciiTheme="majorHAnsi" w:eastAsiaTheme="majorEastAsia" w:hAnsiTheme="majorHAnsi" w:cstheme="majorBidi"/>
      <w:b/>
      <w:bCs/>
      <w:color w:val="5F5F5F"/>
      <w:szCs w:val="22"/>
      <w:lang w:val="en-US"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344406"/>
    <w:rPr>
      <w:rFonts w:asciiTheme="majorHAnsi" w:eastAsiaTheme="majorEastAsia" w:hAnsiTheme="majorHAnsi" w:cstheme="majorBidi"/>
      <w:b/>
      <w:bCs/>
      <w:iCs/>
      <w:color w:val="5F5F5F"/>
      <w:szCs w:val="22"/>
      <w:lang w:val="en-US"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344406"/>
    <w:rPr>
      <w:rFonts w:asciiTheme="majorHAnsi" w:eastAsiaTheme="majorEastAsia" w:hAnsiTheme="majorHAnsi" w:cstheme="majorBidi"/>
      <w:color w:val="5F5F5F"/>
      <w:szCs w:val="22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rsid w:val="00344406"/>
    <w:rPr>
      <w:rFonts w:asciiTheme="majorHAnsi" w:eastAsiaTheme="majorEastAsia" w:hAnsiTheme="majorHAnsi" w:cstheme="majorBidi"/>
      <w:i/>
      <w:iCs/>
      <w:color w:val="5F5F5F"/>
      <w:szCs w:val="22"/>
      <w:lang w:eastAsia="en-US"/>
    </w:rPr>
  </w:style>
  <w:style w:type="character" w:customStyle="1" w:styleId="Kop7Char">
    <w:name w:val="Kop 7 Char"/>
    <w:basedOn w:val="Standaardalinea-lettertype"/>
    <w:link w:val="Kop7"/>
    <w:uiPriority w:val="9"/>
    <w:rsid w:val="00344406"/>
    <w:rPr>
      <w:rFonts w:asciiTheme="majorHAnsi" w:eastAsiaTheme="majorEastAsia" w:hAnsiTheme="majorHAnsi" w:cstheme="majorBidi"/>
      <w:i/>
      <w:iCs/>
      <w:color w:val="5F5F5F"/>
      <w:szCs w:val="22"/>
      <w:lang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44406"/>
    <w:rPr>
      <w:rFonts w:asciiTheme="majorHAnsi" w:eastAsiaTheme="majorEastAsia" w:hAnsiTheme="majorHAnsi" w:cstheme="majorBidi"/>
      <w:color w:val="5F5F5F"/>
      <w:lang w:eastAsia="en-US"/>
    </w:rPr>
  </w:style>
  <w:style w:type="character" w:customStyle="1" w:styleId="Kop9Char">
    <w:name w:val="Kop 9 Char"/>
    <w:basedOn w:val="Standaardalinea-lettertype"/>
    <w:link w:val="Kop9"/>
    <w:uiPriority w:val="9"/>
    <w:rsid w:val="0034440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xt\LOCALS~1\Temp\notes4259E9\antwoord%20pv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31EC-3545-46C8-BE01-6BE45E2F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antwoord pv</Template>
  <TotalTime>6</TotalTime>
  <Pages>2</Pages>
  <Words>599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 VANDEURZEN</vt:lpstr>
    </vt:vector>
  </TitlesOfParts>
  <Company>MVG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 VANDEURZEN</dc:title>
  <dc:creator>Tjoen Kevin</dc:creator>
  <cp:lastModifiedBy>Nathalie De Keyzer</cp:lastModifiedBy>
  <cp:revision>5</cp:revision>
  <cp:lastPrinted>2014-02-20T09:49:00Z</cp:lastPrinted>
  <dcterms:created xsi:type="dcterms:W3CDTF">2014-02-17T08:38:00Z</dcterms:created>
  <dcterms:modified xsi:type="dcterms:W3CDTF">2014-02-24T09:55:00Z</dcterms:modified>
</cp:coreProperties>
</file>