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24" w:rsidRPr="00A8473D" w:rsidRDefault="009F5C24" w:rsidP="009F5C2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9F5C24" w:rsidRPr="00A8473D" w:rsidRDefault="009F5C24" w:rsidP="009F5C24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9F5C24" w:rsidRPr="00DE405B" w:rsidRDefault="009F5C24" w:rsidP="009F5C24">
      <w:pPr>
        <w:pStyle w:val="StandaardSV"/>
        <w:pBdr>
          <w:bottom w:val="single" w:sz="4" w:space="1" w:color="auto"/>
        </w:pBdr>
        <w:rPr>
          <w:lang w:val="nl-BE"/>
        </w:rPr>
      </w:pPr>
    </w:p>
    <w:p w:rsidR="009F5C24" w:rsidRDefault="009F5C24" w:rsidP="009F5C24">
      <w:pPr>
        <w:jc w:val="both"/>
        <w:rPr>
          <w:sz w:val="22"/>
        </w:rPr>
      </w:pPr>
    </w:p>
    <w:p w:rsidR="00E3209C" w:rsidRPr="00C30E70" w:rsidRDefault="00C30E70" w:rsidP="009F5C24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C30E70">
        <w:rPr>
          <w:rFonts w:ascii="Times New Roman Vet" w:hAnsi="Times New Roman Vet"/>
          <w:b/>
          <w:smallCaps/>
          <w:sz w:val="22"/>
        </w:rPr>
        <w:t>a</w:t>
      </w:r>
      <w:r w:rsidR="006671B1" w:rsidRPr="00C30E70">
        <w:rPr>
          <w:rFonts w:ascii="Times New Roman Vet" w:hAnsi="Times New Roman Vet"/>
          <w:b/>
          <w:smallCaps/>
          <w:sz w:val="22"/>
        </w:rPr>
        <w:t xml:space="preserve">ntwoord </w:t>
      </w:r>
    </w:p>
    <w:p w:rsidR="00E3209C" w:rsidRDefault="006671B1" w:rsidP="00E3209C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9F5C24">
        <w:rPr>
          <w:sz w:val="22"/>
        </w:rPr>
        <w:t>raag nr. 293</w:t>
      </w:r>
      <w:r w:rsidR="00E3209C">
        <w:rPr>
          <w:sz w:val="22"/>
        </w:rPr>
        <w:t xml:space="preserve"> </w:t>
      </w:r>
      <w:r w:rsidR="009F5C24">
        <w:rPr>
          <w:sz w:val="22"/>
        </w:rPr>
        <w:t>van 17 januari 2014</w:t>
      </w:r>
      <w:r w:rsidR="009E52E1">
        <w:rPr>
          <w:sz w:val="22"/>
        </w:rPr>
        <w:t xml:space="preserve"> </w:t>
      </w:r>
    </w:p>
    <w:p w:rsidR="009F5C24" w:rsidRDefault="009F5C24" w:rsidP="00E3209C">
      <w:pPr>
        <w:jc w:val="both"/>
        <w:outlineLvl w:val="0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robrecht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bothuyne</w:t>
      </w:r>
      <w:proofErr w:type="spellEnd"/>
    </w:p>
    <w:p w:rsidR="009F5C24" w:rsidRDefault="009F5C24" w:rsidP="009F5C24">
      <w:pPr>
        <w:pBdr>
          <w:bottom w:val="single" w:sz="4" w:space="1" w:color="auto"/>
        </w:pBdr>
        <w:jc w:val="both"/>
        <w:rPr>
          <w:sz w:val="22"/>
        </w:rPr>
      </w:pPr>
    </w:p>
    <w:p w:rsidR="009F5C24" w:rsidRPr="00C30E70" w:rsidRDefault="009F5C24" w:rsidP="00985E0B">
      <w:pPr>
        <w:pStyle w:val="StandaardSV"/>
        <w:tabs>
          <w:tab w:val="left" w:pos="2835"/>
        </w:tabs>
      </w:pPr>
    </w:p>
    <w:p w:rsidR="009F5C24" w:rsidRDefault="009F5C24" w:rsidP="009F5C24">
      <w:pPr>
        <w:pStyle w:val="StandaardSV"/>
      </w:pPr>
    </w:p>
    <w:p w:rsidR="009F5C24" w:rsidRPr="008177B6" w:rsidRDefault="009F5C24" w:rsidP="00C30E70">
      <w:pPr>
        <w:pStyle w:val="StandaardSV"/>
        <w:numPr>
          <w:ilvl w:val="0"/>
          <w:numId w:val="5"/>
        </w:numPr>
        <w:rPr>
          <w:szCs w:val="22"/>
        </w:rPr>
      </w:pPr>
      <w:r w:rsidRPr="008177B6">
        <w:rPr>
          <w:szCs w:val="22"/>
        </w:rPr>
        <w:t>In 2013 werden er 822 aanvragen voor een ecologiepremie ingediend. Onderstaande tabel toont de ingediende aanvragen per maand met investerings- en overeenkomstig subsidiebedrag:</w:t>
      </w:r>
    </w:p>
    <w:p w:rsidR="009F5C24" w:rsidRPr="008177B6" w:rsidRDefault="009F5C24" w:rsidP="009F5C24">
      <w:pPr>
        <w:pStyle w:val="StandaardSV"/>
        <w:rPr>
          <w:rFonts w:eastAsia="Calibri"/>
          <w:szCs w:val="22"/>
          <w:lang w:val="nl-BE" w:eastAsia="en-US"/>
        </w:rPr>
      </w:pPr>
    </w:p>
    <w:tbl>
      <w:tblPr>
        <w:tblStyle w:val="Tabelraster"/>
        <w:tblW w:w="6700" w:type="dxa"/>
        <w:tblLook w:val="04A0" w:firstRow="1" w:lastRow="0" w:firstColumn="1" w:lastColumn="0" w:noHBand="0" w:noVBand="1"/>
      </w:tblPr>
      <w:tblGrid>
        <w:gridCol w:w="1475"/>
        <w:gridCol w:w="1732"/>
        <w:gridCol w:w="803"/>
        <w:gridCol w:w="1591"/>
        <w:gridCol w:w="1481"/>
      </w:tblGrid>
      <w:tr w:rsidR="009F5C24" w:rsidRPr="00922512" w:rsidTr="002141D9">
        <w:trPr>
          <w:trHeight w:val="288"/>
        </w:trPr>
        <w:tc>
          <w:tcPr>
            <w:tcW w:w="1420" w:type="dxa"/>
            <w:noWrap/>
            <w:hideMark/>
          </w:tcPr>
          <w:p w:rsidR="009F5C24" w:rsidRPr="00922512" w:rsidRDefault="009F5C24" w:rsidP="002141D9">
            <w:pPr>
              <w:pStyle w:val="StandaardSV"/>
            </w:pPr>
            <w:r w:rsidRPr="00922512">
              <w:t>Indieningsjaar</w:t>
            </w:r>
          </w:p>
        </w:tc>
        <w:tc>
          <w:tcPr>
            <w:tcW w:w="1720" w:type="dxa"/>
            <w:noWrap/>
            <w:hideMark/>
          </w:tcPr>
          <w:p w:rsidR="009F5C24" w:rsidRPr="00922512" w:rsidRDefault="009F5C24" w:rsidP="002141D9">
            <w:pPr>
              <w:pStyle w:val="StandaardSV"/>
            </w:pPr>
            <w:r w:rsidRPr="00922512">
              <w:t>Indieningsmaand</w:t>
            </w:r>
          </w:p>
        </w:tc>
        <w:tc>
          <w:tcPr>
            <w:tcW w:w="720" w:type="dxa"/>
            <w:noWrap/>
            <w:hideMark/>
          </w:tcPr>
          <w:p w:rsidR="009F5C24" w:rsidRPr="00922512" w:rsidRDefault="009F5C24" w:rsidP="002141D9">
            <w:pPr>
              <w:pStyle w:val="StandaardSV"/>
            </w:pPr>
            <w:r w:rsidRPr="00922512">
              <w:t>Aantal</w:t>
            </w:r>
          </w:p>
        </w:tc>
        <w:tc>
          <w:tcPr>
            <w:tcW w:w="1480" w:type="dxa"/>
            <w:noWrap/>
            <w:hideMark/>
          </w:tcPr>
          <w:p w:rsidR="009F5C24" w:rsidRPr="00922512" w:rsidRDefault="009F5C24" w:rsidP="002141D9">
            <w:pPr>
              <w:pStyle w:val="StandaardSV"/>
            </w:pPr>
            <w:r w:rsidRPr="00922512">
              <w:t>Investering</w:t>
            </w:r>
          </w:p>
        </w:tc>
        <w:tc>
          <w:tcPr>
            <w:tcW w:w="1360" w:type="dxa"/>
            <w:noWrap/>
            <w:hideMark/>
          </w:tcPr>
          <w:p w:rsidR="009F5C24" w:rsidRPr="00922512" w:rsidRDefault="009F5C24" w:rsidP="002141D9">
            <w:pPr>
              <w:pStyle w:val="StandaardSV"/>
            </w:pPr>
            <w:r w:rsidRPr="00922512">
              <w:t>Subsidie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45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19.252.921,22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5.738.766,21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50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19.570.138,90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3.349.657,38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3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49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6.468.442,49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2.253.905,61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4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38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13.733.284,01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3.666.723,41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65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21.401.115,60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5.942.170,96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66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18.623.788,77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5.074.952,43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7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57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11.824.210,05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2.831.086,20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8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67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15.492.859,47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4.359.556,92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9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69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10.410.977,37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2.963.073,78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10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92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20.433.536,85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6.246.720,62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11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97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17.738.869,77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4.937.993,61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2013</w:t>
            </w:r>
          </w:p>
        </w:tc>
        <w:tc>
          <w:tcPr>
            <w:tcW w:w="1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12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127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15.804.879,71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3.853.485,52</w:t>
            </w:r>
          </w:p>
        </w:tc>
      </w:tr>
      <w:tr w:rsidR="009F5C24" w:rsidRPr="00922512" w:rsidTr="002141D9">
        <w:trPr>
          <w:trHeight w:val="288"/>
        </w:trPr>
        <w:tc>
          <w:tcPr>
            <w:tcW w:w="1420" w:type="dxa"/>
            <w:hideMark/>
          </w:tcPr>
          <w:p w:rsidR="009F5C24" w:rsidRPr="00922512" w:rsidRDefault="009F5C24" w:rsidP="002141D9">
            <w:pPr>
              <w:pStyle w:val="StandaardSV"/>
              <w:rPr>
                <w:b/>
              </w:rPr>
            </w:pPr>
            <w:r w:rsidRPr="00922512">
              <w:rPr>
                <w:b/>
              </w:rPr>
              <w:t> </w:t>
            </w:r>
          </w:p>
        </w:tc>
        <w:tc>
          <w:tcPr>
            <w:tcW w:w="1720" w:type="dxa"/>
            <w:hideMark/>
          </w:tcPr>
          <w:p w:rsidR="009F5C24" w:rsidRPr="00922512" w:rsidRDefault="009F5C24" w:rsidP="002141D9">
            <w:pPr>
              <w:pStyle w:val="StandaardSV"/>
              <w:rPr>
                <w:b/>
              </w:rPr>
            </w:pPr>
            <w:r w:rsidRPr="00922512">
              <w:rPr>
                <w:b/>
              </w:rPr>
              <w:t> </w:t>
            </w:r>
          </w:p>
        </w:tc>
        <w:tc>
          <w:tcPr>
            <w:tcW w:w="720" w:type="dxa"/>
            <w:hideMark/>
          </w:tcPr>
          <w:p w:rsidR="009F5C24" w:rsidRPr="00922512" w:rsidRDefault="009F5C24" w:rsidP="002141D9">
            <w:pPr>
              <w:pStyle w:val="StandaardSV"/>
              <w:rPr>
                <w:b/>
              </w:rPr>
            </w:pPr>
            <w:r w:rsidRPr="00922512">
              <w:rPr>
                <w:b/>
              </w:rPr>
              <w:t>822</w:t>
            </w:r>
          </w:p>
        </w:tc>
        <w:tc>
          <w:tcPr>
            <w:tcW w:w="1480" w:type="dxa"/>
            <w:hideMark/>
          </w:tcPr>
          <w:p w:rsidR="009F5C24" w:rsidRPr="00922512" w:rsidRDefault="009F5C24" w:rsidP="002141D9">
            <w:pPr>
              <w:pStyle w:val="StandaardSV"/>
              <w:rPr>
                <w:b/>
              </w:rPr>
            </w:pPr>
            <w:r w:rsidRPr="00922512">
              <w:rPr>
                <w:b/>
              </w:rPr>
              <w:t>190.755.024,21</w:t>
            </w:r>
          </w:p>
        </w:tc>
        <w:tc>
          <w:tcPr>
            <w:tcW w:w="1360" w:type="dxa"/>
            <w:hideMark/>
          </w:tcPr>
          <w:p w:rsidR="009F5C24" w:rsidRPr="00922512" w:rsidRDefault="009F5C24" w:rsidP="002141D9">
            <w:pPr>
              <w:pStyle w:val="StandaardSV"/>
              <w:rPr>
                <w:b/>
              </w:rPr>
            </w:pPr>
            <w:r w:rsidRPr="00922512">
              <w:rPr>
                <w:b/>
              </w:rPr>
              <w:t>51.218.092,65</w:t>
            </w:r>
          </w:p>
        </w:tc>
      </w:tr>
    </w:tbl>
    <w:p w:rsidR="009F5C24" w:rsidRDefault="009F5C24" w:rsidP="009F5C24">
      <w:pPr>
        <w:pStyle w:val="StandaardSV"/>
        <w:rPr>
          <w:szCs w:val="22"/>
        </w:rPr>
      </w:pPr>
    </w:p>
    <w:p w:rsidR="009F5C24" w:rsidRPr="00C30E70" w:rsidRDefault="009F5C24" w:rsidP="00C30E70">
      <w:pPr>
        <w:ind w:left="426"/>
        <w:jc w:val="both"/>
        <w:rPr>
          <w:sz w:val="22"/>
          <w:szCs w:val="22"/>
        </w:rPr>
      </w:pPr>
      <w:r w:rsidRPr="00C30E70">
        <w:rPr>
          <w:sz w:val="22"/>
          <w:szCs w:val="22"/>
        </w:rPr>
        <w:t>Onderstaande tabel toont de ingediende aanvragen per provincie met investerings- en overeenkomstig subsidiebedrag:</w:t>
      </w:r>
    </w:p>
    <w:p w:rsidR="009F5C24" w:rsidRPr="008177B6" w:rsidRDefault="009F5C24" w:rsidP="009F5C24">
      <w:pPr>
        <w:pStyle w:val="StandaardSV"/>
        <w:rPr>
          <w:rFonts w:eastAsia="Calibri"/>
          <w:szCs w:val="22"/>
        </w:rPr>
      </w:pPr>
    </w:p>
    <w:tbl>
      <w:tblPr>
        <w:tblStyle w:val="Tabelraster1"/>
        <w:tblW w:w="5920" w:type="dxa"/>
        <w:tblLook w:val="04A0" w:firstRow="1" w:lastRow="0" w:firstColumn="1" w:lastColumn="0" w:noHBand="0" w:noVBand="1"/>
      </w:tblPr>
      <w:tblGrid>
        <w:gridCol w:w="1946"/>
        <w:gridCol w:w="852"/>
        <w:gridCol w:w="1591"/>
        <w:gridCol w:w="1531"/>
      </w:tblGrid>
      <w:tr w:rsidR="009F5C24" w:rsidRPr="008177B6" w:rsidTr="002141D9">
        <w:trPr>
          <w:trHeight w:val="288"/>
        </w:trPr>
        <w:tc>
          <w:tcPr>
            <w:tcW w:w="1946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Provincie</w:t>
            </w:r>
          </w:p>
        </w:tc>
        <w:tc>
          <w:tcPr>
            <w:tcW w:w="852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Aantal</w:t>
            </w:r>
          </w:p>
        </w:tc>
        <w:tc>
          <w:tcPr>
            <w:tcW w:w="1591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Investering</w:t>
            </w:r>
          </w:p>
        </w:tc>
        <w:tc>
          <w:tcPr>
            <w:tcW w:w="1531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Subsidie</w:t>
            </w:r>
          </w:p>
        </w:tc>
      </w:tr>
      <w:tr w:rsidR="009F5C24" w:rsidRPr="008177B6" w:rsidTr="002141D9">
        <w:trPr>
          <w:trHeight w:val="288"/>
        </w:trPr>
        <w:tc>
          <w:tcPr>
            <w:tcW w:w="1946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Antwerpen</w:t>
            </w:r>
          </w:p>
        </w:tc>
        <w:tc>
          <w:tcPr>
            <w:tcW w:w="852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230</w:t>
            </w:r>
          </w:p>
        </w:tc>
        <w:tc>
          <w:tcPr>
            <w:tcW w:w="159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60.217.630,67</w:t>
            </w:r>
          </w:p>
        </w:tc>
        <w:tc>
          <w:tcPr>
            <w:tcW w:w="153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19.096.071,89</w:t>
            </w:r>
          </w:p>
        </w:tc>
      </w:tr>
      <w:tr w:rsidR="009F5C24" w:rsidRPr="008177B6" w:rsidTr="002141D9">
        <w:trPr>
          <w:trHeight w:val="288"/>
        </w:trPr>
        <w:tc>
          <w:tcPr>
            <w:tcW w:w="1946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Brussels Gewest*</w:t>
            </w:r>
          </w:p>
        </w:tc>
        <w:tc>
          <w:tcPr>
            <w:tcW w:w="852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7</w:t>
            </w:r>
          </w:p>
        </w:tc>
        <w:tc>
          <w:tcPr>
            <w:tcW w:w="159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9.254.143,93</w:t>
            </w:r>
          </w:p>
        </w:tc>
        <w:tc>
          <w:tcPr>
            <w:tcW w:w="153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2.132.016,41</w:t>
            </w:r>
          </w:p>
        </w:tc>
      </w:tr>
      <w:tr w:rsidR="009F5C24" w:rsidRPr="008177B6" w:rsidTr="002141D9">
        <w:trPr>
          <w:trHeight w:val="288"/>
        </w:trPr>
        <w:tc>
          <w:tcPr>
            <w:tcW w:w="1946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Limburg</w:t>
            </w:r>
          </w:p>
        </w:tc>
        <w:tc>
          <w:tcPr>
            <w:tcW w:w="852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91</w:t>
            </w:r>
          </w:p>
        </w:tc>
        <w:tc>
          <w:tcPr>
            <w:tcW w:w="159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22.967.141,87</w:t>
            </w:r>
          </w:p>
        </w:tc>
        <w:tc>
          <w:tcPr>
            <w:tcW w:w="153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5.949.308,43</w:t>
            </w:r>
          </w:p>
        </w:tc>
      </w:tr>
      <w:tr w:rsidR="009F5C24" w:rsidRPr="008177B6" w:rsidTr="002141D9">
        <w:trPr>
          <w:trHeight w:val="288"/>
        </w:trPr>
        <w:tc>
          <w:tcPr>
            <w:tcW w:w="1946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Oost-Vlaanderen</w:t>
            </w:r>
          </w:p>
        </w:tc>
        <w:tc>
          <w:tcPr>
            <w:tcW w:w="852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215</w:t>
            </w:r>
          </w:p>
        </w:tc>
        <w:tc>
          <w:tcPr>
            <w:tcW w:w="159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35.559.993,06</w:t>
            </w:r>
          </w:p>
        </w:tc>
        <w:tc>
          <w:tcPr>
            <w:tcW w:w="153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10.322.223,88</w:t>
            </w:r>
          </w:p>
        </w:tc>
      </w:tr>
      <w:tr w:rsidR="009F5C24" w:rsidRPr="008177B6" w:rsidTr="002141D9">
        <w:trPr>
          <w:trHeight w:val="288"/>
        </w:trPr>
        <w:tc>
          <w:tcPr>
            <w:tcW w:w="1946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Vlaams-Brabant</w:t>
            </w:r>
          </w:p>
        </w:tc>
        <w:tc>
          <w:tcPr>
            <w:tcW w:w="852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90</w:t>
            </w:r>
          </w:p>
        </w:tc>
        <w:tc>
          <w:tcPr>
            <w:tcW w:w="159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28.762.148,41</w:t>
            </w:r>
          </w:p>
        </w:tc>
        <w:tc>
          <w:tcPr>
            <w:tcW w:w="153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5.133.330,70</w:t>
            </w:r>
          </w:p>
        </w:tc>
      </w:tr>
      <w:tr w:rsidR="009F5C24" w:rsidRPr="008177B6" w:rsidTr="002141D9">
        <w:trPr>
          <w:trHeight w:val="288"/>
        </w:trPr>
        <w:tc>
          <w:tcPr>
            <w:tcW w:w="1946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West-Vlaanderen</w:t>
            </w:r>
          </w:p>
        </w:tc>
        <w:tc>
          <w:tcPr>
            <w:tcW w:w="852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189</w:t>
            </w:r>
          </w:p>
        </w:tc>
        <w:tc>
          <w:tcPr>
            <w:tcW w:w="159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33.993.966,27</w:t>
            </w:r>
          </w:p>
        </w:tc>
        <w:tc>
          <w:tcPr>
            <w:tcW w:w="1531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8.585.141,34</w:t>
            </w:r>
          </w:p>
        </w:tc>
      </w:tr>
      <w:tr w:rsidR="009F5C24" w:rsidRPr="008177B6" w:rsidTr="002141D9">
        <w:trPr>
          <w:trHeight w:val="288"/>
        </w:trPr>
        <w:tc>
          <w:tcPr>
            <w:tcW w:w="1946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 </w:t>
            </w:r>
          </w:p>
        </w:tc>
        <w:tc>
          <w:tcPr>
            <w:tcW w:w="852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822</w:t>
            </w:r>
          </w:p>
        </w:tc>
        <w:tc>
          <w:tcPr>
            <w:tcW w:w="1591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190.755.024,21</w:t>
            </w:r>
          </w:p>
        </w:tc>
        <w:tc>
          <w:tcPr>
            <w:tcW w:w="1531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51.218.092,65</w:t>
            </w:r>
          </w:p>
        </w:tc>
      </w:tr>
    </w:tbl>
    <w:p w:rsidR="009F5C24" w:rsidRPr="00C30E70" w:rsidRDefault="009F5C24" w:rsidP="009F5C24">
      <w:pPr>
        <w:pStyle w:val="StandaardSV"/>
        <w:rPr>
          <w:rFonts w:eastAsia="Calibri"/>
          <w:sz w:val="18"/>
          <w:szCs w:val="18"/>
        </w:rPr>
      </w:pPr>
      <w:r w:rsidRPr="00C30E70">
        <w:rPr>
          <w:rFonts w:eastAsia="Calibri"/>
          <w:sz w:val="18"/>
          <w:szCs w:val="18"/>
        </w:rPr>
        <w:t>* betreffen ondernemingen met uitbatingszetel in Vlaanderen, maar met maatschappelijke zetel in het Brussels Gewest</w:t>
      </w:r>
    </w:p>
    <w:p w:rsidR="009F5C24" w:rsidRPr="008177B6" w:rsidRDefault="009F5C24" w:rsidP="009F5C24">
      <w:pPr>
        <w:pStyle w:val="StandaardSV"/>
        <w:rPr>
          <w:rFonts w:eastAsia="Calibri"/>
          <w:szCs w:val="22"/>
        </w:rPr>
      </w:pPr>
    </w:p>
    <w:p w:rsidR="009F5C24" w:rsidRPr="008177B6" w:rsidRDefault="009F5C24" w:rsidP="00C30E70">
      <w:pPr>
        <w:pStyle w:val="StandaardSV"/>
        <w:ind w:left="426"/>
        <w:rPr>
          <w:rFonts w:eastAsia="Calibri"/>
          <w:szCs w:val="22"/>
        </w:rPr>
      </w:pPr>
      <w:r w:rsidRPr="008177B6">
        <w:rPr>
          <w:rFonts w:eastAsia="Calibri"/>
          <w:szCs w:val="22"/>
        </w:rPr>
        <w:t xml:space="preserve">Onderstaande tabel toont de ingediende aanvragen per ondernemingsgrootte met investerings- en </w:t>
      </w:r>
      <w:r>
        <w:rPr>
          <w:rFonts w:eastAsia="Calibri"/>
          <w:szCs w:val="22"/>
        </w:rPr>
        <w:t xml:space="preserve">overeenkomstig </w:t>
      </w:r>
      <w:r w:rsidRPr="008177B6">
        <w:rPr>
          <w:rFonts w:eastAsia="Calibri"/>
          <w:szCs w:val="22"/>
        </w:rPr>
        <w:t>subsidiebedrag:</w:t>
      </w:r>
    </w:p>
    <w:p w:rsidR="009F5C24" w:rsidRPr="008177B6" w:rsidRDefault="009F5C24" w:rsidP="009F5C24">
      <w:pPr>
        <w:pStyle w:val="StandaardSV"/>
        <w:rPr>
          <w:rFonts w:eastAsia="Calibri"/>
          <w:szCs w:val="22"/>
        </w:rPr>
      </w:pPr>
    </w:p>
    <w:tbl>
      <w:tblPr>
        <w:tblStyle w:val="Tabelraster1"/>
        <w:tblW w:w="5760" w:type="dxa"/>
        <w:tblLook w:val="04A0" w:firstRow="1" w:lastRow="0" w:firstColumn="1" w:lastColumn="0" w:noHBand="0" w:noVBand="1"/>
      </w:tblPr>
      <w:tblGrid>
        <w:gridCol w:w="2200"/>
        <w:gridCol w:w="803"/>
        <w:gridCol w:w="1591"/>
        <w:gridCol w:w="1481"/>
      </w:tblGrid>
      <w:tr w:rsidR="009F5C24" w:rsidRPr="008177B6" w:rsidTr="002141D9">
        <w:trPr>
          <w:trHeight w:val="288"/>
        </w:trPr>
        <w:tc>
          <w:tcPr>
            <w:tcW w:w="2200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Ondernemingsgrootte</w:t>
            </w:r>
          </w:p>
        </w:tc>
        <w:tc>
          <w:tcPr>
            <w:tcW w:w="720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Aantal</w:t>
            </w:r>
          </w:p>
        </w:tc>
        <w:tc>
          <w:tcPr>
            <w:tcW w:w="1480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Investering</w:t>
            </w:r>
          </w:p>
        </w:tc>
        <w:tc>
          <w:tcPr>
            <w:tcW w:w="1360" w:type="dxa"/>
            <w:noWrap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Subsidie</w:t>
            </w:r>
          </w:p>
        </w:tc>
      </w:tr>
      <w:tr w:rsidR="009F5C24" w:rsidRPr="008177B6" w:rsidTr="002141D9">
        <w:trPr>
          <w:trHeight w:val="288"/>
        </w:trPr>
        <w:tc>
          <w:tcPr>
            <w:tcW w:w="220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KMO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714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100.305.814,44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29.262.116,29</w:t>
            </w:r>
          </w:p>
        </w:tc>
      </w:tr>
      <w:tr w:rsidR="009F5C24" w:rsidRPr="008177B6" w:rsidTr="002141D9">
        <w:trPr>
          <w:trHeight w:val="288"/>
        </w:trPr>
        <w:tc>
          <w:tcPr>
            <w:tcW w:w="220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GO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108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90.449.209,77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</w:pPr>
            <w:r w:rsidRPr="008177B6">
              <w:t>21.955.976,36</w:t>
            </w:r>
          </w:p>
        </w:tc>
      </w:tr>
      <w:tr w:rsidR="009F5C24" w:rsidRPr="008177B6" w:rsidTr="002141D9">
        <w:trPr>
          <w:trHeight w:val="288"/>
        </w:trPr>
        <w:tc>
          <w:tcPr>
            <w:tcW w:w="2200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 </w:t>
            </w:r>
          </w:p>
        </w:tc>
        <w:tc>
          <w:tcPr>
            <w:tcW w:w="720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822</w:t>
            </w:r>
          </w:p>
        </w:tc>
        <w:tc>
          <w:tcPr>
            <w:tcW w:w="1480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190.755.024,21</w:t>
            </w:r>
          </w:p>
        </w:tc>
        <w:tc>
          <w:tcPr>
            <w:tcW w:w="1360" w:type="dxa"/>
            <w:hideMark/>
          </w:tcPr>
          <w:p w:rsidR="009F5C24" w:rsidRPr="008177B6" w:rsidRDefault="009F5C24" w:rsidP="002141D9">
            <w:pPr>
              <w:pStyle w:val="StandaardSV"/>
              <w:rPr>
                <w:b/>
              </w:rPr>
            </w:pPr>
            <w:r w:rsidRPr="008177B6">
              <w:rPr>
                <w:b/>
              </w:rPr>
              <w:t>51.218.092,65</w:t>
            </w:r>
          </w:p>
        </w:tc>
      </w:tr>
    </w:tbl>
    <w:p w:rsidR="009F5C24" w:rsidRDefault="009F5C24" w:rsidP="009F5C24">
      <w:pPr>
        <w:pStyle w:val="StandaardSV"/>
        <w:rPr>
          <w:rFonts w:eastAsia="Calibri"/>
          <w:szCs w:val="22"/>
        </w:rPr>
      </w:pPr>
    </w:p>
    <w:p w:rsidR="009F5C24" w:rsidRPr="008E0F86" w:rsidRDefault="009F5C24" w:rsidP="00C30E70">
      <w:pPr>
        <w:pStyle w:val="StandaardSV"/>
        <w:ind w:left="426"/>
        <w:rPr>
          <w:b/>
          <w:lang w:val="nl-BE"/>
        </w:rPr>
      </w:pPr>
      <w:r>
        <w:rPr>
          <w:lang w:val="nl-BE"/>
        </w:rPr>
        <w:lastRenderedPageBreak/>
        <w:t xml:space="preserve">Voor een indeling per technologie met vermelding van het investerings- en overeenkomstig subsidiebedrag verwijzen we naar de bijgevoegde tabel </w:t>
      </w:r>
      <w:r>
        <w:rPr>
          <w:b/>
          <w:lang w:val="nl-BE"/>
        </w:rPr>
        <w:t>SV293</w:t>
      </w:r>
      <w:r w:rsidRPr="008E0F86">
        <w:rPr>
          <w:b/>
          <w:lang w:val="nl-BE"/>
        </w:rPr>
        <w:t>_Ingediend_Tech</w:t>
      </w:r>
    </w:p>
    <w:p w:rsidR="009F5C24" w:rsidRDefault="009F5C24" w:rsidP="009F5C24">
      <w:pPr>
        <w:pStyle w:val="StandaardSV"/>
      </w:pPr>
    </w:p>
    <w:p w:rsidR="009F5C24" w:rsidRDefault="009F5C24" w:rsidP="00C30E70">
      <w:pPr>
        <w:pStyle w:val="StandaardSV"/>
        <w:numPr>
          <w:ilvl w:val="0"/>
          <w:numId w:val="5"/>
        </w:numPr>
      </w:pPr>
      <w:r>
        <w:t>Voor deze vraag wordt er verwezen naar de tabellen bij vraag 1.</w:t>
      </w:r>
    </w:p>
    <w:p w:rsidR="009F5C24" w:rsidRDefault="009F5C24" w:rsidP="009F5C24">
      <w:pPr>
        <w:pStyle w:val="StandaardSV"/>
      </w:pPr>
    </w:p>
    <w:p w:rsidR="009F5C24" w:rsidRDefault="009F5C24" w:rsidP="00C30E70">
      <w:pPr>
        <w:pStyle w:val="StandaardSV"/>
        <w:numPr>
          <w:ilvl w:val="0"/>
          <w:numId w:val="5"/>
        </w:numPr>
      </w:pPr>
      <w:r>
        <w:t>Voor deze vraag wordt er verwezen naar de tabellen bij vraag 1.</w:t>
      </w:r>
    </w:p>
    <w:p w:rsidR="009F5C24" w:rsidRDefault="009F5C24" w:rsidP="009F5C24">
      <w:pPr>
        <w:pStyle w:val="StandaardSV"/>
      </w:pPr>
    </w:p>
    <w:p w:rsidR="009F5C24" w:rsidRPr="008177B6" w:rsidRDefault="009F5C24" w:rsidP="00C30E70">
      <w:pPr>
        <w:pStyle w:val="StandaardSV"/>
        <w:numPr>
          <w:ilvl w:val="0"/>
          <w:numId w:val="5"/>
        </w:numPr>
        <w:rPr>
          <w:szCs w:val="22"/>
        </w:rPr>
      </w:pPr>
      <w:r w:rsidRPr="008177B6">
        <w:rPr>
          <w:szCs w:val="22"/>
        </w:rPr>
        <w:t xml:space="preserve">In 2013 werden er </w:t>
      </w:r>
      <w:r>
        <w:rPr>
          <w:szCs w:val="22"/>
        </w:rPr>
        <w:t>527</w:t>
      </w:r>
      <w:r w:rsidRPr="008177B6">
        <w:rPr>
          <w:szCs w:val="22"/>
        </w:rPr>
        <w:t xml:space="preserve"> aanvragen voor een ecologiepremie </w:t>
      </w:r>
      <w:r>
        <w:rPr>
          <w:szCs w:val="22"/>
        </w:rPr>
        <w:t>goedgekeurd</w:t>
      </w:r>
      <w:r w:rsidRPr="008177B6">
        <w:rPr>
          <w:szCs w:val="22"/>
        </w:rPr>
        <w:t>. Onderstaande tabel toont de ingediende aanvragen per maand met investerings- en overeenkomstig subsidiebedrag:</w:t>
      </w:r>
    </w:p>
    <w:p w:rsidR="009F5C24" w:rsidRPr="00816972" w:rsidRDefault="009F5C24" w:rsidP="009F5C24">
      <w:pPr>
        <w:pStyle w:val="StandaardSV"/>
        <w:rPr>
          <w:sz w:val="20"/>
          <w:lang w:val="nl-BE" w:eastAsia="nl-BE"/>
        </w:rPr>
      </w:pPr>
    </w:p>
    <w:tbl>
      <w:tblPr>
        <w:tblStyle w:val="Tabelraster"/>
        <w:tblW w:w="6700" w:type="dxa"/>
        <w:tblLook w:val="04A0" w:firstRow="1" w:lastRow="0" w:firstColumn="1" w:lastColumn="0" w:noHBand="0" w:noVBand="1"/>
      </w:tblPr>
      <w:tblGrid>
        <w:gridCol w:w="1610"/>
        <w:gridCol w:w="1867"/>
        <w:gridCol w:w="852"/>
        <w:gridCol w:w="1591"/>
        <w:gridCol w:w="1481"/>
      </w:tblGrid>
      <w:tr w:rsidR="009F5C24" w:rsidRPr="00816972" w:rsidTr="002141D9">
        <w:trPr>
          <w:trHeight w:val="288"/>
        </w:trPr>
        <w:tc>
          <w:tcPr>
            <w:tcW w:w="1420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Beslissingsjaar</w:t>
            </w:r>
          </w:p>
        </w:tc>
        <w:tc>
          <w:tcPr>
            <w:tcW w:w="1720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Beslissingsmaand</w:t>
            </w:r>
          </w:p>
        </w:tc>
        <w:tc>
          <w:tcPr>
            <w:tcW w:w="720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Aantal</w:t>
            </w:r>
          </w:p>
        </w:tc>
        <w:tc>
          <w:tcPr>
            <w:tcW w:w="1480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Investering</w:t>
            </w:r>
          </w:p>
        </w:tc>
        <w:tc>
          <w:tcPr>
            <w:tcW w:w="1360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Subsidie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37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13.163.892,48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3.611.183,18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3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43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19.247.891,63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3.616.018,36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5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41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13.151.725,62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3.980.360,78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7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47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8.157.043,20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2.655.667,34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8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83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17.485.198,78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5.058.450,41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10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59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18.184.596,22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4.108.882,85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11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107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17.084.234,26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5.180.570,40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2013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12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110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28.796.832,77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7.981.786,55</w:t>
            </w:r>
          </w:p>
        </w:tc>
      </w:tr>
      <w:tr w:rsidR="009F5C24" w:rsidRPr="00816972" w:rsidTr="002141D9">
        <w:trPr>
          <w:trHeight w:val="288"/>
        </w:trPr>
        <w:tc>
          <w:tcPr>
            <w:tcW w:w="1420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 </w:t>
            </w:r>
          </w:p>
        </w:tc>
        <w:tc>
          <w:tcPr>
            <w:tcW w:w="720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527</w:t>
            </w:r>
          </w:p>
        </w:tc>
        <w:tc>
          <w:tcPr>
            <w:tcW w:w="1480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135.271.414,96</w:t>
            </w:r>
          </w:p>
        </w:tc>
        <w:tc>
          <w:tcPr>
            <w:tcW w:w="1360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36.192.919,87</w:t>
            </w:r>
          </w:p>
        </w:tc>
      </w:tr>
    </w:tbl>
    <w:p w:rsidR="009F5C24" w:rsidRDefault="009F5C24" w:rsidP="009F5C24">
      <w:pPr>
        <w:pStyle w:val="StandaardSV"/>
      </w:pPr>
    </w:p>
    <w:p w:rsidR="009F5C24" w:rsidRPr="00C30E70" w:rsidRDefault="009F5C24" w:rsidP="00C30E70">
      <w:pPr>
        <w:ind w:left="426"/>
        <w:jc w:val="both"/>
        <w:rPr>
          <w:sz w:val="22"/>
          <w:szCs w:val="22"/>
        </w:rPr>
      </w:pPr>
      <w:r w:rsidRPr="00C30E70">
        <w:rPr>
          <w:sz w:val="22"/>
          <w:szCs w:val="22"/>
        </w:rPr>
        <w:t>Onderstaande tabel toont de goedgekeurde aanvragen per provincie met investerings- en overeenkomstig subsidiebedrag:</w:t>
      </w:r>
    </w:p>
    <w:p w:rsidR="009F5C24" w:rsidRPr="00C30E70" w:rsidRDefault="009F5C24" w:rsidP="00C30E70">
      <w:pPr>
        <w:pStyle w:val="StandaardSV"/>
        <w:ind w:left="426"/>
        <w:rPr>
          <w:szCs w:val="22"/>
          <w:lang w:val="nl-BE" w:eastAsia="nl-BE"/>
        </w:rPr>
      </w:pPr>
    </w:p>
    <w:tbl>
      <w:tblPr>
        <w:tblStyle w:val="Tabelraster"/>
        <w:tblW w:w="5578" w:type="dxa"/>
        <w:tblLook w:val="04A0" w:firstRow="1" w:lastRow="0" w:firstColumn="1" w:lastColumn="0" w:noHBand="0" w:noVBand="1"/>
      </w:tblPr>
      <w:tblGrid>
        <w:gridCol w:w="1904"/>
        <w:gridCol w:w="852"/>
        <w:gridCol w:w="1617"/>
        <w:gridCol w:w="1506"/>
      </w:tblGrid>
      <w:tr w:rsidR="009F5C24" w:rsidRPr="00816972" w:rsidTr="002141D9">
        <w:trPr>
          <w:trHeight w:val="288"/>
        </w:trPr>
        <w:tc>
          <w:tcPr>
            <w:tcW w:w="1904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Provincie</w:t>
            </w:r>
          </w:p>
        </w:tc>
        <w:tc>
          <w:tcPr>
            <w:tcW w:w="551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Aantal</w:t>
            </w:r>
          </w:p>
        </w:tc>
        <w:tc>
          <w:tcPr>
            <w:tcW w:w="1617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Investering</w:t>
            </w:r>
          </w:p>
        </w:tc>
        <w:tc>
          <w:tcPr>
            <w:tcW w:w="1506" w:type="dxa"/>
            <w:noWrap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Subsidie</w:t>
            </w:r>
          </w:p>
        </w:tc>
      </w:tr>
      <w:tr w:rsidR="009F5C24" w:rsidRPr="00816972" w:rsidTr="002141D9">
        <w:trPr>
          <w:trHeight w:val="288"/>
        </w:trPr>
        <w:tc>
          <w:tcPr>
            <w:tcW w:w="1904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Antwerpen</w:t>
            </w:r>
          </w:p>
        </w:tc>
        <w:tc>
          <w:tcPr>
            <w:tcW w:w="551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148</w:t>
            </w:r>
          </w:p>
        </w:tc>
        <w:tc>
          <w:tcPr>
            <w:tcW w:w="1617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41.098.942,42</w:t>
            </w:r>
          </w:p>
        </w:tc>
        <w:tc>
          <w:tcPr>
            <w:tcW w:w="1506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12.814.788,57</w:t>
            </w:r>
          </w:p>
        </w:tc>
      </w:tr>
      <w:tr w:rsidR="009F5C24" w:rsidRPr="00816972" w:rsidTr="002141D9">
        <w:trPr>
          <w:trHeight w:val="288"/>
        </w:trPr>
        <w:tc>
          <w:tcPr>
            <w:tcW w:w="1904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Brussels Gewest</w:t>
            </w:r>
          </w:p>
        </w:tc>
        <w:tc>
          <w:tcPr>
            <w:tcW w:w="551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</w:t>
            </w:r>
          </w:p>
        </w:tc>
        <w:tc>
          <w:tcPr>
            <w:tcW w:w="1617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2.679.736,25</w:t>
            </w:r>
          </w:p>
        </w:tc>
        <w:tc>
          <w:tcPr>
            <w:tcW w:w="1506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552.536,72</w:t>
            </w:r>
          </w:p>
        </w:tc>
      </w:tr>
      <w:tr w:rsidR="009F5C24" w:rsidRPr="00816972" w:rsidTr="002141D9">
        <w:trPr>
          <w:trHeight w:val="288"/>
        </w:trPr>
        <w:tc>
          <w:tcPr>
            <w:tcW w:w="1904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Limburg</w:t>
            </w:r>
          </w:p>
        </w:tc>
        <w:tc>
          <w:tcPr>
            <w:tcW w:w="551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57</w:t>
            </w:r>
          </w:p>
        </w:tc>
        <w:tc>
          <w:tcPr>
            <w:tcW w:w="1617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16.552.142,90</w:t>
            </w:r>
          </w:p>
        </w:tc>
        <w:tc>
          <w:tcPr>
            <w:tcW w:w="1506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4.665.045,61</w:t>
            </w:r>
          </w:p>
        </w:tc>
      </w:tr>
      <w:tr w:rsidR="009F5C24" w:rsidRPr="00816972" w:rsidTr="002141D9">
        <w:trPr>
          <w:trHeight w:val="288"/>
        </w:trPr>
        <w:tc>
          <w:tcPr>
            <w:tcW w:w="1904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Oost Vlaanderen</w:t>
            </w:r>
          </w:p>
        </w:tc>
        <w:tc>
          <w:tcPr>
            <w:tcW w:w="551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139</w:t>
            </w:r>
          </w:p>
        </w:tc>
        <w:tc>
          <w:tcPr>
            <w:tcW w:w="1617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28.455.709,64</w:t>
            </w:r>
          </w:p>
        </w:tc>
        <w:tc>
          <w:tcPr>
            <w:tcW w:w="1506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8.204.460,83</w:t>
            </w:r>
          </w:p>
        </w:tc>
      </w:tr>
      <w:tr w:rsidR="009F5C24" w:rsidRPr="00816972" w:rsidTr="002141D9">
        <w:trPr>
          <w:trHeight w:val="288"/>
        </w:trPr>
        <w:tc>
          <w:tcPr>
            <w:tcW w:w="1904" w:type="dxa"/>
            <w:hideMark/>
          </w:tcPr>
          <w:p w:rsidR="009F5C24" w:rsidRPr="00816972" w:rsidRDefault="009F5C24" w:rsidP="002141D9">
            <w:pPr>
              <w:pStyle w:val="StandaardSV"/>
            </w:pPr>
            <w:r>
              <w:t>Vlaams-</w:t>
            </w:r>
            <w:r w:rsidRPr="00816972">
              <w:t>Brabant</w:t>
            </w:r>
          </w:p>
        </w:tc>
        <w:tc>
          <w:tcPr>
            <w:tcW w:w="551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61</w:t>
            </w:r>
          </w:p>
        </w:tc>
        <w:tc>
          <w:tcPr>
            <w:tcW w:w="1617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24.848.911,54</w:t>
            </w:r>
          </w:p>
        </w:tc>
        <w:tc>
          <w:tcPr>
            <w:tcW w:w="1506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4.239.017,70</w:t>
            </w:r>
          </w:p>
        </w:tc>
      </w:tr>
      <w:tr w:rsidR="009F5C24" w:rsidRPr="00816972" w:rsidTr="002141D9">
        <w:trPr>
          <w:trHeight w:val="288"/>
        </w:trPr>
        <w:tc>
          <w:tcPr>
            <w:tcW w:w="1904" w:type="dxa"/>
            <w:hideMark/>
          </w:tcPr>
          <w:p w:rsidR="009F5C24" w:rsidRPr="00816972" w:rsidRDefault="009F5C24" w:rsidP="002141D9">
            <w:pPr>
              <w:pStyle w:val="StandaardSV"/>
            </w:pPr>
            <w:r>
              <w:t>West-</w:t>
            </w:r>
            <w:r w:rsidRPr="00816972">
              <w:t>Vlaanderen</w:t>
            </w:r>
          </w:p>
        </w:tc>
        <w:tc>
          <w:tcPr>
            <w:tcW w:w="551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118</w:t>
            </w:r>
          </w:p>
        </w:tc>
        <w:tc>
          <w:tcPr>
            <w:tcW w:w="1617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21.635.972,21</w:t>
            </w:r>
          </w:p>
        </w:tc>
        <w:tc>
          <w:tcPr>
            <w:tcW w:w="1506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5.717.070,44</w:t>
            </w:r>
          </w:p>
        </w:tc>
      </w:tr>
      <w:tr w:rsidR="009F5C24" w:rsidRPr="00816972" w:rsidTr="002141D9">
        <w:trPr>
          <w:trHeight w:val="288"/>
        </w:trPr>
        <w:tc>
          <w:tcPr>
            <w:tcW w:w="1904" w:type="dxa"/>
            <w:hideMark/>
          </w:tcPr>
          <w:p w:rsidR="009F5C24" w:rsidRPr="00816972" w:rsidRDefault="009F5C24" w:rsidP="002141D9">
            <w:pPr>
              <w:pStyle w:val="StandaardSV"/>
            </w:pPr>
            <w:r w:rsidRPr="00816972">
              <w:t> </w:t>
            </w:r>
          </w:p>
        </w:tc>
        <w:tc>
          <w:tcPr>
            <w:tcW w:w="551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527</w:t>
            </w:r>
          </w:p>
        </w:tc>
        <w:tc>
          <w:tcPr>
            <w:tcW w:w="1617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135.271.414,96</w:t>
            </w:r>
          </w:p>
        </w:tc>
        <w:tc>
          <w:tcPr>
            <w:tcW w:w="1506" w:type="dxa"/>
            <w:hideMark/>
          </w:tcPr>
          <w:p w:rsidR="009F5C24" w:rsidRPr="00816972" w:rsidRDefault="009F5C24" w:rsidP="002141D9">
            <w:pPr>
              <w:pStyle w:val="StandaardSV"/>
              <w:rPr>
                <w:b/>
                <w:bCs/>
              </w:rPr>
            </w:pPr>
            <w:r w:rsidRPr="00816972">
              <w:rPr>
                <w:b/>
                <w:bCs/>
              </w:rPr>
              <w:t>36.192.919,87</w:t>
            </w:r>
          </w:p>
        </w:tc>
      </w:tr>
    </w:tbl>
    <w:p w:rsidR="009F5C24" w:rsidRDefault="009F5C24" w:rsidP="009F5C24">
      <w:pPr>
        <w:pStyle w:val="StandaardSV"/>
      </w:pPr>
    </w:p>
    <w:p w:rsidR="009F5C24" w:rsidRDefault="009F5C24" w:rsidP="00C30E70">
      <w:pPr>
        <w:pStyle w:val="StandaardSV"/>
        <w:ind w:left="426"/>
        <w:rPr>
          <w:rFonts w:eastAsia="Calibri"/>
          <w:szCs w:val="22"/>
        </w:rPr>
      </w:pPr>
      <w:r w:rsidRPr="008177B6">
        <w:rPr>
          <w:rFonts w:eastAsia="Calibri"/>
          <w:szCs w:val="22"/>
        </w:rPr>
        <w:t xml:space="preserve">Onderstaande tabel toont de ingediende aanvragen per ondernemingsgrootte met investerings- en </w:t>
      </w:r>
      <w:r>
        <w:rPr>
          <w:rFonts w:eastAsia="Calibri"/>
          <w:szCs w:val="22"/>
        </w:rPr>
        <w:t xml:space="preserve">overeenkomstig </w:t>
      </w:r>
      <w:r w:rsidRPr="008177B6">
        <w:rPr>
          <w:rFonts w:eastAsia="Calibri"/>
          <w:szCs w:val="22"/>
        </w:rPr>
        <w:t>subsidiebedrag:</w:t>
      </w:r>
    </w:p>
    <w:p w:rsidR="009F5C24" w:rsidRDefault="009F5C24" w:rsidP="009F5C24">
      <w:pPr>
        <w:pStyle w:val="StandaardSV"/>
        <w:rPr>
          <w:sz w:val="20"/>
          <w:lang w:val="nl-BE" w:eastAsia="nl-BE"/>
        </w:rPr>
      </w:pPr>
    </w:p>
    <w:tbl>
      <w:tblPr>
        <w:tblW w:w="5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776"/>
        <w:gridCol w:w="1515"/>
        <w:gridCol w:w="1405"/>
      </w:tblGrid>
      <w:tr w:rsidR="009F5C24" w:rsidRPr="000F1442" w:rsidTr="002141D9">
        <w:trPr>
          <w:trHeight w:val="2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24" w:rsidRPr="000F1442" w:rsidRDefault="009F5C24" w:rsidP="002141D9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Ondernemingsgrootte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24" w:rsidRPr="000F1442" w:rsidRDefault="009F5C24" w:rsidP="002141D9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Aantal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24" w:rsidRPr="000F1442" w:rsidRDefault="009F5C24" w:rsidP="002141D9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Investering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24" w:rsidRPr="000F1442" w:rsidRDefault="009F5C24" w:rsidP="002141D9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Subsidie</w:t>
            </w:r>
          </w:p>
        </w:tc>
      </w:tr>
      <w:tr w:rsidR="009F5C24" w:rsidRPr="000F1442" w:rsidTr="002141D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78.733.382,62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23.807.069,95</w:t>
            </w:r>
          </w:p>
        </w:tc>
      </w:tr>
      <w:tr w:rsidR="009F5C24" w:rsidRPr="000F1442" w:rsidTr="002141D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56.538.032,34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12.385.849,92</w:t>
            </w:r>
          </w:p>
        </w:tc>
      </w:tr>
      <w:tr w:rsidR="009F5C24" w:rsidRPr="000F1442" w:rsidTr="002141D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135.271.414,96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24" w:rsidRPr="000F1442" w:rsidRDefault="009F5C24" w:rsidP="002141D9">
            <w:pPr>
              <w:jc w:val="right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0F1442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36.192.919,87</w:t>
            </w:r>
          </w:p>
        </w:tc>
      </w:tr>
    </w:tbl>
    <w:p w:rsidR="009F5C24" w:rsidRPr="008177B6" w:rsidRDefault="009F5C24" w:rsidP="009F5C24">
      <w:pPr>
        <w:pStyle w:val="StandaardSV"/>
        <w:rPr>
          <w:rFonts w:eastAsia="Calibri"/>
          <w:szCs w:val="22"/>
        </w:rPr>
      </w:pPr>
    </w:p>
    <w:p w:rsidR="009F5C24" w:rsidRPr="008E0F86" w:rsidRDefault="009F5C24" w:rsidP="00C30E70">
      <w:pPr>
        <w:pStyle w:val="StandaardSV"/>
        <w:ind w:left="426"/>
        <w:rPr>
          <w:b/>
          <w:lang w:val="nl-BE"/>
        </w:rPr>
      </w:pPr>
      <w:r>
        <w:rPr>
          <w:lang w:val="nl-BE"/>
        </w:rPr>
        <w:t xml:space="preserve">Voor een indeling per technologie met vermelding van het investerings- en overeenkomstig subsidiebedrag verwijzen we naar de bijgevoegde tabel </w:t>
      </w:r>
      <w:r>
        <w:rPr>
          <w:b/>
          <w:lang w:val="nl-BE"/>
        </w:rPr>
        <w:t>SV293</w:t>
      </w:r>
      <w:r w:rsidRPr="008E0F86">
        <w:rPr>
          <w:b/>
          <w:lang w:val="nl-BE"/>
        </w:rPr>
        <w:t>_</w:t>
      </w:r>
      <w:r>
        <w:rPr>
          <w:b/>
          <w:lang w:val="nl-BE"/>
        </w:rPr>
        <w:t>Beslist</w:t>
      </w:r>
      <w:r w:rsidRPr="008E0F86">
        <w:rPr>
          <w:b/>
          <w:lang w:val="nl-BE"/>
        </w:rPr>
        <w:t>_Tech</w:t>
      </w:r>
    </w:p>
    <w:p w:rsidR="009F5C24" w:rsidRPr="00D80FBE" w:rsidRDefault="009F5C24" w:rsidP="009F5C24">
      <w:pPr>
        <w:pStyle w:val="StandaardSV"/>
      </w:pPr>
    </w:p>
    <w:p w:rsidR="009F5C24" w:rsidRDefault="009F5C24" w:rsidP="00C30E70">
      <w:pPr>
        <w:pStyle w:val="StandaardSV"/>
        <w:numPr>
          <w:ilvl w:val="0"/>
          <w:numId w:val="5"/>
        </w:numPr>
      </w:pPr>
      <w:r>
        <w:t>Voor deze vraag wordt er verwezen naar de tabellen bij vraag 4.</w:t>
      </w:r>
    </w:p>
    <w:p w:rsidR="009F5C24" w:rsidRPr="00D80FBE" w:rsidRDefault="009F5C24" w:rsidP="009F5C24">
      <w:pPr>
        <w:pStyle w:val="StandaardSV"/>
      </w:pPr>
    </w:p>
    <w:p w:rsidR="009F5C24" w:rsidRDefault="009F5C24" w:rsidP="00C30E70">
      <w:pPr>
        <w:pStyle w:val="StandaardSV"/>
        <w:numPr>
          <w:ilvl w:val="0"/>
          <w:numId w:val="5"/>
        </w:numPr>
      </w:pPr>
      <w:r>
        <w:t>Voor deze vraag wordt er verwezen naar de tabellen bij vraag 4.</w:t>
      </w:r>
    </w:p>
    <w:p w:rsidR="009F5C24" w:rsidRDefault="009F5C24" w:rsidP="009F5C24">
      <w:pPr>
        <w:pStyle w:val="StandaardSV"/>
      </w:pPr>
    </w:p>
    <w:p w:rsidR="00C30E70" w:rsidRDefault="00C30E70">
      <w:pPr>
        <w:spacing w:after="200" w:line="276" w:lineRule="auto"/>
        <w:rPr>
          <w:sz w:val="22"/>
          <w:lang w:val="nl-BE"/>
        </w:rPr>
      </w:pPr>
      <w:r>
        <w:rPr>
          <w:lang w:val="nl-BE"/>
        </w:rPr>
        <w:br w:type="page"/>
      </w:r>
    </w:p>
    <w:p w:rsidR="009F5C24" w:rsidRDefault="009F5C24" w:rsidP="00C30E70">
      <w:pPr>
        <w:pStyle w:val="StandaardSV"/>
        <w:numPr>
          <w:ilvl w:val="0"/>
          <w:numId w:val="5"/>
        </w:numPr>
        <w:rPr>
          <w:lang w:val="nl-BE"/>
        </w:rPr>
      </w:pPr>
      <w:r>
        <w:rPr>
          <w:lang w:val="nl-BE"/>
        </w:rPr>
        <w:lastRenderedPageBreak/>
        <w:t>Een vergelijking tussen 2012 en 2013 levert het volgende op:</w:t>
      </w:r>
    </w:p>
    <w:p w:rsidR="009F5C24" w:rsidRDefault="009F5C24" w:rsidP="009F5C24">
      <w:pPr>
        <w:pStyle w:val="StandaardSV"/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559"/>
      </w:tblGrid>
      <w:tr w:rsidR="009F5C24" w:rsidRPr="005650D8" w:rsidTr="002141D9">
        <w:trPr>
          <w:trHeight w:val="275"/>
        </w:trPr>
        <w:tc>
          <w:tcPr>
            <w:tcW w:w="4219" w:type="dxa"/>
            <w:noWrap/>
            <w:hideMark/>
          </w:tcPr>
          <w:p w:rsidR="009F5C24" w:rsidRPr="005650D8" w:rsidRDefault="009F5C24" w:rsidP="002141D9">
            <w:pPr>
              <w:pStyle w:val="StandaardSV"/>
              <w:rPr>
                <w:b/>
                <w:bCs/>
              </w:rPr>
            </w:pPr>
            <w:r w:rsidRPr="005650D8">
              <w:rPr>
                <w:b/>
                <w:bCs/>
              </w:rPr>
              <w:t>Periode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  <w:rPr>
                <w:b/>
                <w:bCs/>
              </w:rPr>
            </w:pPr>
            <w:r w:rsidRPr="005650D8">
              <w:rPr>
                <w:b/>
                <w:bCs/>
              </w:rPr>
              <w:t>2012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  <w:rPr>
                <w:b/>
                <w:bCs/>
              </w:rPr>
            </w:pPr>
            <w:r w:rsidRPr="005650D8">
              <w:rPr>
                <w:b/>
                <w:bCs/>
              </w:rPr>
              <w:t>2013</w:t>
            </w:r>
          </w:p>
        </w:tc>
        <w:tc>
          <w:tcPr>
            <w:tcW w:w="1559" w:type="dxa"/>
            <w:noWrap/>
            <w:hideMark/>
          </w:tcPr>
          <w:p w:rsidR="009F5C24" w:rsidRPr="005650D8" w:rsidRDefault="009F5C24" w:rsidP="002141D9">
            <w:pPr>
              <w:pStyle w:val="StandaardSV"/>
              <w:rPr>
                <w:b/>
                <w:bCs/>
              </w:rPr>
            </w:pPr>
            <w:r w:rsidRPr="005650D8">
              <w:rPr>
                <w:b/>
                <w:bCs/>
              </w:rPr>
              <w:t>Evolutie %</w:t>
            </w:r>
          </w:p>
        </w:tc>
      </w:tr>
      <w:tr w:rsidR="009F5C24" w:rsidRPr="005650D8" w:rsidTr="002141D9">
        <w:trPr>
          <w:trHeight w:val="261"/>
        </w:trPr>
        <w:tc>
          <w:tcPr>
            <w:tcW w:w="421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aantal aanvragen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193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822</w:t>
            </w:r>
          </w:p>
        </w:tc>
        <w:tc>
          <w:tcPr>
            <w:tcW w:w="155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425,91%</w:t>
            </w:r>
          </w:p>
        </w:tc>
      </w:tr>
      <w:tr w:rsidR="009F5C24" w:rsidRPr="005650D8" w:rsidTr="002141D9">
        <w:trPr>
          <w:trHeight w:val="261"/>
        </w:trPr>
        <w:tc>
          <w:tcPr>
            <w:tcW w:w="421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gevraagd investeringsbedrag</w:t>
            </w:r>
          </w:p>
        </w:tc>
        <w:tc>
          <w:tcPr>
            <w:tcW w:w="1843" w:type="dxa"/>
            <w:noWrap/>
          </w:tcPr>
          <w:p w:rsidR="009F5C24" w:rsidRPr="005650D8" w:rsidRDefault="009F5C24" w:rsidP="002141D9">
            <w:pPr>
              <w:pStyle w:val="StandaardSV"/>
            </w:pPr>
            <w:r w:rsidRPr="005650D8">
              <w:t>63.740.622,32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190.755.024,21</w:t>
            </w:r>
          </w:p>
        </w:tc>
        <w:tc>
          <w:tcPr>
            <w:tcW w:w="155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299,27%</w:t>
            </w:r>
          </w:p>
        </w:tc>
      </w:tr>
      <w:tr w:rsidR="009F5C24" w:rsidRPr="005650D8" w:rsidTr="002141D9">
        <w:trPr>
          <w:trHeight w:val="261"/>
        </w:trPr>
        <w:tc>
          <w:tcPr>
            <w:tcW w:w="421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gevraagd subsidiebedrag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12.419.268,20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51.218.092,65</w:t>
            </w:r>
          </w:p>
        </w:tc>
        <w:tc>
          <w:tcPr>
            <w:tcW w:w="155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412,41%</w:t>
            </w:r>
          </w:p>
        </w:tc>
      </w:tr>
      <w:tr w:rsidR="009F5C24" w:rsidRPr="005650D8" w:rsidTr="002141D9">
        <w:trPr>
          <w:trHeight w:val="261"/>
        </w:trPr>
        <w:tc>
          <w:tcPr>
            <w:tcW w:w="421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aantal aanvaarde aanvragen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205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527</w:t>
            </w:r>
          </w:p>
        </w:tc>
        <w:tc>
          <w:tcPr>
            <w:tcW w:w="155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257,07%</w:t>
            </w:r>
          </w:p>
        </w:tc>
      </w:tr>
      <w:tr w:rsidR="009F5C24" w:rsidRPr="005650D8" w:rsidTr="002141D9">
        <w:trPr>
          <w:trHeight w:val="261"/>
        </w:trPr>
        <w:tc>
          <w:tcPr>
            <w:tcW w:w="421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goedgekeurd investeringsbedrag</w:t>
            </w:r>
          </w:p>
        </w:tc>
        <w:tc>
          <w:tcPr>
            <w:tcW w:w="1843" w:type="dxa"/>
            <w:noWrap/>
          </w:tcPr>
          <w:p w:rsidR="009F5C24" w:rsidRPr="005650D8" w:rsidRDefault="009F5C24" w:rsidP="002141D9">
            <w:pPr>
              <w:pStyle w:val="StandaardSV"/>
            </w:pPr>
            <w:r w:rsidRPr="005650D8">
              <w:t>65.534.256,73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135.271.414,96</w:t>
            </w:r>
          </w:p>
        </w:tc>
        <w:tc>
          <w:tcPr>
            <w:tcW w:w="155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206,41%</w:t>
            </w:r>
          </w:p>
        </w:tc>
      </w:tr>
      <w:tr w:rsidR="009F5C24" w:rsidRPr="005650D8" w:rsidTr="002141D9">
        <w:trPr>
          <w:trHeight w:val="261"/>
        </w:trPr>
        <w:tc>
          <w:tcPr>
            <w:tcW w:w="421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goedgekeurd subsidiebedrag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12.911.398,2</w:t>
            </w:r>
          </w:p>
        </w:tc>
        <w:tc>
          <w:tcPr>
            <w:tcW w:w="1843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36.192.919,87</w:t>
            </w:r>
          </w:p>
        </w:tc>
        <w:tc>
          <w:tcPr>
            <w:tcW w:w="1559" w:type="dxa"/>
            <w:noWrap/>
            <w:hideMark/>
          </w:tcPr>
          <w:p w:rsidR="009F5C24" w:rsidRPr="005650D8" w:rsidRDefault="009F5C24" w:rsidP="002141D9">
            <w:pPr>
              <w:pStyle w:val="StandaardSV"/>
            </w:pPr>
            <w:r w:rsidRPr="005650D8">
              <w:t>280,32%</w:t>
            </w:r>
          </w:p>
        </w:tc>
      </w:tr>
    </w:tbl>
    <w:p w:rsidR="009F5C24" w:rsidRDefault="009F5C24" w:rsidP="009F5C24">
      <w:pPr>
        <w:pStyle w:val="StandaardSV"/>
      </w:pPr>
    </w:p>
    <w:p w:rsidR="009F5C24" w:rsidRPr="002A1CA5" w:rsidRDefault="009F5C24" w:rsidP="00C30E70">
      <w:pPr>
        <w:pStyle w:val="StandaardSV"/>
        <w:numPr>
          <w:ilvl w:val="0"/>
          <w:numId w:val="5"/>
        </w:numPr>
        <w:rPr>
          <w:szCs w:val="22"/>
          <w:lang w:val="nl-BE" w:eastAsia="nl-BE"/>
        </w:rPr>
      </w:pPr>
      <w:r w:rsidRPr="002A1CA5">
        <w:rPr>
          <w:szCs w:val="22"/>
        </w:rPr>
        <w:t>Onderstaande tabel geeft een overzicht van de meest in aanmerking komende technologieën van 2013 (top 10)</w:t>
      </w:r>
    </w:p>
    <w:p w:rsidR="009F5C24" w:rsidRPr="002A1CA5" w:rsidRDefault="009F5C24" w:rsidP="009F5C24">
      <w:pPr>
        <w:pStyle w:val="StandaardSV"/>
        <w:rPr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1"/>
        <w:gridCol w:w="8167"/>
      </w:tblGrid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AANTAL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TECHNOLOGIE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142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Euro VI motor voor zware voertuigen</w:t>
            </w:r>
          </w:p>
        </w:tc>
      </w:tr>
      <w:tr w:rsidR="009F5C24" w:rsidRPr="002A1CA5" w:rsidTr="002141D9">
        <w:trPr>
          <w:trHeight w:val="576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71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 xml:space="preserve">Recuperatie van restenergie (warmte/koude) voor </w:t>
            </w:r>
            <w:proofErr w:type="spellStart"/>
            <w:r w:rsidRPr="002A1CA5">
              <w:t>gebouwklimatisatie</w:t>
            </w:r>
            <w:proofErr w:type="spellEnd"/>
            <w:r w:rsidRPr="002A1CA5">
              <w:t xml:space="preserve"> en/of voor gebruik in </w:t>
            </w:r>
            <w:proofErr w:type="spellStart"/>
            <w:r w:rsidRPr="002A1CA5">
              <w:t>industriele</w:t>
            </w:r>
            <w:proofErr w:type="spellEnd"/>
            <w:r w:rsidRPr="002A1CA5">
              <w:t xml:space="preserve"> processen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63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Permanent magneet motoren met toerentalregeling op compressoren</w:t>
            </w:r>
          </w:p>
        </w:tc>
      </w:tr>
      <w:tr w:rsidR="009F5C24" w:rsidRPr="002A1CA5" w:rsidTr="002141D9">
        <w:trPr>
          <w:trHeight w:val="576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46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Elektrisch aangedreven vaartuig of voertuig met vier wielen of meer voor gebruik op de weg (on-</w:t>
            </w:r>
            <w:proofErr w:type="spellStart"/>
            <w:r w:rsidRPr="002A1CA5">
              <w:t>road</w:t>
            </w:r>
            <w:proofErr w:type="spellEnd"/>
            <w:r w:rsidRPr="002A1CA5">
              <w:t>)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36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Geavanceerd sturingssysteem voor meerdere compressoren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36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 xml:space="preserve">Productie van warmte op basis van de verbranding van biomassa (incl. </w:t>
            </w:r>
            <w:proofErr w:type="spellStart"/>
            <w:r w:rsidRPr="002A1CA5">
              <w:t>houtpelletkachels</w:t>
            </w:r>
            <w:proofErr w:type="spellEnd"/>
            <w:r w:rsidRPr="002A1CA5">
              <w:t>)</w:t>
            </w:r>
          </w:p>
        </w:tc>
      </w:tr>
      <w:tr w:rsidR="009F5C24" w:rsidRPr="002A1CA5" w:rsidTr="002141D9">
        <w:trPr>
          <w:trHeight w:val="576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34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Actief en intelligent daglichtsysteem bij de ombouw van platte daken die volgens de EPB regelgeving geen eisen opgelegd krijgen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34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Koelsysteem (nieuw) op basis van alternatieve koudemiddelen (uitgezonderd ammoniak)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34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Gasgestookte (stoom)convectieoven</w:t>
            </w:r>
          </w:p>
        </w:tc>
      </w:tr>
      <w:tr w:rsidR="009F5C24" w:rsidRPr="002A1CA5" w:rsidTr="002141D9">
        <w:trPr>
          <w:trHeight w:val="576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31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Oplaadsysteem (paal of omkasting) voor elektrische of hybride voertuigen met 4 wielen of meer voor gebruik op de weg (on-</w:t>
            </w:r>
            <w:proofErr w:type="spellStart"/>
            <w:r w:rsidRPr="002A1CA5">
              <w:t>road</w:t>
            </w:r>
            <w:proofErr w:type="spellEnd"/>
            <w:r w:rsidRPr="002A1CA5">
              <w:t>)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31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(Elektrische) warmtepomp ( met water of lucht als warmtebronsysteem)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28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Spaarsysteem op anti-smet-poeder-installaties op drukpersen</w:t>
            </w:r>
          </w:p>
        </w:tc>
      </w:tr>
      <w:tr w:rsidR="009F5C24" w:rsidRPr="002A1CA5" w:rsidTr="002141D9">
        <w:trPr>
          <w:trHeight w:val="864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27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 xml:space="preserve">Centrale vochtwaterinstallatie voor offsetdrukpersen die vochtwater met een ideale en constante samenstelling produceert waardoor slechts een minimum aan </w:t>
            </w:r>
            <w:proofErr w:type="spellStart"/>
            <w:r w:rsidRPr="002A1CA5">
              <w:t>isopropylalcohol</w:t>
            </w:r>
            <w:proofErr w:type="spellEnd"/>
            <w:r w:rsidRPr="002A1CA5">
              <w:t xml:space="preserve"> nodig is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26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Geothermische (elektrische) warmtepomp (bodem als warmtebronsysteem)</w:t>
            </w:r>
          </w:p>
        </w:tc>
      </w:tr>
      <w:tr w:rsidR="009F5C24" w:rsidRPr="002A1CA5" w:rsidTr="002141D9">
        <w:trPr>
          <w:trHeight w:val="576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26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Aanwending van de computer-</w:t>
            </w:r>
            <w:proofErr w:type="spellStart"/>
            <w:r w:rsidRPr="002A1CA5">
              <w:t>to</w:t>
            </w:r>
            <w:proofErr w:type="spellEnd"/>
            <w:r w:rsidRPr="002A1CA5">
              <w:t>-</w:t>
            </w:r>
            <w:proofErr w:type="spellStart"/>
            <w:r w:rsidRPr="002A1CA5">
              <w:t>plate</w:t>
            </w:r>
            <w:proofErr w:type="spellEnd"/>
            <w:r w:rsidRPr="002A1CA5">
              <w:t xml:space="preserve"> (CTP) technologie voor voorinstelling van inktschuiven op de offsetdrukpersen</w:t>
            </w:r>
          </w:p>
        </w:tc>
      </w:tr>
      <w:tr w:rsidR="009F5C24" w:rsidRPr="002A1CA5" w:rsidTr="002141D9">
        <w:trPr>
          <w:trHeight w:val="288"/>
        </w:trPr>
        <w:tc>
          <w:tcPr>
            <w:tcW w:w="80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24</w:t>
            </w:r>
          </w:p>
        </w:tc>
        <w:tc>
          <w:tcPr>
            <w:tcW w:w="8480" w:type="dxa"/>
            <w:hideMark/>
          </w:tcPr>
          <w:p w:rsidR="009F5C24" w:rsidRPr="002A1CA5" w:rsidRDefault="009F5C24" w:rsidP="002141D9">
            <w:pPr>
              <w:pStyle w:val="StandaardSV"/>
            </w:pPr>
            <w:r w:rsidRPr="002A1CA5">
              <w:t>UV-belichtingseenheid</w:t>
            </w:r>
          </w:p>
        </w:tc>
      </w:tr>
    </w:tbl>
    <w:p w:rsidR="009F5C24" w:rsidRPr="002A1CA5" w:rsidRDefault="009F5C24" w:rsidP="009F5C24">
      <w:pPr>
        <w:pStyle w:val="StandaardSV"/>
        <w:rPr>
          <w:szCs w:val="22"/>
        </w:rPr>
      </w:pPr>
    </w:p>
    <w:p w:rsidR="009F5C24" w:rsidRDefault="009F5C24" w:rsidP="00C30E70">
      <w:pPr>
        <w:pStyle w:val="StandaardSV"/>
        <w:ind w:left="426"/>
        <w:rPr>
          <w:szCs w:val="22"/>
        </w:rPr>
      </w:pPr>
      <w:r w:rsidRPr="002A1CA5">
        <w:rPr>
          <w:szCs w:val="22"/>
        </w:rPr>
        <w:t>Voor een verdere opdeling naar soort onderneming, provincie en technologie wordt verwezen naar de bijgevoegde tabel SV293_Tech_Top</w:t>
      </w:r>
      <w:r w:rsidR="00C30E70">
        <w:rPr>
          <w:szCs w:val="22"/>
        </w:rPr>
        <w:t>.</w:t>
      </w:r>
    </w:p>
    <w:p w:rsidR="00C30E70" w:rsidRDefault="00C30E70" w:rsidP="00C30E70">
      <w:pPr>
        <w:pStyle w:val="StandaardSV"/>
        <w:rPr>
          <w:szCs w:val="22"/>
        </w:rPr>
      </w:pPr>
    </w:p>
    <w:p w:rsidR="00C30E70" w:rsidRDefault="00C30E70" w:rsidP="00C30E70">
      <w:pPr>
        <w:pStyle w:val="StandaardSV"/>
        <w:rPr>
          <w:szCs w:val="22"/>
        </w:rPr>
      </w:pPr>
    </w:p>
    <w:p w:rsidR="00C30E70" w:rsidRPr="00C30E70" w:rsidRDefault="00C30E70" w:rsidP="00C30E70">
      <w:pPr>
        <w:pStyle w:val="StandaardSV"/>
        <w:rPr>
          <w:rFonts w:ascii="Times New Roman Vet" w:hAnsi="Times New Roman Vet"/>
          <w:b/>
          <w:smallCaps/>
          <w:color w:val="FF0000"/>
          <w:szCs w:val="22"/>
          <w:u w:val="single"/>
        </w:rPr>
      </w:pPr>
      <w:r>
        <w:rPr>
          <w:rFonts w:ascii="Times New Roman Vet" w:hAnsi="Times New Roman Vet"/>
          <w:b/>
          <w:smallCaps/>
          <w:color w:val="FF0000"/>
          <w:szCs w:val="22"/>
          <w:u w:val="single"/>
        </w:rPr>
        <w:t>bijlagen</w:t>
      </w:r>
    </w:p>
    <w:p w:rsidR="00C30E70" w:rsidRDefault="00C30E70" w:rsidP="00C30E70">
      <w:pPr>
        <w:pStyle w:val="StandaardSV"/>
        <w:rPr>
          <w:szCs w:val="22"/>
        </w:rPr>
      </w:pPr>
    </w:p>
    <w:p w:rsidR="00C30E70" w:rsidRDefault="00C30E70" w:rsidP="00C30E70">
      <w:pPr>
        <w:pStyle w:val="StandaardSV"/>
        <w:numPr>
          <w:ilvl w:val="0"/>
          <w:numId w:val="8"/>
        </w:numPr>
        <w:rPr>
          <w:szCs w:val="22"/>
        </w:rPr>
      </w:pPr>
      <w:r w:rsidRPr="00C30E70">
        <w:rPr>
          <w:szCs w:val="22"/>
        </w:rPr>
        <w:t>Q_SV262_Project_Beslist_Tech</w:t>
      </w:r>
    </w:p>
    <w:p w:rsidR="00C30E70" w:rsidRDefault="00C30E70" w:rsidP="00C30E70">
      <w:pPr>
        <w:pStyle w:val="StandaardSV"/>
        <w:numPr>
          <w:ilvl w:val="0"/>
          <w:numId w:val="8"/>
        </w:numPr>
        <w:rPr>
          <w:szCs w:val="22"/>
        </w:rPr>
      </w:pPr>
      <w:r w:rsidRPr="00C30E70">
        <w:rPr>
          <w:szCs w:val="22"/>
        </w:rPr>
        <w:t>Q_SV293_TechTop10</w:t>
      </w:r>
    </w:p>
    <w:p w:rsidR="00C30E70" w:rsidRPr="002A1CA5" w:rsidRDefault="00C30E70" w:rsidP="00C30E70">
      <w:pPr>
        <w:pStyle w:val="StandaardSV"/>
        <w:numPr>
          <w:ilvl w:val="0"/>
          <w:numId w:val="8"/>
        </w:numPr>
        <w:rPr>
          <w:szCs w:val="22"/>
        </w:rPr>
      </w:pPr>
      <w:r w:rsidRPr="00C30E70">
        <w:rPr>
          <w:szCs w:val="22"/>
        </w:rPr>
        <w:t>Q_SV685_Project_Ingediend_Tech</w:t>
      </w:r>
      <w:bookmarkStart w:id="0" w:name="_GoBack"/>
      <w:bookmarkEnd w:id="0"/>
    </w:p>
    <w:sectPr w:rsidR="00C30E70" w:rsidRPr="002A1CA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F20"/>
    <w:multiLevelType w:val="hybridMultilevel"/>
    <w:tmpl w:val="80DAA68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11C22"/>
    <w:multiLevelType w:val="hybridMultilevel"/>
    <w:tmpl w:val="634831F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C7364"/>
    <w:multiLevelType w:val="hybridMultilevel"/>
    <w:tmpl w:val="DB48D5E8"/>
    <w:lvl w:ilvl="0" w:tplc="D5C8F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5193C"/>
    <w:multiLevelType w:val="hybridMultilevel"/>
    <w:tmpl w:val="8B7476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426E"/>
    <w:multiLevelType w:val="hybridMultilevel"/>
    <w:tmpl w:val="236C4D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564E"/>
    <w:multiLevelType w:val="hybridMultilevel"/>
    <w:tmpl w:val="47561D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48ED"/>
    <w:multiLevelType w:val="hybridMultilevel"/>
    <w:tmpl w:val="31BA3CF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00009"/>
    <w:multiLevelType w:val="hybridMultilevel"/>
    <w:tmpl w:val="355453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24"/>
    <w:rsid w:val="006671B1"/>
    <w:rsid w:val="007E3C75"/>
    <w:rsid w:val="008A5426"/>
    <w:rsid w:val="00922512"/>
    <w:rsid w:val="00985E0B"/>
    <w:rsid w:val="009969B7"/>
    <w:rsid w:val="009E52E1"/>
    <w:rsid w:val="009F5C24"/>
    <w:rsid w:val="00C30E70"/>
    <w:rsid w:val="00E3209C"/>
    <w:rsid w:val="00E63A53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F5C2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9F5C24"/>
    <w:pPr>
      <w:jc w:val="both"/>
    </w:pPr>
    <w:rPr>
      <w:sz w:val="22"/>
    </w:rPr>
  </w:style>
  <w:style w:type="character" w:styleId="Hyperlink">
    <w:name w:val="Hyperlink"/>
    <w:unhideWhenUsed/>
    <w:rsid w:val="009F5C24"/>
    <w:rPr>
      <w:color w:val="0000FF"/>
      <w:u w:val="single"/>
    </w:rPr>
  </w:style>
  <w:style w:type="table" w:styleId="Tabelraster">
    <w:name w:val="Table Grid"/>
    <w:basedOn w:val="Standaardtabel"/>
    <w:uiPriority w:val="59"/>
    <w:rsid w:val="009F5C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9F5C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5E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E0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F5C2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9F5C24"/>
    <w:pPr>
      <w:jc w:val="both"/>
    </w:pPr>
    <w:rPr>
      <w:sz w:val="22"/>
    </w:rPr>
  </w:style>
  <w:style w:type="character" w:styleId="Hyperlink">
    <w:name w:val="Hyperlink"/>
    <w:unhideWhenUsed/>
    <w:rsid w:val="009F5C24"/>
    <w:rPr>
      <w:color w:val="0000FF"/>
      <w:u w:val="single"/>
    </w:rPr>
  </w:style>
  <w:style w:type="table" w:styleId="Tabelraster">
    <w:name w:val="Table Grid"/>
    <w:basedOn w:val="Standaardtabel"/>
    <w:uiPriority w:val="59"/>
    <w:rsid w:val="009F5C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9F5C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5E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E0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Putseys, Filip</dc:creator>
  <cp:lastModifiedBy>Nathalie De Keyzer</cp:lastModifiedBy>
  <cp:revision>3</cp:revision>
  <cp:lastPrinted>2014-02-12T15:15:00Z</cp:lastPrinted>
  <dcterms:created xsi:type="dcterms:W3CDTF">2014-02-12T15:16:00Z</dcterms:created>
  <dcterms:modified xsi:type="dcterms:W3CDTF">2014-02-17T10:18:00Z</dcterms:modified>
</cp:coreProperties>
</file>