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87" w:rsidRPr="005B0DBF" w:rsidRDefault="00660987" w:rsidP="00660987">
      <w:pPr>
        <w:jc w:val="both"/>
        <w:outlineLvl w:val="0"/>
        <w:rPr>
          <w:rFonts w:ascii="Times New Roman Vet" w:hAnsi="Times New Roman Vet"/>
          <w:b/>
          <w:smallCaps/>
          <w:sz w:val="22"/>
          <w:szCs w:val="22"/>
          <w:lang w:val="nl-BE"/>
        </w:rPr>
      </w:pPr>
      <w:r w:rsidRPr="005B0DBF">
        <w:rPr>
          <w:rFonts w:ascii="Times New Roman Vet" w:hAnsi="Times New Roman Vet"/>
          <w:b/>
          <w:smallCaps/>
          <w:sz w:val="22"/>
          <w:szCs w:val="22"/>
          <w:lang w:val="nl-BE"/>
        </w:rPr>
        <w:t xml:space="preserve">kris </w:t>
      </w:r>
      <w:proofErr w:type="spellStart"/>
      <w:r w:rsidRPr="005B0DBF">
        <w:rPr>
          <w:rFonts w:ascii="Times New Roman Vet" w:hAnsi="Times New Roman Vet"/>
          <w:b/>
          <w:smallCaps/>
          <w:sz w:val="22"/>
          <w:szCs w:val="22"/>
          <w:lang w:val="nl-BE"/>
        </w:rPr>
        <w:t>peeters</w:t>
      </w:r>
      <w:proofErr w:type="spellEnd"/>
    </w:p>
    <w:p w:rsidR="00660987" w:rsidRPr="005B0DBF" w:rsidRDefault="00660987" w:rsidP="00660987">
      <w:pPr>
        <w:jc w:val="both"/>
        <w:rPr>
          <w:smallCaps/>
          <w:sz w:val="22"/>
          <w:szCs w:val="22"/>
          <w:lang w:val="nl-BE"/>
        </w:rPr>
      </w:pPr>
      <w:r w:rsidRPr="005B0DBF">
        <w:rPr>
          <w:smallCaps/>
          <w:sz w:val="22"/>
          <w:szCs w:val="22"/>
          <w:lang w:val="nl-BE"/>
        </w:rPr>
        <w:t xml:space="preserve">minister-president van de </w:t>
      </w:r>
      <w:proofErr w:type="spellStart"/>
      <w:r w:rsidRPr="005B0DBF">
        <w:rPr>
          <w:smallCaps/>
          <w:sz w:val="22"/>
          <w:szCs w:val="22"/>
          <w:lang w:val="nl-BE"/>
        </w:rPr>
        <w:t>vlaamse</w:t>
      </w:r>
      <w:proofErr w:type="spellEnd"/>
      <w:r w:rsidRPr="005B0DBF">
        <w:rPr>
          <w:smallCaps/>
          <w:sz w:val="22"/>
          <w:szCs w:val="22"/>
          <w:lang w:val="nl-BE"/>
        </w:rPr>
        <w:t xml:space="preserve"> regering, </w:t>
      </w:r>
      <w:proofErr w:type="spellStart"/>
      <w:r w:rsidRPr="005B0DBF">
        <w:rPr>
          <w:smallCaps/>
          <w:sz w:val="22"/>
          <w:szCs w:val="22"/>
          <w:lang w:val="nl-BE"/>
        </w:rPr>
        <w:t>vlaams</w:t>
      </w:r>
      <w:proofErr w:type="spellEnd"/>
      <w:r w:rsidRPr="005B0DBF">
        <w:rPr>
          <w:smallCaps/>
          <w:sz w:val="22"/>
          <w:szCs w:val="22"/>
          <w:lang w:val="nl-BE"/>
        </w:rPr>
        <w:t xml:space="preserve"> minister van economie, buitenlands beleid, landbouw en plattelandsbeleid</w:t>
      </w:r>
    </w:p>
    <w:p w:rsidR="00660987" w:rsidRPr="005B0DBF" w:rsidRDefault="00660987" w:rsidP="00660987">
      <w:pPr>
        <w:pStyle w:val="StandaardSV"/>
        <w:pBdr>
          <w:bottom w:val="single" w:sz="4" w:space="1" w:color="auto"/>
        </w:pBdr>
        <w:rPr>
          <w:lang w:val="nl-BE"/>
        </w:rPr>
      </w:pPr>
    </w:p>
    <w:p w:rsidR="00660987" w:rsidRPr="005B0DBF" w:rsidRDefault="00660987" w:rsidP="00660987">
      <w:pPr>
        <w:jc w:val="both"/>
        <w:rPr>
          <w:sz w:val="22"/>
        </w:rPr>
      </w:pPr>
    </w:p>
    <w:p w:rsidR="00794262" w:rsidRPr="005B0DBF" w:rsidRDefault="00794262" w:rsidP="00660987">
      <w:pPr>
        <w:jc w:val="both"/>
        <w:outlineLvl w:val="0"/>
        <w:rPr>
          <w:rFonts w:ascii="Times New Roman Vet" w:hAnsi="Times New Roman Vet"/>
          <w:b/>
          <w:smallCaps/>
          <w:sz w:val="22"/>
          <w:szCs w:val="22"/>
          <w:lang w:val="nl-BE"/>
        </w:rPr>
      </w:pPr>
      <w:r w:rsidRPr="005B0DBF">
        <w:rPr>
          <w:rFonts w:ascii="Times New Roman Vet" w:hAnsi="Times New Roman Vet"/>
          <w:b/>
          <w:smallCaps/>
          <w:sz w:val="22"/>
          <w:szCs w:val="22"/>
          <w:lang w:val="nl-BE"/>
        </w:rPr>
        <w:t xml:space="preserve">antwoord </w:t>
      </w:r>
    </w:p>
    <w:p w:rsidR="00660987" w:rsidRPr="005B0DBF" w:rsidRDefault="00794262" w:rsidP="00794262">
      <w:pPr>
        <w:jc w:val="both"/>
        <w:outlineLvl w:val="0"/>
        <w:rPr>
          <w:sz w:val="22"/>
        </w:rPr>
      </w:pPr>
      <w:r w:rsidRPr="005B0DBF">
        <w:rPr>
          <w:sz w:val="22"/>
        </w:rPr>
        <w:t>op v</w:t>
      </w:r>
      <w:r w:rsidR="00660987" w:rsidRPr="005B0DBF">
        <w:rPr>
          <w:sz w:val="22"/>
        </w:rPr>
        <w:t>raag nr. 257</w:t>
      </w:r>
      <w:r w:rsidR="00132BEB">
        <w:rPr>
          <w:sz w:val="22"/>
        </w:rPr>
        <w:t xml:space="preserve"> </w:t>
      </w:r>
      <w:r w:rsidR="00660987" w:rsidRPr="005B0DBF">
        <w:rPr>
          <w:sz w:val="22"/>
        </w:rPr>
        <w:t>van 9 januari 2014</w:t>
      </w:r>
    </w:p>
    <w:p w:rsidR="00660987" w:rsidRPr="005B0DBF" w:rsidRDefault="00660987" w:rsidP="00660987">
      <w:pPr>
        <w:jc w:val="both"/>
        <w:rPr>
          <w:b/>
          <w:sz w:val="22"/>
        </w:rPr>
      </w:pPr>
      <w:r w:rsidRPr="005B0DBF">
        <w:rPr>
          <w:sz w:val="22"/>
        </w:rPr>
        <w:t xml:space="preserve">van </w:t>
      </w:r>
      <w:proofErr w:type="spellStart"/>
      <w:r w:rsidRPr="005B0DBF">
        <w:rPr>
          <w:b/>
          <w:smallCaps/>
          <w:sz w:val="22"/>
        </w:rPr>
        <w:t>marc</w:t>
      </w:r>
      <w:proofErr w:type="spellEnd"/>
      <w:r w:rsidRPr="005B0DBF">
        <w:rPr>
          <w:b/>
          <w:smallCaps/>
          <w:sz w:val="22"/>
        </w:rPr>
        <w:t xml:space="preserve"> vanden </w:t>
      </w:r>
      <w:proofErr w:type="spellStart"/>
      <w:r w:rsidRPr="005B0DBF">
        <w:rPr>
          <w:b/>
          <w:smallCaps/>
          <w:sz w:val="22"/>
        </w:rPr>
        <w:t>bussche</w:t>
      </w:r>
      <w:proofErr w:type="spellEnd"/>
    </w:p>
    <w:p w:rsidR="00660987" w:rsidRPr="005B0DBF" w:rsidRDefault="00660987" w:rsidP="00660987">
      <w:pPr>
        <w:pBdr>
          <w:bottom w:val="single" w:sz="4" w:space="1" w:color="auto"/>
        </w:pBdr>
        <w:jc w:val="both"/>
        <w:rPr>
          <w:sz w:val="22"/>
        </w:rPr>
      </w:pPr>
    </w:p>
    <w:p w:rsidR="00660987" w:rsidRPr="005B0DBF" w:rsidRDefault="00660987" w:rsidP="00660987">
      <w:pPr>
        <w:pStyle w:val="StandaardSV"/>
      </w:pPr>
    </w:p>
    <w:p w:rsidR="00660987" w:rsidRPr="005B0DBF" w:rsidRDefault="00660987" w:rsidP="00660987">
      <w:pPr>
        <w:pStyle w:val="StandaardSV"/>
      </w:pPr>
    </w:p>
    <w:p w:rsidR="00660987" w:rsidRPr="005B0DBF" w:rsidRDefault="00660987" w:rsidP="00132BEB">
      <w:pPr>
        <w:pStyle w:val="StandaardSV"/>
        <w:tabs>
          <w:tab w:val="left" w:pos="567"/>
          <w:tab w:val="left" w:pos="851"/>
        </w:tabs>
        <w:ind w:left="851" w:hanging="851"/>
      </w:pPr>
      <w:r w:rsidRPr="005B0DBF">
        <w:t>1.</w:t>
      </w:r>
      <w:r w:rsidR="00132BEB">
        <w:tab/>
      </w:r>
      <w:r w:rsidRPr="005B0DBF">
        <w:t>a)</w:t>
      </w:r>
      <w:r w:rsidR="00132BEB">
        <w:tab/>
      </w:r>
      <w:r w:rsidR="00426606" w:rsidRPr="005B0DBF">
        <w:t xml:space="preserve">Zie antwoord in de Commissie Landbouw/Visserij van 15/1/2014 op vragen 658 en 677 van respectievelijk S. </w:t>
      </w:r>
      <w:proofErr w:type="spellStart"/>
      <w:r w:rsidR="00426606" w:rsidRPr="005B0DBF">
        <w:t>Sintobin</w:t>
      </w:r>
      <w:proofErr w:type="spellEnd"/>
      <w:r w:rsidR="00426606" w:rsidRPr="005B0DBF">
        <w:t xml:space="preserve"> en </w:t>
      </w:r>
      <w:proofErr w:type="spellStart"/>
      <w:r w:rsidR="00426606" w:rsidRPr="005B0DBF">
        <w:t>mevr</w:t>
      </w:r>
      <w:proofErr w:type="spellEnd"/>
      <w:r w:rsidR="00426606" w:rsidRPr="005B0DBF">
        <w:t xml:space="preserve"> D</w:t>
      </w:r>
      <w:r w:rsidR="00A96C07" w:rsidRPr="005B0DBF">
        <w:t>.</w:t>
      </w:r>
      <w:r w:rsidR="00426606" w:rsidRPr="005B0DBF">
        <w:t xml:space="preserve"> </w:t>
      </w:r>
      <w:proofErr w:type="spellStart"/>
      <w:r w:rsidR="00426606" w:rsidRPr="005B0DBF">
        <w:t>Tjo</w:t>
      </w:r>
      <w:r w:rsidR="00A96C07" w:rsidRPr="005B0DBF">
        <w:t>n</w:t>
      </w:r>
      <w:r w:rsidR="00426606" w:rsidRPr="005B0DBF">
        <w:t>ck</w:t>
      </w:r>
      <w:proofErr w:type="spellEnd"/>
      <w:r w:rsidR="00426606" w:rsidRPr="005B0DBF">
        <w:t xml:space="preserve"> </w:t>
      </w:r>
    </w:p>
    <w:p w:rsidR="00660987" w:rsidRPr="005B0DBF" w:rsidRDefault="00660987" w:rsidP="00132BEB">
      <w:pPr>
        <w:pStyle w:val="StandaardSV"/>
        <w:tabs>
          <w:tab w:val="left" w:pos="567"/>
          <w:tab w:val="left" w:pos="851"/>
        </w:tabs>
      </w:pPr>
    </w:p>
    <w:p w:rsidR="00660987" w:rsidRPr="005B0DBF" w:rsidRDefault="00132BEB" w:rsidP="00132BEB">
      <w:pPr>
        <w:pStyle w:val="StandaardSV"/>
        <w:tabs>
          <w:tab w:val="left" w:pos="567"/>
          <w:tab w:val="left" w:pos="851"/>
        </w:tabs>
        <w:ind w:left="851" w:hanging="567"/>
      </w:pPr>
      <w:r>
        <w:tab/>
      </w:r>
      <w:r w:rsidR="00660987" w:rsidRPr="005B0DBF">
        <w:t>b)</w:t>
      </w:r>
      <w:r>
        <w:tab/>
      </w:r>
      <w:r w:rsidR="0086187F" w:rsidRPr="005B0DBF">
        <w:t>De zaken waarop het beleid wil inzetten inzake aquacultuur is niet beperk</w:t>
      </w:r>
      <w:r w:rsidR="00A96C07" w:rsidRPr="005B0DBF">
        <w:t>t</w:t>
      </w:r>
      <w:r w:rsidR="0086187F" w:rsidRPr="005B0DBF">
        <w:t xml:space="preserve"> tot alleen maar de productie van sier- en pootvis, maar is open voor alle vormen van aquacultuur, dus ook vis-, schaal- en schelpdieren voor consumptie en van algen, op voorwaarde dat het op een duurzame  manier </w:t>
      </w:r>
      <w:r w:rsidR="00DA5D59" w:rsidRPr="005B0DBF">
        <w:t xml:space="preserve">(ecologisch verantwoord en economisch haalbaar) </w:t>
      </w:r>
      <w:r w:rsidR="0086187F" w:rsidRPr="005B0DBF">
        <w:t xml:space="preserve">gebeurd. Bij </w:t>
      </w:r>
      <w:proofErr w:type="spellStart"/>
      <w:r w:rsidR="0086187F" w:rsidRPr="005B0DBF">
        <w:t>maricultuur</w:t>
      </w:r>
      <w:proofErr w:type="spellEnd"/>
      <w:r w:rsidR="00104481" w:rsidRPr="005B0DBF">
        <w:t xml:space="preserve"> dient men zich ervan bewust te zijn dat in het laatste voorstel voor het marien ruimtelijk plan, opgesteld door de federale minister van de Noordzee, enkel </w:t>
      </w:r>
      <w:proofErr w:type="spellStart"/>
      <w:r w:rsidR="00104481" w:rsidRPr="005B0DBF">
        <w:t>maricultuur</w:t>
      </w:r>
      <w:proofErr w:type="spellEnd"/>
      <w:r w:rsidR="00104481" w:rsidRPr="005B0DBF">
        <w:t xml:space="preserve"> toegelaten wordt in twee gebieden binnen de zone voor hernieuwbare energie, namelijk binnen BELWIND I en C-POWER. </w:t>
      </w:r>
    </w:p>
    <w:p w:rsidR="00660987" w:rsidRPr="005B0DBF" w:rsidRDefault="00660987" w:rsidP="00132BEB">
      <w:pPr>
        <w:pStyle w:val="StandaardSV"/>
        <w:tabs>
          <w:tab w:val="left" w:pos="567"/>
          <w:tab w:val="left" w:pos="851"/>
        </w:tabs>
      </w:pPr>
    </w:p>
    <w:p w:rsidR="00660987" w:rsidRPr="005B0DBF" w:rsidRDefault="00132BEB" w:rsidP="00132BEB">
      <w:pPr>
        <w:pStyle w:val="StandaardSV"/>
        <w:tabs>
          <w:tab w:val="left" w:pos="567"/>
          <w:tab w:val="left" w:pos="851"/>
        </w:tabs>
        <w:ind w:left="851" w:hanging="567"/>
      </w:pPr>
      <w:r>
        <w:tab/>
      </w:r>
      <w:r w:rsidR="00660987" w:rsidRPr="005B0DBF">
        <w:t>c)</w:t>
      </w:r>
      <w:r>
        <w:tab/>
      </w:r>
      <w:r w:rsidR="008305C2" w:rsidRPr="005B0DBF">
        <w:t xml:space="preserve">De Europese Commissie wenst </w:t>
      </w:r>
      <w:r w:rsidR="00426606" w:rsidRPr="005B0DBF">
        <w:t xml:space="preserve">één </w:t>
      </w:r>
      <w:r w:rsidR="008305C2" w:rsidRPr="005B0DBF">
        <w:t xml:space="preserve">geïntegreerd </w:t>
      </w:r>
      <w:r w:rsidR="00426606" w:rsidRPr="005B0DBF">
        <w:t>plan en de doelstellingen moeten dan ook voor bei</w:t>
      </w:r>
      <w:r w:rsidR="00A96C07" w:rsidRPr="005B0DBF">
        <w:t>d</w:t>
      </w:r>
      <w:r w:rsidR="00426606" w:rsidRPr="005B0DBF">
        <w:t xml:space="preserve">e regio’s samen opgemaakt worden. </w:t>
      </w:r>
    </w:p>
    <w:p w:rsidR="00660987" w:rsidRPr="005B0DBF" w:rsidRDefault="00660987" w:rsidP="00132BEB">
      <w:pPr>
        <w:pStyle w:val="StandaardSV"/>
        <w:tabs>
          <w:tab w:val="left" w:pos="567"/>
          <w:tab w:val="left" w:pos="851"/>
        </w:tabs>
      </w:pPr>
    </w:p>
    <w:p w:rsidR="00660987" w:rsidRPr="005B0DBF" w:rsidRDefault="00132BEB" w:rsidP="00132BEB">
      <w:pPr>
        <w:pStyle w:val="StandaardSV"/>
        <w:tabs>
          <w:tab w:val="left" w:pos="567"/>
          <w:tab w:val="left" w:pos="851"/>
        </w:tabs>
        <w:ind w:left="851" w:hanging="567"/>
      </w:pPr>
      <w:r>
        <w:tab/>
      </w:r>
      <w:r w:rsidR="00660987" w:rsidRPr="005B0DBF">
        <w:t>d)</w:t>
      </w:r>
      <w:r>
        <w:tab/>
      </w:r>
      <w:r w:rsidR="00711DA4" w:rsidRPr="005B0DBF">
        <w:t>Tot op heden worden de productiecijfers uit aquacultuur verzameld door FOD Economie</w:t>
      </w:r>
      <w:r w:rsidR="00BB40E8" w:rsidRPr="005B0DBF">
        <w:t xml:space="preserve">, dewelke gemeld worden aan </w:t>
      </w:r>
      <w:proofErr w:type="spellStart"/>
      <w:r w:rsidR="00BB40E8" w:rsidRPr="005B0DBF">
        <w:t>Eurostat</w:t>
      </w:r>
      <w:proofErr w:type="spellEnd"/>
      <w:r w:rsidR="00BB40E8" w:rsidRPr="005B0DBF">
        <w:t xml:space="preserve">. In navolging van de Europese richtlijn (Verordening van de Commissie 1639-2001 en DCF Verordening (EG) nr. 199/2008) zijn de Europese lidstaten verplicht om ieder jaar een enquête uit te voeren met betrekking tot de activiteiten en de economische </w:t>
      </w:r>
      <w:proofErr w:type="spellStart"/>
      <w:r w:rsidR="00BB40E8" w:rsidRPr="005B0DBF">
        <w:t>performantie</w:t>
      </w:r>
      <w:proofErr w:type="spellEnd"/>
      <w:r w:rsidR="00BB40E8" w:rsidRPr="005B0DBF">
        <w:t xml:space="preserve"> van hun visserij industrie, aquacultuur nijverheid en verwerkende nijverheid. In ons land is het Instituut voor Landbouw- en Visserijonderzoek (ILVO) met deze taak belast. Daar de overmaat aan aquacultuur aan land gebeur</w:t>
      </w:r>
      <w:r w:rsidR="00220241" w:rsidRPr="005B0DBF">
        <w:t>t</w:t>
      </w:r>
      <w:r w:rsidR="00BB40E8" w:rsidRPr="005B0DBF">
        <w:t xml:space="preserve"> (</w:t>
      </w:r>
      <w:r w:rsidR="003758FE" w:rsidRPr="005B0DBF">
        <w:t xml:space="preserve">waarvoor </w:t>
      </w:r>
      <w:r w:rsidR="00BB40E8" w:rsidRPr="005B0DBF">
        <w:t>geen meldingsplicht naar EC</w:t>
      </w:r>
      <w:r w:rsidR="003758FE" w:rsidRPr="005B0DBF">
        <w:t xml:space="preserve"> noodzakelijk is</w:t>
      </w:r>
      <w:r w:rsidR="00BB40E8" w:rsidRPr="005B0DBF">
        <w:t xml:space="preserve">) en er maar één producent actief is in België </w:t>
      </w:r>
      <w:r w:rsidR="003758FE" w:rsidRPr="005B0DBF">
        <w:t>in</w:t>
      </w:r>
      <w:r w:rsidR="00BB40E8" w:rsidRPr="005B0DBF">
        <w:t xml:space="preserve"> </w:t>
      </w:r>
      <w:proofErr w:type="spellStart"/>
      <w:r w:rsidR="00BB40E8" w:rsidRPr="005B0DBF">
        <w:t>maricultuur</w:t>
      </w:r>
      <w:proofErr w:type="spellEnd"/>
      <w:r w:rsidR="00BB40E8" w:rsidRPr="005B0DBF">
        <w:t xml:space="preserve"> (kweek van oesters) heeft het ILVO hiervoor een derogatie aangevraagd en verkregen.</w:t>
      </w:r>
      <w:r w:rsidR="00711DA4" w:rsidRPr="005B0DBF">
        <w:t xml:space="preserve"> </w:t>
      </w:r>
    </w:p>
    <w:p w:rsidR="00660987" w:rsidRPr="005B0DBF" w:rsidRDefault="00660987" w:rsidP="00132BEB">
      <w:pPr>
        <w:pStyle w:val="StandaardSV"/>
        <w:tabs>
          <w:tab w:val="left" w:pos="567"/>
          <w:tab w:val="left" w:pos="851"/>
        </w:tabs>
      </w:pPr>
    </w:p>
    <w:p w:rsidR="00426606" w:rsidRPr="005B0DBF" w:rsidRDefault="00660987" w:rsidP="00132BEB">
      <w:pPr>
        <w:pStyle w:val="StandaardSV"/>
        <w:tabs>
          <w:tab w:val="left" w:pos="567"/>
          <w:tab w:val="left" w:pos="851"/>
        </w:tabs>
        <w:ind w:left="567" w:hanging="567"/>
      </w:pPr>
      <w:r w:rsidRPr="005B0DBF">
        <w:t>2.</w:t>
      </w:r>
      <w:r w:rsidR="00132BEB">
        <w:tab/>
      </w:r>
      <w:r w:rsidR="00426606" w:rsidRPr="005B0DBF">
        <w:t xml:space="preserve">Zie antwoord in de Commissie Landbouw/Visserij van 15/1/2014 op vragen 658 en 677 van respectievelijk S. </w:t>
      </w:r>
      <w:proofErr w:type="spellStart"/>
      <w:r w:rsidR="00426606" w:rsidRPr="005B0DBF">
        <w:t>Sintobin</w:t>
      </w:r>
      <w:proofErr w:type="spellEnd"/>
      <w:r w:rsidR="00426606" w:rsidRPr="005B0DBF">
        <w:t xml:space="preserve"> en </w:t>
      </w:r>
      <w:proofErr w:type="spellStart"/>
      <w:r w:rsidR="00426606" w:rsidRPr="005B0DBF">
        <w:t>mevr</w:t>
      </w:r>
      <w:proofErr w:type="spellEnd"/>
      <w:r w:rsidR="00426606" w:rsidRPr="005B0DBF">
        <w:t xml:space="preserve"> D</w:t>
      </w:r>
      <w:r w:rsidR="00A96C07" w:rsidRPr="005B0DBF">
        <w:t>.</w:t>
      </w:r>
      <w:r w:rsidR="00426606" w:rsidRPr="005B0DBF">
        <w:t xml:space="preserve"> </w:t>
      </w:r>
      <w:proofErr w:type="spellStart"/>
      <w:r w:rsidR="00426606" w:rsidRPr="005B0DBF">
        <w:t>Tjo</w:t>
      </w:r>
      <w:r w:rsidR="00A96C07" w:rsidRPr="005B0DBF">
        <w:t>n</w:t>
      </w:r>
      <w:r w:rsidR="00426606" w:rsidRPr="005B0DBF">
        <w:t>ck</w:t>
      </w:r>
      <w:proofErr w:type="spellEnd"/>
    </w:p>
    <w:p w:rsidR="00660987" w:rsidRPr="005B0DBF" w:rsidRDefault="00660987" w:rsidP="00132BEB">
      <w:pPr>
        <w:pStyle w:val="StandaardSV"/>
        <w:tabs>
          <w:tab w:val="left" w:pos="567"/>
          <w:tab w:val="left" w:pos="851"/>
        </w:tabs>
      </w:pPr>
    </w:p>
    <w:p w:rsidR="00660987" w:rsidRPr="005B0DBF" w:rsidRDefault="00660987" w:rsidP="00132BEB">
      <w:pPr>
        <w:pStyle w:val="StandaardSV"/>
        <w:tabs>
          <w:tab w:val="left" w:pos="284"/>
          <w:tab w:val="left" w:pos="567"/>
          <w:tab w:val="left" w:pos="851"/>
        </w:tabs>
        <w:ind w:left="851" w:hanging="851"/>
      </w:pPr>
      <w:r w:rsidRPr="005B0DBF">
        <w:t>3.</w:t>
      </w:r>
      <w:r w:rsidR="00132BEB">
        <w:tab/>
      </w:r>
      <w:r w:rsidR="00132BEB">
        <w:tab/>
        <w:t>a)</w:t>
      </w:r>
      <w:r w:rsidR="00132BEB">
        <w:tab/>
      </w:r>
      <w:r w:rsidR="00D350A1" w:rsidRPr="005B0DBF">
        <w:t xml:space="preserve">Een risicokapitaalfonds zou in elk geval een duwtje in de rug kunnen betekenen voor startende ondernemingen. Daarnaast kan het bedrijf ook een aankoop doen van reeds oudere pootvis, teneinde vlugger een </w:t>
      </w:r>
      <w:proofErr w:type="spellStart"/>
      <w:r w:rsidR="00D350A1" w:rsidRPr="005B0DBF">
        <w:t>marktklaar</w:t>
      </w:r>
      <w:proofErr w:type="spellEnd"/>
      <w:r w:rsidR="00D350A1" w:rsidRPr="005B0DBF">
        <w:t xml:space="preserve"> product te kunnen afleveren, </w:t>
      </w:r>
      <w:proofErr w:type="spellStart"/>
      <w:r w:rsidR="00D350A1" w:rsidRPr="005B0DBF">
        <w:t>bvb</w:t>
      </w:r>
      <w:proofErr w:type="spellEnd"/>
      <w:r w:rsidR="00D350A1" w:rsidRPr="005B0DBF">
        <w:t xml:space="preserve">. opstart met de kweek van larven uit eigen </w:t>
      </w:r>
      <w:r w:rsidR="008B3EF8" w:rsidRPr="005B0DBF">
        <w:t>productie</w:t>
      </w:r>
      <w:r w:rsidR="00D350A1" w:rsidRPr="005B0DBF">
        <w:t xml:space="preserve"> en aankoop van </w:t>
      </w:r>
      <w:proofErr w:type="spellStart"/>
      <w:r w:rsidR="00D350A1" w:rsidRPr="005B0DBF">
        <w:t>juvenielen</w:t>
      </w:r>
      <w:proofErr w:type="spellEnd"/>
      <w:r w:rsidR="00D350A1" w:rsidRPr="005B0DBF">
        <w:t>.</w:t>
      </w:r>
    </w:p>
    <w:p w:rsidR="00D350A1" w:rsidRPr="005B0DBF" w:rsidRDefault="00D350A1" w:rsidP="00132BEB">
      <w:pPr>
        <w:pStyle w:val="StandaardSV"/>
        <w:tabs>
          <w:tab w:val="left" w:pos="567"/>
          <w:tab w:val="left" w:pos="851"/>
        </w:tabs>
        <w:ind w:left="567" w:hanging="567"/>
      </w:pPr>
    </w:p>
    <w:p w:rsidR="007A3B4A" w:rsidRPr="005B0DBF" w:rsidRDefault="00132BEB" w:rsidP="00132BEB">
      <w:pPr>
        <w:pStyle w:val="StandaardSV"/>
        <w:tabs>
          <w:tab w:val="left" w:pos="567"/>
          <w:tab w:val="left" w:pos="851"/>
        </w:tabs>
        <w:ind w:left="851" w:hanging="567"/>
      </w:pPr>
      <w:r>
        <w:tab/>
      </w:r>
      <w:r w:rsidR="00660987" w:rsidRPr="005B0DBF">
        <w:t>b)</w:t>
      </w:r>
      <w:r>
        <w:tab/>
      </w:r>
      <w:r w:rsidR="00426606" w:rsidRPr="005B0DBF">
        <w:t xml:space="preserve">Zie antwoord in de Commissie Landbouw/Visserij van 15/1/2014 op vragen 658 en 677 van respectievelijk S. </w:t>
      </w:r>
      <w:proofErr w:type="spellStart"/>
      <w:r w:rsidR="00426606" w:rsidRPr="005B0DBF">
        <w:t>Sintobin</w:t>
      </w:r>
      <w:proofErr w:type="spellEnd"/>
      <w:r w:rsidR="00426606" w:rsidRPr="005B0DBF">
        <w:t xml:space="preserve"> en </w:t>
      </w:r>
      <w:proofErr w:type="spellStart"/>
      <w:r w:rsidR="00426606" w:rsidRPr="005B0DBF">
        <w:t>mevr</w:t>
      </w:r>
      <w:proofErr w:type="spellEnd"/>
      <w:r w:rsidR="00426606" w:rsidRPr="005B0DBF">
        <w:t xml:space="preserve"> D</w:t>
      </w:r>
      <w:r w:rsidR="00A96C07" w:rsidRPr="005B0DBF">
        <w:t>.</w:t>
      </w:r>
      <w:r w:rsidR="00426606" w:rsidRPr="005B0DBF">
        <w:t xml:space="preserve"> </w:t>
      </w:r>
      <w:proofErr w:type="spellStart"/>
      <w:r w:rsidR="00426606" w:rsidRPr="005B0DBF">
        <w:t>Tjo</w:t>
      </w:r>
      <w:r w:rsidR="00A96C07" w:rsidRPr="005B0DBF">
        <w:t>n</w:t>
      </w:r>
      <w:r w:rsidR="00426606" w:rsidRPr="005B0DBF">
        <w:t>ck</w:t>
      </w:r>
      <w:proofErr w:type="spellEnd"/>
      <w:r w:rsidR="00426606" w:rsidRPr="005B0DBF">
        <w:t xml:space="preserve"> </w:t>
      </w:r>
    </w:p>
    <w:p w:rsidR="00660987" w:rsidRPr="005B0DBF" w:rsidRDefault="00660987" w:rsidP="00132BEB">
      <w:pPr>
        <w:pStyle w:val="StandaardSV"/>
        <w:tabs>
          <w:tab w:val="left" w:pos="567"/>
          <w:tab w:val="left" w:pos="851"/>
        </w:tabs>
      </w:pPr>
    </w:p>
    <w:p w:rsidR="00660987" w:rsidRPr="005B0DBF" w:rsidRDefault="00660987" w:rsidP="00132BEB">
      <w:pPr>
        <w:pStyle w:val="StandaardSV"/>
        <w:tabs>
          <w:tab w:val="left" w:pos="284"/>
          <w:tab w:val="left" w:pos="567"/>
          <w:tab w:val="left" w:pos="851"/>
        </w:tabs>
        <w:ind w:left="851" w:hanging="851"/>
      </w:pPr>
      <w:r w:rsidRPr="005B0DBF">
        <w:t>4.</w:t>
      </w:r>
      <w:r w:rsidR="00132BEB">
        <w:tab/>
      </w:r>
      <w:r w:rsidR="00132BEB">
        <w:tab/>
      </w:r>
      <w:r w:rsidRPr="005B0DBF">
        <w:t>a)</w:t>
      </w:r>
      <w:r w:rsidR="00132BEB">
        <w:tab/>
      </w:r>
      <w:r w:rsidR="00426606" w:rsidRPr="005B0DBF">
        <w:t xml:space="preserve">Zie antwoord in de Commissie Landbouw/Visserij van 15/1/2014 op vragen 658 en 677 van respectievelijk S. </w:t>
      </w:r>
      <w:proofErr w:type="spellStart"/>
      <w:r w:rsidR="00426606" w:rsidRPr="005B0DBF">
        <w:t>Sintobin</w:t>
      </w:r>
      <w:proofErr w:type="spellEnd"/>
      <w:r w:rsidR="00426606" w:rsidRPr="005B0DBF">
        <w:t xml:space="preserve"> en </w:t>
      </w:r>
      <w:proofErr w:type="spellStart"/>
      <w:r w:rsidR="00426606" w:rsidRPr="005B0DBF">
        <w:t>mevr</w:t>
      </w:r>
      <w:proofErr w:type="spellEnd"/>
      <w:r w:rsidR="00426606" w:rsidRPr="005B0DBF">
        <w:t xml:space="preserve"> D</w:t>
      </w:r>
      <w:r w:rsidR="00A96C07" w:rsidRPr="005B0DBF">
        <w:t>.</w:t>
      </w:r>
      <w:r w:rsidR="00426606" w:rsidRPr="005B0DBF">
        <w:t xml:space="preserve"> </w:t>
      </w:r>
      <w:proofErr w:type="spellStart"/>
      <w:r w:rsidR="00426606" w:rsidRPr="005B0DBF">
        <w:t>Tjo</w:t>
      </w:r>
      <w:r w:rsidR="00A96C07" w:rsidRPr="005B0DBF">
        <w:t>n</w:t>
      </w:r>
      <w:r w:rsidR="00426606" w:rsidRPr="005B0DBF">
        <w:t>ck</w:t>
      </w:r>
      <w:proofErr w:type="spellEnd"/>
      <w:r w:rsidR="00426606" w:rsidRPr="005B0DBF">
        <w:t xml:space="preserve"> </w:t>
      </w:r>
    </w:p>
    <w:p w:rsidR="00660987" w:rsidRPr="005B0DBF" w:rsidRDefault="00660987" w:rsidP="00132BEB">
      <w:pPr>
        <w:pStyle w:val="StandaardSV"/>
        <w:tabs>
          <w:tab w:val="left" w:pos="567"/>
          <w:tab w:val="left" w:pos="851"/>
        </w:tabs>
      </w:pPr>
    </w:p>
    <w:p w:rsidR="00426606" w:rsidRPr="005B0DBF" w:rsidRDefault="00132BEB" w:rsidP="00132BEB">
      <w:pPr>
        <w:pStyle w:val="StandaardSV"/>
        <w:tabs>
          <w:tab w:val="left" w:pos="567"/>
          <w:tab w:val="left" w:pos="851"/>
        </w:tabs>
        <w:ind w:left="851" w:hanging="567"/>
      </w:pPr>
      <w:r>
        <w:tab/>
      </w:r>
      <w:r w:rsidR="00660987" w:rsidRPr="005B0DBF">
        <w:t>b)</w:t>
      </w:r>
      <w:r>
        <w:tab/>
      </w:r>
      <w:r w:rsidR="00426606" w:rsidRPr="005B0DBF">
        <w:t xml:space="preserve">Zie antwoord in de Commissie Landbouw/Visserij van 15/1/2014 op vragen 658 en 677 van respectievelijk S. </w:t>
      </w:r>
      <w:proofErr w:type="spellStart"/>
      <w:r w:rsidR="00426606" w:rsidRPr="005B0DBF">
        <w:t>Sintobin</w:t>
      </w:r>
      <w:proofErr w:type="spellEnd"/>
      <w:r w:rsidR="00426606" w:rsidRPr="005B0DBF">
        <w:t xml:space="preserve"> en </w:t>
      </w:r>
      <w:proofErr w:type="spellStart"/>
      <w:r w:rsidR="00426606" w:rsidRPr="005B0DBF">
        <w:t>mevr</w:t>
      </w:r>
      <w:proofErr w:type="spellEnd"/>
      <w:r w:rsidR="00426606" w:rsidRPr="005B0DBF">
        <w:t xml:space="preserve"> D</w:t>
      </w:r>
      <w:r w:rsidR="00A96C07" w:rsidRPr="005B0DBF">
        <w:t>.</w:t>
      </w:r>
      <w:r w:rsidR="00426606" w:rsidRPr="005B0DBF">
        <w:t xml:space="preserve"> </w:t>
      </w:r>
      <w:proofErr w:type="spellStart"/>
      <w:r w:rsidR="00426606" w:rsidRPr="005B0DBF">
        <w:t>Tjo</w:t>
      </w:r>
      <w:r w:rsidR="00A96C07" w:rsidRPr="005B0DBF">
        <w:t>n</w:t>
      </w:r>
      <w:r w:rsidR="00426606" w:rsidRPr="005B0DBF">
        <w:t>ck</w:t>
      </w:r>
      <w:proofErr w:type="spellEnd"/>
    </w:p>
    <w:p w:rsidR="00660987" w:rsidRPr="005B0DBF" w:rsidRDefault="00660987" w:rsidP="00132BEB">
      <w:pPr>
        <w:pStyle w:val="StandaardSV"/>
        <w:tabs>
          <w:tab w:val="left" w:pos="567"/>
          <w:tab w:val="left" w:pos="851"/>
        </w:tabs>
      </w:pPr>
    </w:p>
    <w:p w:rsidR="00AD314E" w:rsidRPr="005B0DBF" w:rsidRDefault="00660987" w:rsidP="00132BEB">
      <w:pPr>
        <w:pStyle w:val="StandaardSV"/>
        <w:tabs>
          <w:tab w:val="left" w:pos="284"/>
          <w:tab w:val="left" w:pos="567"/>
          <w:tab w:val="left" w:pos="851"/>
        </w:tabs>
        <w:ind w:left="567" w:hanging="567"/>
      </w:pPr>
      <w:r w:rsidRPr="005B0DBF">
        <w:t>5.</w:t>
      </w:r>
      <w:r w:rsidR="00132BEB">
        <w:tab/>
      </w:r>
      <w:r w:rsidR="00132BEB">
        <w:tab/>
      </w:r>
      <w:r w:rsidR="00200370" w:rsidRPr="005B0DBF">
        <w:t>De w</w:t>
      </w:r>
      <w:r w:rsidR="00B200E4" w:rsidRPr="005B0DBF">
        <w:t>erkgroep</w:t>
      </w:r>
      <w:r w:rsidR="00200370" w:rsidRPr="005B0DBF">
        <w:t xml:space="preserve"> wetgeving van de </w:t>
      </w:r>
      <w:r w:rsidR="008B3EF8" w:rsidRPr="005B0DBF">
        <w:t>Strategische Stuurgroep Aquacultuur</w:t>
      </w:r>
      <w:r w:rsidR="00200370" w:rsidRPr="005B0DBF">
        <w:t xml:space="preserve"> </w:t>
      </w:r>
      <w:r w:rsidR="009D0553" w:rsidRPr="005B0DBF">
        <w:t xml:space="preserve">brengt op basis van een bevraging van de betrokkenen alle knelpunten in kaart en zal deze nadien </w:t>
      </w:r>
      <w:r w:rsidR="008B3EF8" w:rsidRPr="005B0DBF">
        <w:t>overmaken</w:t>
      </w:r>
      <w:r w:rsidR="009D0553" w:rsidRPr="005B0DBF">
        <w:t xml:space="preserve"> bij de bevoegde overheden.</w:t>
      </w:r>
      <w:r w:rsidR="008B3EF8" w:rsidRPr="005B0DBF">
        <w:t xml:space="preserve"> </w:t>
      </w:r>
      <w:r w:rsidR="009D0553" w:rsidRPr="005B0DBF">
        <w:t>Op de website aquacultuurvlaanderen.be komt ook een stappenplan met beslissing</w:t>
      </w:r>
      <w:r w:rsidR="00A96C07" w:rsidRPr="005B0DBF">
        <w:t>s</w:t>
      </w:r>
      <w:r w:rsidR="009D0553" w:rsidRPr="005B0DBF">
        <w:t>boom over hoe het</w:t>
      </w:r>
      <w:r w:rsidR="00657490" w:rsidRPr="005B0DBF">
        <w:t xml:space="preserve"> </w:t>
      </w:r>
      <w:r w:rsidR="009D0553" w:rsidRPr="005B0DBF">
        <w:t>bekomen van vergunningen verloopt.</w:t>
      </w:r>
      <w:r w:rsidR="00B200E4" w:rsidRPr="005B0DBF">
        <w:t xml:space="preserve"> Hierin dient ook het </w:t>
      </w:r>
      <w:r w:rsidR="00A96C07" w:rsidRPr="005B0DBF">
        <w:t>a</w:t>
      </w:r>
      <w:r w:rsidR="00B200E4" w:rsidRPr="005B0DBF">
        <w:t xml:space="preserve">anspreekpunt een actieve rol te spelen. </w:t>
      </w:r>
    </w:p>
    <w:p w:rsidR="00660987" w:rsidRPr="005B0DBF" w:rsidRDefault="00660987" w:rsidP="00132BEB">
      <w:pPr>
        <w:pStyle w:val="StandaardSV"/>
        <w:tabs>
          <w:tab w:val="left" w:pos="567"/>
          <w:tab w:val="left" w:pos="851"/>
        </w:tabs>
      </w:pPr>
    </w:p>
    <w:p w:rsidR="00742C39" w:rsidRPr="005B0DBF" w:rsidRDefault="00660987" w:rsidP="00132BEB">
      <w:pPr>
        <w:pStyle w:val="StandaardSV"/>
        <w:tabs>
          <w:tab w:val="left" w:pos="284"/>
          <w:tab w:val="left" w:pos="567"/>
          <w:tab w:val="left" w:pos="851"/>
        </w:tabs>
        <w:ind w:left="567" w:hanging="567"/>
      </w:pPr>
      <w:r w:rsidRPr="005B0DBF">
        <w:t>6.</w:t>
      </w:r>
      <w:r w:rsidR="00132BEB">
        <w:tab/>
      </w:r>
      <w:r w:rsidR="00132BEB">
        <w:tab/>
      </w:r>
      <w:r w:rsidR="00426606" w:rsidRPr="005B0DBF">
        <w:t xml:space="preserve">Zie antwoord in de Commissie Landbouw/Visserij van 15/1/2014 op vragen 658 en 677 van respectievelijk S. </w:t>
      </w:r>
      <w:proofErr w:type="spellStart"/>
      <w:r w:rsidR="00426606" w:rsidRPr="005B0DBF">
        <w:t>Sintobin</w:t>
      </w:r>
      <w:proofErr w:type="spellEnd"/>
      <w:r w:rsidR="00426606" w:rsidRPr="005B0DBF">
        <w:t xml:space="preserve"> </w:t>
      </w:r>
      <w:bookmarkStart w:id="0" w:name="_GoBack"/>
      <w:bookmarkEnd w:id="0"/>
      <w:r w:rsidR="00426606" w:rsidRPr="005B0DBF">
        <w:t xml:space="preserve">en </w:t>
      </w:r>
      <w:proofErr w:type="spellStart"/>
      <w:r w:rsidR="00426606" w:rsidRPr="005B0DBF">
        <w:t>mevr</w:t>
      </w:r>
      <w:proofErr w:type="spellEnd"/>
      <w:r w:rsidR="00426606" w:rsidRPr="005B0DBF">
        <w:t xml:space="preserve"> D</w:t>
      </w:r>
      <w:r w:rsidR="00A96C07" w:rsidRPr="005B0DBF">
        <w:t>.</w:t>
      </w:r>
      <w:r w:rsidR="00426606" w:rsidRPr="005B0DBF">
        <w:t xml:space="preserve"> </w:t>
      </w:r>
      <w:proofErr w:type="spellStart"/>
      <w:r w:rsidR="00426606" w:rsidRPr="005B0DBF">
        <w:t>Tjo</w:t>
      </w:r>
      <w:r w:rsidR="00A96C07" w:rsidRPr="005B0DBF">
        <w:t>n</w:t>
      </w:r>
      <w:r w:rsidR="00426606" w:rsidRPr="005B0DBF">
        <w:t>ck</w:t>
      </w:r>
      <w:proofErr w:type="spellEnd"/>
      <w:r w:rsidR="00FE5BCD">
        <w:t>.</w:t>
      </w:r>
      <w:r w:rsidR="00426606" w:rsidRPr="005B0DBF">
        <w:t xml:space="preserve"> </w:t>
      </w:r>
    </w:p>
    <w:p w:rsidR="00660987" w:rsidRPr="005B0DBF" w:rsidRDefault="00660987" w:rsidP="00132BEB">
      <w:pPr>
        <w:pStyle w:val="StandaardSV"/>
        <w:tabs>
          <w:tab w:val="left" w:pos="284"/>
          <w:tab w:val="left" w:pos="567"/>
          <w:tab w:val="left" w:pos="851"/>
        </w:tabs>
      </w:pPr>
    </w:p>
    <w:p w:rsidR="00660987" w:rsidRPr="005B0DBF" w:rsidRDefault="00660987" w:rsidP="00132BEB">
      <w:pPr>
        <w:pStyle w:val="StandaardSV"/>
        <w:tabs>
          <w:tab w:val="left" w:pos="284"/>
          <w:tab w:val="left" w:pos="567"/>
          <w:tab w:val="left" w:pos="851"/>
        </w:tabs>
        <w:ind w:left="284" w:hanging="284"/>
      </w:pPr>
      <w:r w:rsidRPr="005B0DBF">
        <w:t>7.</w:t>
      </w:r>
      <w:r w:rsidR="00132BEB">
        <w:tab/>
      </w:r>
      <w:r w:rsidR="00132BEB">
        <w:tab/>
      </w:r>
      <w:r w:rsidR="00742C39" w:rsidRPr="005B0DBF">
        <w:t>Deze werden ingezet op andere assen.</w:t>
      </w:r>
    </w:p>
    <w:p w:rsidR="00660987" w:rsidRPr="005B0DBF" w:rsidRDefault="00660987" w:rsidP="00132BEB">
      <w:pPr>
        <w:pStyle w:val="StandaardSV"/>
        <w:tabs>
          <w:tab w:val="left" w:pos="284"/>
          <w:tab w:val="left" w:pos="567"/>
          <w:tab w:val="left" w:pos="851"/>
        </w:tabs>
      </w:pPr>
    </w:p>
    <w:p w:rsidR="00D90D14" w:rsidRPr="005B0DBF" w:rsidRDefault="00660987" w:rsidP="00132BEB">
      <w:pPr>
        <w:pStyle w:val="StandaardSV"/>
        <w:tabs>
          <w:tab w:val="left" w:pos="284"/>
          <w:tab w:val="left" w:pos="567"/>
          <w:tab w:val="left" w:pos="851"/>
        </w:tabs>
        <w:ind w:left="567" w:hanging="567"/>
      </w:pPr>
      <w:r w:rsidRPr="005B0DBF">
        <w:t>8.</w:t>
      </w:r>
      <w:r w:rsidR="00132BEB">
        <w:tab/>
      </w:r>
      <w:r w:rsidR="00132BEB">
        <w:tab/>
      </w:r>
      <w:r w:rsidR="00D90D14" w:rsidRPr="005B0DBF">
        <w:t>Ik zal i</w:t>
      </w:r>
      <w:r w:rsidR="009660F0" w:rsidRPr="005B0DBF">
        <w:t xml:space="preserve">n het kader </w:t>
      </w:r>
      <w:r w:rsidR="00A43B8F" w:rsidRPr="005B0DBF">
        <w:t xml:space="preserve">van </w:t>
      </w:r>
      <w:r w:rsidR="00D90D14" w:rsidRPr="005B0DBF">
        <w:t xml:space="preserve">het OP EFMZV </w:t>
      </w:r>
      <w:r w:rsidR="003029FB" w:rsidRPr="005B0DBF">
        <w:t>nagaan of en zo ja hoe,  steun verle</w:t>
      </w:r>
      <w:r w:rsidR="00A96C07" w:rsidRPr="005B0DBF">
        <w:t>e</w:t>
      </w:r>
      <w:r w:rsidR="003029FB" w:rsidRPr="005B0DBF">
        <w:t>nd kan worden</w:t>
      </w:r>
      <w:r w:rsidR="00D90D14" w:rsidRPr="005B0DBF">
        <w:t xml:space="preserve"> voor het afsluiten van verzekeringen </w:t>
      </w:r>
      <w:r w:rsidR="009D0553" w:rsidRPr="005B0DBF">
        <w:t>die de producent beschermt tegen verlies door gebeurtenissen waarvoor hij niet zelf verantwoordelijk is</w:t>
      </w:r>
      <w:r w:rsidR="003029FB" w:rsidRPr="005B0DBF">
        <w:t xml:space="preserve">. </w:t>
      </w:r>
      <w:r w:rsidR="009660F0" w:rsidRPr="005B0DBF">
        <w:t xml:space="preserve"> </w:t>
      </w:r>
    </w:p>
    <w:p w:rsidR="00660987" w:rsidRPr="005B0DBF" w:rsidRDefault="00660987" w:rsidP="00132BEB">
      <w:pPr>
        <w:pStyle w:val="StandaardSV"/>
        <w:tabs>
          <w:tab w:val="left" w:pos="284"/>
          <w:tab w:val="left" w:pos="567"/>
          <w:tab w:val="left" w:pos="851"/>
        </w:tabs>
      </w:pPr>
    </w:p>
    <w:p w:rsidR="00D90D14" w:rsidRPr="005B0DBF" w:rsidRDefault="00660987" w:rsidP="00132BEB">
      <w:pPr>
        <w:pStyle w:val="StandaardSV"/>
        <w:tabs>
          <w:tab w:val="left" w:pos="284"/>
          <w:tab w:val="left" w:pos="567"/>
          <w:tab w:val="left" w:pos="851"/>
        </w:tabs>
        <w:ind w:left="284" w:hanging="284"/>
      </w:pPr>
      <w:r w:rsidRPr="005B0DBF">
        <w:t>9.</w:t>
      </w:r>
      <w:r w:rsidR="00132BEB">
        <w:tab/>
      </w:r>
      <w:r w:rsidR="00132BEB">
        <w:tab/>
      </w:r>
      <w:r w:rsidR="00D90D14" w:rsidRPr="005B0DBF">
        <w:t>Ik zal alle acties die hiervoor op EU niveau plaatsvinden volgen en steunen.</w:t>
      </w:r>
    </w:p>
    <w:p w:rsidR="00660987" w:rsidRPr="005B0DBF" w:rsidRDefault="00660987" w:rsidP="00132BEB">
      <w:pPr>
        <w:pStyle w:val="StandaardSV"/>
        <w:tabs>
          <w:tab w:val="left" w:pos="284"/>
          <w:tab w:val="left" w:pos="567"/>
          <w:tab w:val="left" w:pos="851"/>
        </w:tabs>
      </w:pPr>
    </w:p>
    <w:p w:rsidR="00660987" w:rsidRPr="005B0DBF" w:rsidRDefault="00660987" w:rsidP="00132BEB">
      <w:pPr>
        <w:pStyle w:val="StandaardSV"/>
        <w:tabs>
          <w:tab w:val="left" w:pos="284"/>
          <w:tab w:val="left" w:pos="567"/>
          <w:tab w:val="left" w:pos="851"/>
        </w:tabs>
        <w:ind w:left="851" w:hanging="851"/>
      </w:pPr>
      <w:r w:rsidRPr="005B0DBF">
        <w:t>10.</w:t>
      </w:r>
      <w:r w:rsidR="00132BEB">
        <w:tab/>
      </w:r>
      <w:r w:rsidR="00132BEB">
        <w:tab/>
      </w:r>
      <w:r w:rsidRPr="005B0DBF">
        <w:t>a)</w:t>
      </w:r>
      <w:r w:rsidR="00132BEB">
        <w:tab/>
      </w:r>
      <w:r w:rsidR="003324B1" w:rsidRPr="005B0DBF">
        <w:t>Diverse instellingen, waaronder ILVO onderzoeken de mogelijkheden voor een maximaal hergebruik van water in aquacultuurinstallaties.</w:t>
      </w:r>
    </w:p>
    <w:p w:rsidR="00660987" w:rsidRPr="005B0DBF" w:rsidRDefault="00660987" w:rsidP="00132BEB">
      <w:pPr>
        <w:pStyle w:val="StandaardSV"/>
        <w:tabs>
          <w:tab w:val="left" w:pos="284"/>
          <w:tab w:val="left" w:pos="567"/>
          <w:tab w:val="left" w:pos="851"/>
        </w:tabs>
      </w:pPr>
    </w:p>
    <w:p w:rsidR="00660987" w:rsidRPr="005B0DBF" w:rsidRDefault="00132BEB" w:rsidP="00132BEB">
      <w:pPr>
        <w:pStyle w:val="StandaardSV"/>
        <w:tabs>
          <w:tab w:val="left" w:pos="284"/>
          <w:tab w:val="left" w:pos="567"/>
          <w:tab w:val="left" w:pos="851"/>
        </w:tabs>
        <w:ind w:left="851" w:hanging="567"/>
      </w:pPr>
      <w:r>
        <w:tab/>
      </w:r>
      <w:r w:rsidR="00660987" w:rsidRPr="005B0DBF">
        <w:t>b)</w:t>
      </w:r>
      <w:r>
        <w:tab/>
      </w:r>
      <w:r w:rsidR="003324B1" w:rsidRPr="005B0DBF">
        <w:t xml:space="preserve">Recirculatietechnieken in de aquacultuur zijn continu onderhevig aan onderzoek wereldwijd en worden continu verbeterd. ILVO </w:t>
      </w:r>
      <w:r w:rsidR="00873DB5" w:rsidRPr="005B0DBF">
        <w:t xml:space="preserve">heeft hiertoe een kosten-batenanalyse tool gemaakt voor </w:t>
      </w:r>
      <w:r w:rsidR="003F386E" w:rsidRPr="005B0DBF">
        <w:t xml:space="preserve">de kweek van </w:t>
      </w:r>
      <w:r w:rsidR="00873DB5" w:rsidRPr="005B0DBF">
        <w:t>tong</w:t>
      </w:r>
      <w:r w:rsidR="003F386E" w:rsidRPr="005B0DBF">
        <w:t xml:space="preserve"> in een recirculatiesysteem</w:t>
      </w:r>
      <w:r w:rsidR="00873DB5" w:rsidRPr="005B0DBF">
        <w:t xml:space="preserve">, maar </w:t>
      </w:r>
      <w:r w:rsidR="003F386E" w:rsidRPr="005B0DBF">
        <w:t xml:space="preserve">kan </w:t>
      </w:r>
      <w:r w:rsidR="00873DB5" w:rsidRPr="005B0DBF">
        <w:t xml:space="preserve">ook naar andere kweeksoorten uitgebreid worden. </w:t>
      </w:r>
    </w:p>
    <w:p w:rsidR="00660987" w:rsidRPr="005B0DBF" w:rsidRDefault="00660987" w:rsidP="00132BEB">
      <w:pPr>
        <w:pStyle w:val="StandaardSV"/>
        <w:tabs>
          <w:tab w:val="left" w:pos="284"/>
          <w:tab w:val="left" w:pos="567"/>
          <w:tab w:val="left" w:pos="851"/>
        </w:tabs>
      </w:pPr>
    </w:p>
    <w:p w:rsidR="0092161B" w:rsidRDefault="00660987" w:rsidP="00132BEB">
      <w:pPr>
        <w:pStyle w:val="StandaardSV"/>
        <w:tabs>
          <w:tab w:val="left" w:pos="284"/>
          <w:tab w:val="left" w:pos="567"/>
          <w:tab w:val="left" w:pos="851"/>
        </w:tabs>
        <w:ind w:left="567" w:hanging="567"/>
      </w:pPr>
      <w:r w:rsidRPr="005B0DBF">
        <w:t>11.</w:t>
      </w:r>
      <w:r w:rsidR="00132BEB">
        <w:tab/>
      </w:r>
      <w:r w:rsidR="00132BEB">
        <w:tab/>
      </w:r>
      <w:r w:rsidRPr="005B0DBF">
        <w:t>a)</w:t>
      </w:r>
      <w:r w:rsidR="00132BEB">
        <w:tab/>
      </w:r>
      <w:r w:rsidR="003E4EB8" w:rsidRPr="005B0DBF">
        <w:t xml:space="preserve">Binnen Vlaanderen bestaat er een gekende master-opleiding in de </w:t>
      </w:r>
      <w:proofErr w:type="spellStart"/>
      <w:r w:rsidR="003E4EB8" w:rsidRPr="005B0DBF">
        <w:t>aq</w:t>
      </w:r>
      <w:r w:rsidR="00A43B8F" w:rsidRPr="005B0DBF">
        <w:t>a</w:t>
      </w:r>
      <w:r w:rsidR="003E4EB8" w:rsidRPr="005B0DBF">
        <w:t>ucultuur</w:t>
      </w:r>
      <w:proofErr w:type="spellEnd"/>
      <w:r w:rsidR="003E4EB8" w:rsidRPr="005B0DBF">
        <w:t xml:space="preserve"> aan de </w:t>
      </w:r>
      <w:proofErr w:type="spellStart"/>
      <w:r w:rsidR="003E4EB8" w:rsidRPr="005B0DBF">
        <w:t>UGent</w:t>
      </w:r>
      <w:proofErr w:type="spellEnd"/>
      <w:r w:rsidR="003E4EB8" w:rsidRPr="005B0DBF">
        <w:t>.</w:t>
      </w:r>
      <w:r w:rsidR="00132BEB">
        <w:tab/>
      </w:r>
      <w:r w:rsidR="003E4EB8" w:rsidRPr="005B0DBF">
        <w:t>Verder zijn er een aantal hogescholen die een beperkte opleiding in de aquacultuur geven.</w:t>
      </w:r>
    </w:p>
    <w:p w:rsidR="003E4EB8" w:rsidRPr="005B0DBF" w:rsidRDefault="0092161B" w:rsidP="0092161B">
      <w:pPr>
        <w:pStyle w:val="StandaardSV"/>
        <w:tabs>
          <w:tab w:val="left" w:pos="284"/>
          <w:tab w:val="left" w:pos="567"/>
          <w:tab w:val="left" w:pos="851"/>
        </w:tabs>
        <w:ind w:left="851" w:hanging="851"/>
      </w:pPr>
      <w:r>
        <w:tab/>
      </w:r>
      <w:r>
        <w:tab/>
      </w:r>
      <w:r>
        <w:tab/>
      </w:r>
      <w:r w:rsidR="003E4EB8" w:rsidRPr="005B0DBF">
        <w:t>De consulent die voor het aanspreekpunt zal ingehuurd worden zal ook een 2-tal keer per jaar een ini</w:t>
      </w:r>
      <w:r w:rsidR="003F386E" w:rsidRPr="005B0DBF">
        <w:t>ti</w:t>
      </w:r>
      <w:r w:rsidR="003E4EB8" w:rsidRPr="005B0DBF">
        <w:t>atiecursus aquacultuur organiseren.</w:t>
      </w:r>
    </w:p>
    <w:p w:rsidR="00660987" w:rsidRPr="005B0DBF" w:rsidRDefault="00660987" w:rsidP="00132BEB">
      <w:pPr>
        <w:pStyle w:val="StandaardSV"/>
        <w:tabs>
          <w:tab w:val="left" w:pos="284"/>
          <w:tab w:val="left" w:pos="567"/>
          <w:tab w:val="left" w:pos="851"/>
        </w:tabs>
      </w:pPr>
    </w:p>
    <w:p w:rsidR="00660987" w:rsidRPr="005B0DBF" w:rsidRDefault="0092161B" w:rsidP="0092161B">
      <w:pPr>
        <w:pStyle w:val="StandaardSV"/>
        <w:tabs>
          <w:tab w:val="left" w:pos="284"/>
          <w:tab w:val="left" w:pos="567"/>
          <w:tab w:val="left" w:pos="851"/>
        </w:tabs>
        <w:ind w:left="851" w:hanging="567"/>
      </w:pPr>
      <w:r>
        <w:tab/>
      </w:r>
      <w:r w:rsidR="00660987" w:rsidRPr="005B0DBF">
        <w:t>b)</w:t>
      </w:r>
      <w:r>
        <w:tab/>
      </w:r>
      <w:r w:rsidR="003029FB" w:rsidRPr="005B0DBF">
        <w:t>Er zijn reeds diverse mogelijkheden  om</w:t>
      </w:r>
      <w:r w:rsidR="00873DB5" w:rsidRPr="005B0DBF">
        <w:t xml:space="preserve"> praktijkervaring te kunnen opdoen</w:t>
      </w:r>
      <w:r w:rsidR="003029FB" w:rsidRPr="005B0DBF">
        <w:t xml:space="preserve"> (</w:t>
      </w:r>
      <w:proofErr w:type="spellStart"/>
      <w:r w:rsidR="003029FB" w:rsidRPr="005B0DBF">
        <w:t>oa</w:t>
      </w:r>
      <w:proofErr w:type="spellEnd"/>
      <w:r w:rsidR="003029FB" w:rsidRPr="005B0DBF">
        <w:t xml:space="preserve"> </w:t>
      </w:r>
      <w:proofErr w:type="spellStart"/>
      <w:r w:rsidR="003029FB" w:rsidRPr="005B0DBF">
        <w:t>Inagro</w:t>
      </w:r>
      <w:proofErr w:type="spellEnd"/>
      <w:r w:rsidR="003029FB" w:rsidRPr="005B0DBF">
        <w:t xml:space="preserve">, </w:t>
      </w:r>
      <w:proofErr w:type="spellStart"/>
      <w:r w:rsidR="003029FB" w:rsidRPr="005B0DBF">
        <w:t>Kaho</w:t>
      </w:r>
      <w:proofErr w:type="spellEnd"/>
      <w:r w:rsidR="003029FB" w:rsidRPr="005B0DBF">
        <w:t>–St-</w:t>
      </w:r>
      <w:proofErr w:type="spellStart"/>
      <w:r w:rsidR="003029FB" w:rsidRPr="005B0DBF">
        <w:t>Niklaas</w:t>
      </w:r>
      <w:proofErr w:type="spellEnd"/>
      <w:r w:rsidR="003029FB" w:rsidRPr="005B0DBF">
        <w:t>, ..)</w:t>
      </w:r>
      <w:r w:rsidR="00873DB5" w:rsidRPr="005B0DBF">
        <w:t xml:space="preserve">. </w:t>
      </w:r>
      <w:r w:rsidR="003029FB" w:rsidRPr="005B0DBF">
        <w:t>Vanuit deze instellingen zijn er contacten met waarbij buitenlandse ervaring ge</w:t>
      </w:r>
      <w:r w:rsidR="00A43B8F" w:rsidRPr="005B0DBF">
        <w:t>ï</w:t>
      </w:r>
      <w:r w:rsidR="003029FB" w:rsidRPr="005B0DBF">
        <w:t>nteg</w:t>
      </w:r>
      <w:r w:rsidR="00A43B8F" w:rsidRPr="005B0DBF">
        <w:t>r</w:t>
      </w:r>
      <w:r w:rsidR="003029FB" w:rsidRPr="005B0DBF">
        <w:t xml:space="preserve">eerd wordt in de eigen werking.   </w:t>
      </w:r>
    </w:p>
    <w:p w:rsidR="00660987" w:rsidRPr="005B0DBF" w:rsidRDefault="00660987" w:rsidP="00132BEB">
      <w:pPr>
        <w:pStyle w:val="StandaardSV"/>
        <w:tabs>
          <w:tab w:val="left" w:pos="284"/>
          <w:tab w:val="left" w:pos="567"/>
          <w:tab w:val="left" w:pos="851"/>
        </w:tabs>
      </w:pPr>
    </w:p>
    <w:p w:rsidR="00000F4A" w:rsidRPr="005B0DBF" w:rsidRDefault="0092161B" w:rsidP="0092161B">
      <w:pPr>
        <w:pStyle w:val="StandaardSV"/>
        <w:tabs>
          <w:tab w:val="left" w:pos="284"/>
          <w:tab w:val="left" w:pos="567"/>
          <w:tab w:val="left" w:pos="851"/>
        </w:tabs>
        <w:ind w:left="851" w:hanging="567"/>
      </w:pPr>
      <w:r>
        <w:tab/>
      </w:r>
      <w:r w:rsidR="00660987" w:rsidRPr="005B0DBF">
        <w:t>c)</w:t>
      </w:r>
      <w:r>
        <w:tab/>
      </w:r>
      <w:r w:rsidR="00740122" w:rsidRPr="005B0DBF">
        <w:t xml:space="preserve">Deze mogelijkheid is, ondanks de vraag vanuit Vlaanderen </w:t>
      </w:r>
      <w:r w:rsidR="00000F4A" w:rsidRPr="005B0DBF">
        <w:t xml:space="preserve">om </w:t>
      </w:r>
      <w:r w:rsidR="00740122" w:rsidRPr="005B0DBF">
        <w:t xml:space="preserve">ook </w:t>
      </w:r>
      <w:proofErr w:type="spellStart"/>
      <w:r w:rsidR="00740122" w:rsidRPr="005B0DBF">
        <w:t>maricultuur</w:t>
      </w:r>
      <w:proofErr w:type="spellEnd"/>
      <w:r w:rsidR="00740122" w:rsidRPr="005B0DBF">
        <w:t xml:space="preserve"> toe te laten buiten de windmolenparken, niet opgenomen in het marien ruimtelijk plan dat nu voorligt.</w:t>
      </w:r>
    </w:p>
    <w:p w:rsidR="00794262" w:rsidRPr="005B0DBF" w:rsidRDefault="00794262" w:rsidP="00132BEB">
      <w:pPr>
        <w:pStyle w:val="StandaardSV"/>
        <w:tabs>
          <w:tab w:val="left" w:pos="284"/>
          <w:tab w:val="left" w:pos="567"/>
          <w:tab w:val="left" w:pos="851"/>
        </w:tabs>
        <w:ind w:left="567" w:hanging="283"/>
      </w:pPr>
    </w:p>
    <w:p w:rsidR="00740122" w:rsidRPr="005B0DBF" w:rsidRDefault="0092161B" w:rsidP="0092161B">
      <w:pPr>
        <w:pStyle w:val="StandaardSV"/>
        <w:tabs>
          <w:tab w:val="left" w:pos="284"/>
          <w:tab w:val="left" w:pos="567"/>
          <w:tab w:val="left" w:pos="851"/>
        </w:tabs>
        <w:ind w:left="851" w:hanging="567"/>
      </w:pPr>
      <w:r>
        <w:tab/>
      </w:r>
      <w:r w:rsidR="00660987" w:rsidRPr="005B0DBF">
        <w:t>d)</w:t>
      </w:r>
      <w:r>
        <w:tab/>
      </w:r>
      <w:r w:rsidR="00A96C07" w:rsidRPr="005B0DBF">
        <w:t xml:space="preserve">Voornaamste uitgangspunt zowel voor aquacultuur aan land als voor </w:t>
      </w:r>
      <w:proofErr w:type="spellStart"/>
      <w:r w:rsidR="00A96C07" w:rsidRPr="005B0DBF">
        <w:t>maricultuur</w:t>
      </w:r>
      <w:proofErr w:type="spellEnd"/>
      <w:r w:rsidR="00A96C07" w:rsidRPr="005B0DBF">
        <w:t xml:space="preserve">  is de noodzaak van een professionele aanpak. </w:t>
      </w:r>
      <w:r w:rsidR="00740122" w:rsidRPr="005B0DBF">
        <w:t xml:space="preserve">Projecten zullen naast het technische verhaal ook een businessplan moeten </w:t>
      </w:r>
      <w:r w:rsidR="00A96C07" w:rsidRPr="005B0DBF">
        <w:t>hebben</w:t>
      </w:r>
      <w:r>
        <w:t>.</w:t>
      </w:r>
      <w:r w:rsidR="00A96C07" w:rsidRPr="005B0DBF">
        <w:t xml:space="preserve"> </w:t>
      </w:r>
    </w:p>
    <w:p w:rsidR="00A96C07" w:rsidRPr="005B0DBF" w:rsidRDefault="0092161B" w:rsidP="00132BEB">
      <w:pPr>
        <w:pStyle w:val="StandaardSV"/>
        <w:tabs>
          <w:tab w:val="left" w:pos="284"/>
          <w:tab w:val="left" w:pos="567"/>
          <w:tab w:val="left" w:pos="851"/>
        </w:tabs>
        <w:ind w:left="567"/>
      </w:pPr>
      <w:r>
        <w:tab/>
      </w:r>
      <w:r w:rsidR="00A96C07" w:rsidRPr="005B0DBF">
        <w:t>Via onze aanpak willen wij eventuele initiatiefnemers daarbij ondersteunen</w:t>
      </w:r>
      <w:r>
        <w:t>.</w:t>
      </w:r>
    </w:p>
    <w:p w:rsidR="000C6E40" w:rsidRPr="005B0DBF" w:rsidRDefault="000C6E40" w:rsidP="00132BEB">
      <w:pPr>
        <w:tabs>
          <w:tab w:val="left" w:pos="284"/>
          <w:tab w:val="left" w:pos="567"/>
          <w:tab w:val="left" w:pos="851"/>
        </w:tabs>
      </w:pPr>
    </w:p>
    <w:sectPr w:rsidR="000C6E40" w:rsidRPr="005B0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7"/>
    <w:rsid w:val="00000F4A"/>
    <w:rsid w:val="000723BE"/>
    <w:rsid w:val="000C6E40"/>
    <w:rsid w:val="000E219E"/>
    <w:rsid w:val="00104481"/>
    <w:rsid w:val="00132BEB"/>
    <w:rsid w:val="001C4DCC"/>
    <w:rsid w:val="00200370"/>
    <w:rsid w:val="00220241"/>
    <w:rsid w:val="003029FB"/>
    <w:rsid w:val="003324B1"/>
    <w:rsid w:val="00360A24"/>
    <w:rsid w:val="003758FE"/>
    <w:rsid w:val="003E4EB8"/>
    <w:rsid w:val="003F386E"/>
    <w:rsid w:val="00426606"/>
    <w:rsid w:val="00565FCB"/>
    <w:rsid w:val="005B0DBF"/>
    <w:rsid w:val="00657490"/>
    <w:rsid w:val="00660987"/>
    <w:rsid w:val="00711DA4"/>
    <w:rsid w:val="00740122"/>
    <w:rsid w:val="00742C39"/>
    <w:rsid w:val="00794262"/>
    <w:rsid w:val="007A3B4A"/>
    <w:rsid w:val="008305C2"/>
    <w:rsid w:val="0086187F"/>
    <w:rsid w:val="00873DB5"/>
    <w:rsid w:val="008B3EF8"/>
    <w:rsid w:val="008D7BF8"/>
    <w:rsid w:val="0092161B"/>
    <w:rsid w:val="009660F0"/>
    <w:rsid w:val="009D0553"/>
    <w:rsid w:val="009F4D29"/>
    <w:rsid w:val="00A34396"/>
    <w:rsid w:val="00A43B8F"/>
    <w:rsid w:val="00A66C07"/>
    <w:rsid w:val="00A96C07"/>
    <w:rsid w:val="00AB3179"/>
    <w:rsid w:val="00AD314E"/>
    <w:rsid w:val="00B200E4"/>
    <w:rsid w:val="00BB038D"/>
    <w:rsid w:val="00BB40E8"/>
    <w:rsid w:val="00CC2178"/>
    <w:rsid w:val="00CD4D12"/>
    <w:rsid w:val="00D350A1"/>
    <w:rsid w:val="00D90D14"/>
    <w:rsid w:val="00DA5D59"/>
    <w:rsid w:val="00E32B52"/>
    <w:rsid w:val="00F12738"/>
    <w:rsid w:val="00FE5B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98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60987"/>
    <w:pPr>
      <w:jc w:val="both"/>
    </w:pPr>
    <w:rPr>
      <w:b/>
      <w:smallCaps/>
      <w:sz w:val="22"/>
    </w:rPr>
  </w:style>
  <w:style w:type="paragraph" w:customStyle="1" w:styleId="StandaardSV">
    <w:name w:val="Standaard SV"/>
    <w:basedOn w:val="Standaard"/>
    <w:rsid w:val="00660987"/>
    <w:pPr>
      <w:jc w:val="both"/>
    </w:pPr>
    <w:rPr>
      <w:sz w:val="22"/>
    </w:rPr>
  </w:style>
  <w:style w:type="paragraph" w:styleId="Ballontekst">
    <w:name w:val="Balloon Text"/>
    <w:basedOn w:val="Standaard"/>
    <w:link w:val="BallontekstChar"/>
    <w:uiPriority w:val="99"/>
    <w:semiHidden/>
    <w:unhideWhenUsed/>
    <w:rsid w:val="001C4DCC"/>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DCC"/>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3F3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098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60987"/>
    <w:pPr>
      <w:jc w:val="both"/>
    </w:pPr>
    <w:rPr>
      <w:b/>
      <w:smallCaps/>
      <w:sz w:val="22"/>
    </w:rPr>
  </w:style>
  <w:style w:type="paragraph" w:customStyle="1" w:styleId="StandaardSV">
    <w:name w:val="Standaard SV"/>
    <w:basedOn w:val="Standaard"/>
    <w:rsid w:val="00660987"/>
    <w:pPr>
      <w:jc w:val="both"/>
    </w:pPr>
    <w:rPr>
      <w:sz w:val="22"/>
    </w:rPr>
  </w:style>
  <w:style w:type="paragraph" w:styleId="Ballontekst">
    <w:name w:val="Balloon Text"/>
    <w:basedOn w:val="Standaard"/>
    <w:link w:val="BallontekstChar"/>
    <w:uiPriority w:val="99"/>
    <w:semiHidden/>
    <w:unhideWhenUsed/>
    <w:rsid w:val="001C4DCC"/>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DCC"/>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3F3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799</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Sandra Quaethoven</cp:lastModifiedBy>
  <cp:revision>5</cp:revision>
  <cp:lastPrinted>2014-02-10T11:19:00Z</cp:lastPrinted>
  <dcterms:created xsi:type="dcterms:W3CDTF">2014-02-10T11:07:00Z</dcterms:created>
  <dcterms:modified xsi:type="dcterms:W3CDTF">2014-02-10T11:19:00Z</dcterms:modified>
</cp:coreProperties>
</file>