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C33DC6" w:rsidRPr="00DD4121" w:rsidRDefault="00C33DC6" w:rsidP="00C33DC6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C33DC6" w:rsidRPr="00015BF7" w:rsidRDefault="00C33DC6" w:rsidP="00C33DC6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C33DC6" w:rsidRPr="00015BF7" w:rsidRDefault="00C33DC6" w:rsidP="00C33DC6">
      <w:pPr>
        <w:rPr>
          <w:szCs w:val="22"/>
        </w:rPr>
      </w:pPr>
    </w:p>
    <w:p w:rsidR="00C33DC6" w:rsidRPr="00DB41C0" w:rsidRDefault="00C33DC6" w:rsidP="00C33DC6">
      <w:pPr>
        <w:pStyle w:val="A-Lijn"/>
      </w:pPr>
    </w:p>
    <w:p w:rsidR="00C33DC6" w:rsidRDefault="00C33DC6" w:rsidP="00C33DC6">
      <w:pPr>
        <w:pStyle w:val="A-Type"/>
        <w:sectPr w:rsidR="00C33D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33DC6" w:rsidRDefault="00C33DC6" w:rsidP="00C33DC6">
      <w:pPr>
        <w:pStyle w:val="A-Type"/>
        <w:outlineLvl w:val="0"/>
        <w:sectPr w:rsidR="00C33DC6" w:rsidSect="003B3111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C33DC6" w:rsidRPr="00326A58" w:rsidRDefault="00C33DC6" w:rsidP="00C33DC6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3F06D4">
        <w:rPr>
          <w:b w:val="0"/>
        </w:rPr>
        <w:t>298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3F06D4">
        <w:rPr>
          <w:b w:val="0"/>
        </w:rPr>
        <w:t>15</w:t>
      </w:r>
      <w:r>
        <w:rPr>
          <w:b w:val="0"/>
        </w:rPr>
        <w:fldChar w:fldCharType="end"/>
      </w:r>
      <w:bookmarkStart w:id="4" w:name="Dropdown2"/>
      <w:bookmarkEnd w:id="3"/>
      <w:r>
        <w:rPr>
          <w:b w:val="0"/>
        </w:rPr>
        <w:t xml:space="preserve"> </w:t>
      </w:r>
      <w:bookmarkEnd w:id="4"/>
      <w:r w:rsidR="00EE4E83">
        <w:rPr>
          <w:b w:val="0"/>
        </w:rPr>
        <w:fldChar w:fldCharType="begin">
          <w:ffData>
            <w:name w:val="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EE4E83">
        <w:rPr>
          <w:b w:val="0"/>
        </w:rPr>
        <w:instrText xml:space="preserve"> FORMDROPDOWN </w:instrText>
      </w:r>
      <w:r w:rsidR="00612B53">
        <w:rPr>
          <w:b w:val="0"/>
        </w:rPr>
      </w:r>
      <w:r w:rsidR="00612B53">
        <w:rPr>
          <w:b w:val="0"/>
        </w:rPr>
        <w:fldChar w:fldCharType="separate"/>
      </w:r>
      <w:r w:rsidR="00EE4E83">
        <w:rPr>
          <w:b w:val="0"/>
        </w:rPr>
        <w:fldChar w:fldCharType="end"/>
      </w:r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 w:rsidR="00612B53">
        <w:rPr>
          <w:b w:val="0"/>
        </w:rPr>
      </w:r>
      <w:r w:rsidR="00612B53">
        <w:rPr>
          <w:b w:val="0"/>
        </w:rPr>
        <w:fldChar w:fldCharType="separate"/>
      </w:r>
      <w:r>
        <w:rPr>
          <w:b w:val="0"/>
        </w:rPr>
        <w:fldChar w:fldCharType="end"/>
      </w:r>
      <w:bookmarkEnd w:id="5"/>
    </w:p>
    <w:p w:rsidR="00C33DC6" w:rsidRDefault="00C33DC6" w:rsidP="00C33DC6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</w:rPr>
        <w:instrText xml:space="preserve"> FORMTEXT </w:instrText>
      </w:r>
      <w:r w:rsidRPr="009D7043">
        <w:rPr>
          <w:rStyle w:val="AntwoordNaamMinisterChar"/>
        </w:rPr>
      </w:r>
      <w:r w:rsidRPr="009D7043">
        <w:rPr>
          <w:rStyle w:val="AntwoordNaamMinisterChar"/>
        </w:rPr>
        <w:fldChar w:fldCharType="separate"/>
      </w:r>
      <w:r w:rsidR="003F06D4">
        <w:rPr>
          <w:rStyle w:val="AntwoordNaamMinisterChar"/>
        </w:rPr>
        <w:t>caroline bastiaens</w:t>
      </w:r>
      <w:r w:rsidRPr="009D7043">
        <w:rPr>
          <w:rStyle w:val="AntwoordNaamMinisterChar"/>
        </w:rPr>
        <w:fldChar w:fldCharType="end"/>
      </w:r>
    </w:p>
    <w:p w:rsidR="00C33DC6" w:rsidRPr="00015BF7" w:rsidRDefault="00C33DC6" w:rsidP="00C33DC6">
      <w:pPr>
        <w:rPr>
          <w:szCs w:val="22"/>
        </w:rPr>
      </w:pPr>
    </w:p>
    <w:p w:rsidR="00C33DC6" w:rsidRPr="00DB41C0" w:rsidRDefault="00C33DC6" w:rsidP="00C33DC6">
      <w:pPr>
        <w:pStyle w:val="A-Lijn"/>
      </w:pPr>
    </w:p>
    <w:p w:rsidR="00C33DC6" w:rsidRPr="00DB41C0" w:rsidRDefault="00C33DC6" w:rsidP="00C33DC6">
      <w:pPr>
        <w:pStyle w:val="A-Lijn"/>
      </w:pPr>
    </w:p>
    <w:p w:rsidR="00C33DC6" w:rsidRDefault="00C33DC6" w:rsidP="00C33DC6">
      <w:pPr>
        <w:sectPr w:rsidR="00C33DC6" w:rsidSect="003B311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1411E" w:rsidRPr="0001411E" w:rsidRDefault="00CF124C" w:rsidP="00870CD3">
      <w:pPr>
        <w:pStyle w:val="StandaardSV"/>
        <w:numPr>
          <w:ilvl w:val="0"/>
          <w:numId w:val="3"/>
        </w:numPr>
        <w:ind w:left="360"/>
        <w:rPr>
          <w:rFonts w:ascii="Times New Roman MT Std" w:hAnsi="Times New Roman MT Std" w:cs="Times New Roman MT Std"/>
          <w:color w:val="000000"/>
          <w:szCs w:val="22"/>
        </w:rPr>
      </w:pPr>
      <w:r>
        <w:lastRenderedPageBreak/>
        <w:t>Hierbij geven we e</w:t>
      </w:r>
      <w:r w:rsidR="003F06D4">
        <w:t>en actueel ov</w:t>
      </w:r>
      <w:r w:rsidR="0001411E">
        <w:t>erzicht van het aantal erkende tolken Vlaamse Gebarentaal en schrijftolken</w:t>
      </w:r>
      <w:r w:rsidR="003F06D4">
        <w:t xml:space="preserve"> actief in Vlaanderen</w:t>
      </w:r>
      <w:r>
        <w:t xml:space="preserve"> op basis van registratiegegevens van</w:t>
      </w:r>
      <w:r w:rsidR="008E2304">
        <w:t xml:space="preserve"> het Vlaams Communicatie Assistentie Bure</w:t>
      </w:r>
      <w:bookmarkStart w:id="6" w:name="_GoBack"/>
      <w:bookmarkEnd w:id="6"/>
      <w:r w:rsidR="008E2304">
        <w:t>au voor Doven (CAB)</w:t>
      </w:r>
      <w:r w:rsidR="003F06D4">
        <w:t>.</w:t>
      </w:r>
      <w:r w:rsidR="0001411E">
        <w:t xml:space="preserve"> Hierbij </w:t>
      </w:r>
      <w:r w:rsidR="008E2304">
        <w:t>werd door hen o</w:t>
      </w:r>
      <w:r w:rsidR="0001411E">
        <w:t>pgemerkt dat niet alle</w:t>
      </w:r>
      <w:r w:rsidR="008E2304">
        <w:t xml:space="preserve"> erkende tolken Vlaamse Gebarentaal en schrijftolken</w:t>
      </w:r>
      <w:r w:rsidR="0001411E">
        <w:t xml:space="preserve"> voltijds actief </w:t>
      </w:r>
      <w:r w:rsidR="00E41923">
        <w:t xml:space="preserve">tolken </w:t>
      </w:r>
      <w:r w:rsidR="008E2304">
        <w:t>en / of</w:t>
      </w:r>
      <w:r w:rsidR="0001411E">
        <w:t xml:space="preserve"> alle provincies bedienen. Sommige</w:t>
      </w:r>
      <w:r w:rsidR="00E41923">
        <w:t>n</w:t>
      </w:r>
      <w:r w:rsidR="0001411E">
        <w:t xml:space="preserve"> zijn slechts sporadisch of in bijberoep actief. </w:t>
      </w:r>
      <w:r w:rsidR="008E2304">
        <w:t>Anderen</w:t>
      </w:r>
      <w:r w:rsidR="0001411E">
        <w:t xml:space="preserve"> werken in drie tot vier provincies terwijl </w:t>
      </w:r>
      <w:r w:rsidR="008E2304">
        <w:t xml:space="preserve">nog </w:t>
      </w:r>
      <w:r w:rsidR="0001411E">
        <w:t xml:space="preserve">andere zich </w:t>
      </w:r>
      <w:r w:rsidR="00E41923">
        <w:t xml:space="preserve">bewust </w:t>
      </w:r>
      <w:r w:rsidR="0001411E">
        <w:t>beperken.</w:t>
      </w:r>
    </w:p>
    <w:p w:rsidR="0001411E" w:rsidRDefault="0001411E" w:rsidP="0001411E">
      <w:pPr>
        <w:pStyle w:val="StandaardSV"/>
        <w:ind w:left="360"/>
      </w:pPr>
    </w:p>
    <w:tbl>
      <w:tblPr>
        <w:tblStyle w:val="Tabelraster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3118"/>
      </w:tblGrid>
      <w:tr w:rsidR="0001411E" w:rsidTr="00E41923">
        <w:tc>
          <w:tcPr>
            <w:tcW w:w="2127" w:type="dxa"/>
            <w:vAlign w:val="center"/>
          </w:tcPr>
          <w:p w:rsidR="0001411E" w:rsidRDefault="0001411E" w:rsidP="0001411E">
            <w:pPr>
              <w:pStyle w:val="StandaardSV"/>
            </w:pPr>
            <w:r>
              <w:t>Provincie</w:t>
            </w:r>
          </w:p>
        </w:tc>
        <w:tc>
          <w:tcPr>
            <w:tcW w:w="3118" w:type="dxa"/>
            <w:vAlign w:val="center"/>
          </w:tcPr>
          <w:p w:rsidR="00E41923" w:rsidRDefault="00E41923" w:rsidP="00E41923">
            <w:pPr>
              <w:pStyle w:val="StandaardSV"/>
              <w:jc w:val="center"/>
            </w:pPr>
            <w:r>
              <w:t>E</w:t>
            </w:r>
            <w:r w:rsidR="0001411E">
              <w:t>rkende tolken Vlaamse Gebarentaal en schrijftolken</w:t>
            </w:r>
            <w:r>
              <w:t xml:space="preserve"> </w:t>
            </w:r>
          </w:p>
          <w:p w:rsidR="0001411E" w:rsidRDefault="00E41923" w:rsidP="00E41923">
            <w:pPr>
              <w:pStyle w:val="StandaardSV"/>
              <w:jc w:val="center"/>
            </w:pPr>
            <w:r>
              <w:t>2013</w:t>
            </w:r>
          </w:p>
        </w:tc>
      </w:tr>
      <w:tr w:rsidR="0001411E" w:rsidTr="00E41923">
        <w:tc>
          <w:tcPr>
            <w:tcW w:w="2127" w:type="dxa"/>
            <w:vAlign w:val="center"/>
          </w:tcPr>
          <w:p w:rsidR="0001411E" w:rsidRDefault="0001411E" w:rsidP="0001411E">
            <w:pPr>
              <w:pStyle w:val="StandaardSV"/>
            </w:pPr>
            <w:r>
              <w:t>Antwerpen</w:t>
            </w:r>
          </w:p>
        </w:tc>
        <w:tc>
          <w:tcPr>
            <w:tcW w:w="3118" w:type="dxa"/>
            <w:vAlign w:val="center"/>
          </w:tcPr>
          <w:p w:rsidR="0001411E" w:rsidRDefault="0001411E" w:rsidP="00E41923">
            <w:pPr>
              <w:pStyle w:val="StandaardSV"/>
              <w:jc w:val="center"/>
            </w:pPr>
            <w:r>
              <w:t>40</w:t>
            </w:r>
          </w:p>
        </w:tc>
      </w:tr>
      <w:tr w:rsidR="0001411E" w:rsidTr="00E41923">
        <w:tc>
          <w:tcPr>
            <w:tcW w:w="2127" w:type="dxa"/>
            <w:vAlign w:val="center"/>
          </w:tcPr>
          <w:p w:rsidR="0001411E" w:rsidRDefault="0001411E" w:rsidP="0001411E">
            <w:pPr>
              <w:pStyle w:val="StandaardSV"/>
            </w:pPr>
            <w:r>
              <w:t>Brabant</w:t>
            </w:r>
          </w:p>
        </w:tc>
        <w:tc>
          <w:tcPr>
            <w:tcW w:w="3118" w:type="dxa"/>
            <w:vAlign w:val="center"/>
          </w:tcPr>
          <w:p w:rsidR="0001411E" w:rsidRDefault="0001411E" w:rsidP="00E41923">
            <w:pPr>
              <w:pStyle w:val="StandaardSV"/>
              <w:jc w:val="center"/>
            </w:pPr>
            <w:r>
              <w:t>22</w:t>
            </w:r>
          </w:p>
        </w:tc>
      </w:tr>
      <w:tr w:rsidR="0001411E" w:rsidTr="00E41923">
        <w:tc>
          <w:tcPr>
            <w:tcW w:w="2127" w:type="dxa"/>
            <w:vAlign w:val="center"/>
          </w:tcPr>
          <w:p w:rsidR="0001411E" w:rsidRDefault="0001411E" w:rsidP="0001411E">
            <w:pPr>
              <w:pStyle w:val="StandaardSV"/>
            </w:pPr>
            <w:r>
              <w:t>Limburg</w:t>
            </w:r>
          </w:p>
        </w:tc>
        <w:tc>
          <w:tcPr>
            <w:tcW w:w="3118" w:type="dxa"/>
            <w:vAlign w:val="center"/>
          </w:tcPr>
          <w:p w:rsidR="0001411E" w:rsidRDefault="0001411E" w:rsidP="00E41923">
            <w:pPr>
              <w:pStyle w:val="StandaardSV"/>
              <w:jc w:val="center"/>
            </w:pPr>
            <w:r>
              <w:t>15</w:t>
            </w:r>
          </w:p>
        </w:tc>
      </w:tr>
      <w:tr w:rsidR="0001411E" w:rsidTr="00E41923">
        <w:tc>
          <w:tcPr>
            <w:tcW w:w="2127" w:type="dxa"/>
            <w:vAlign w:val="center"/>
          </w:tcPr>
          <w:p w:rsidR="0001411E" w:rsidRDefault="0001411E" w:rsidP="0001411E">
            <w:pPr>
              <w:pStyle w:val="StandaardSV"/>
            </w:pPr>
            <w:r>
              <w:t>Oost-Vlaanderen</w:t>
            </w:r>
          </w:p>
        </w:tc>
        <w:tc>
          <w:tcPr>
            <w:tcW w:w="3118" w:type="dxa"/>
            <w:vAlign w:val="center"/>
          </w:tcPr>
          <w:p w:rsidR="0001411E" w:rsidRDefault="0001411E" w:rsidP="00E41923">
            <w:pPr>
              <w:pStyle w:val="StandaardSV"/>
              <w:jc w:val="center"/>
            </w:pPr>
            <w:r>
              <w:t>65</w:t>
            </w:r>
          </w:p>
        </w:tc>
      </w:tr>
      <w:tr w:rsidR="0001411E" w:rsidTr="00E41923">
        <w:tc>
          <w:tcPr>
            <w:tcW w:w="2127" w:type="dxa"/>
            <w:vAlign w:val="center"/>
          </w:tcPr>
          <w:p w:rsidR="0001411E" w:rsidRDefault="0001411E" w:rsidP="0001411E">
            <w:pPr>
              <w:pStyle w:val="StandaardSV"/>
            </w:pPr>
            <w:r>
              <w:t>West-Vlaanderen</w:t>
            </w:r>
          </w:p>
        </w:tc>
        <w:tc>
          <w:tcPr>
            <w:tcW w:w="3118" w:type="dxa"/>
            <w:vAlign w:val="center"/>
          </w:tcPr>
          <w:p w:rsidR="0001411E" w:rsidRDefault="0001411E" w:rsidP="00E41923">
            <w:pPr>
              <w:pStyle w:val="StandaardSV"/>
              <w:jc w:val="center"/>
            </w:pPr>
            <w:r>
              <w:t>31</w:t>
            </w:r>
          </w:p>
        </w:tc>
      </w:tr>
    </w:tbl>
    <w:p w:rsidR="003F06D4" w:rsidRPr="003F06D4" w:rsidRDefault="0001411E" w:rsidP="008E2304">
      <w:pPr>
        <w:pStyle w:val="StandaardSV"/>
        <w:ind w:left="360"/>
        <w:rPr>
          <w:rFonts w:ascii="Times New Roman MT Std" w:hAnsi="Times New Roman MT Std" w:cs="Times New Roman MT Std"/>
          <w:color w:val="000000"/>
          <w:szCs w:val="22"/>
        </w:rPr>
      </w:pPr>
      <w:r>
        <w:t xml:space="preserve"> </w:t>
      </w:r>
    </w:p>
    <w:p w:rsidR="00DD3F1C" w:rsidRDefault="00D70A96" w:rsidP="00DD3F1C">
      <w:pPr>
        <w:pStyle w:val="StandaardSV"/>
        <w:numPr>
          <w:ilvl w:val="0"/>
          <w:numId w:val="3"/>
        </w:numPr>
        <w:ind w:left="360"/>
      </w:pPr>
      <w:r w:rsidRPr="00D70A96">
        <w:t xml:space="preserve">Het aanbod van </w:t>
      </w:r>
      <w:r>
        <w:t>erkende tolken Vlaamse Gebarentaal en schrijftolken actief in Vlaanderen</w:t>
      </w:r>
      <w:r w:rsidRPr="00D70A96">
        <w:t xml:space="preserve"> is onvoldoende om aan de vraag te voldoen. Hoewel </w:t>
      </w:r>
      <w:r>
        <w:t xml:space="preserve">voor 2013 </w:t>
      </w:r>
      <w:r w:rsidR="00DD3F1C">
        <w:t xml:space="preserve">er </w:t>
      </w:r>
      <w:r w:rsidRPr="00D70A96">
        <w:t>nog geen definitieve cijfers zijn</w:t>
      </w:r>
      <w:r>
        <w:t xml:space="preserve">, </w:t>
      </w:r>
      <w:r w:rsidR="00CF124C">
        <w:t xml:space="preserve">bevestigen </w:t>
      </w:r>
      <w:r w:rsidRPr="00D70A96">
        <w:t xml:space="preserve">de prognoses van het CAB </w:t>
      </w:r>
      <w:r w:rsidR="00CF124C">
        <w:t>dit</w:t>
      </w:r>
      <w:r>
        <w:t>.</w:t>
      </w:r>
    </w:p>
    <w:p w:rsidR="00DD3F1C" w:rsidRDefault="00DD3F1C" w:rsidP="00DD3F1C">
      <w:pPr>
        <w:pStyle w:val="StandaardSV"/>
      </w:pPr>
    </w:p>
    <w:tbl>
      <w:tblPr>
        <w:tblStyle w:val="Tabelraster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2552"/>
        <w:gridCol w:w="1417"/>
      </w:tblGrid>
      <w:tr w:rsidR="00DD3F1C" w:rsidTr="009D00C3">
        <w:tc>
          <w:tcPr>
            <w:tcW w:w="1276" w:type="dxa"/>
            <w:vAlign w:val="center"/>
          </w:tcPr>
          <w:p w:rsidR="00DD3F1C" w:rsidRDefault="00DD3F1C" w:rsidP="00DD3F1C">
            <w:pPr>
              <w:pStyle w:val="StandaardSV"/>
            </w:pPr>
          </w:p>
        </w:tc>
        <w:tc>
          <w:tcPr>
            <w:tcW w:w="3969" w:type="dxa"/>
            <w:gridSpan w:val="2"/>
            <w:vAlign w:val="center"/>
          </w:tcPr>
          <w:p w:rsidR="00DD3F1C" w:rsidRDefault="009D00C3" w:rsidP="00DD3F1C">
            <w:pPr>
              <w:pStyle w:val="StandaardSV"/>
              <w:jc w:val="center"/>
            </w:pPr>
            <w:r>
              <w:t xml:space="preserve">Onopgeloste </w:t>
            </w:r>
            <w:proofErr w:type="spellStart"/>
            <w:r>
              <w:t>tolkuren</w:t>
            </w:r>
            <w:proofErr w:type="spellEnd"/>
            <w:r>
              <w:t xml:space="preserve"> voor de inzet van tolken Vlaamse Gebarentaal en schrijftolken</w:t>
            </w:r>
          </w:p>
        </w:tc>
      </w:tr>
      <w:tr w:rsidR="00DD3F1C" w:rsidTr="009D00C3">
        <w:tc>
          <w:tcPr>
            <w:tcW w:w="1276" w:type="dxa"/>
            <w:vAlign w:val="center"/>
          </w:tcPr>
          <w:p w:rsidR="00DD3F1C" w:rsidRDefault="00DD3F1C" w:rsidP="00DD3F1C">
            <w:pPr>
              <w:pStyle w:val="StandaardSV"/>
            </w:pPr>
          </w:p>
        </w:tc>
        <w:tc>
          <w:tcPr>
            <w:tcW w:w="2552" w:type="dxa"/>
            <w:vAlign w:val="center"/>
          </w:tcPr>
          <w:p w:rsidR="00DD3F1C" w:rsidRDefault="00DD3F1C" w:rsidP="00DD3F1C">
            <w:pPr>
              <w:pStyle w:val="StandaardSV"/>
              <w:jc w:val="center"/>
            </w:pPr>
            <w:r>
              <w:t>2012</w:t>
            </w:r>
          </w:p>
        </w:tc>
        <w:tc>
          <w:tcPr>
            <w:tcW w:w="1417" w:type="dxa"/>
          </w:tcPr>
          <w:p w:rsidR="00DD3F1C" w:rsidRDefault="00DD3F1C" w:rsidP="00DD3F1C">
            <w:pPr>
              <w:pStyle w:val="StandaardSV"/>
              <w:jc w:val="center"/>
            </w:pPr>
            <w:r>
              <w:t>2013</w:t>
            </w:r>
          </w:p>
        </w:tc>
      </w:tr>
      <w:tr w:rsidR="00DD3F1C" w:rsidTr="009D00C3">
        <w:tc>
          <w:tcPr>
            <w:tcW w:w="1276" w:type="dxa"/>
            <w:vAlign w:val="center"/>
          </w:tcPr>
          <w:p w:rsidR="00DD3F1C" w:rsidRDefault="00DD3F1C" w:rsidP="00DD3F1C">
            <w:pPr>
              <w:pStyle w:val="StandaardSV"/>
            </w:pPr>
            <w:r>
              <w:t>Welzijn</w:t>
            </w:r>
          </w:p>
        </w:tc>
        <w:tc>
          <w:tcPr>
            <w:tcW w:w="2552" w:type="dxa"/>
            <w:vAlign w:val="center"/>
          </w:tcPr>
          <w:p w:rsidR="00DD3F1C" w:rsidRDefault="00DD3F1C" w:rsidP="00DD3F1C">
            <w:pPr>
              <w:pStyle w:val="StandaardSV"/>
              <w:jc w:val="center"/>
            </w:pPr>
            <w:r>
              <w:t>5,84 %</w:t>
            </w:r>
          </w:p>
        </w:tc>
        <w:tc>
          <w:tcPr>
            <w:tcW w:w="1417" w:type="dxa"/>
          </w:tcPr>
          <w:p w:rsidR="00DD3F1C" w:rsidRDefault="00DD3F1C" w:rsidP="00DD3F1C">
            <w:pPr>
              <w:pStyle w:val="StandaardSV"/>
              <w:jc w:val="center"/>
            </w:pPr>
            <w:r>
              <w:t>7 %</w:t>
            </w:r>
          </w:p>
        </w:tc>
      </w:tr>
      <w:tr w:rsidR="00DD3F1C" w:rsidTr="009D00C3">
        <w:tc>
          <w:tcPr>
            <w:tcW w:w="1276" w:type="dxa"/>
            <w:vAlign w:val="center"/>
          </w:tcPr>
          <w:p w:rsidR="00DD3F1C" w:rsidRDefault="00DD3F1C" w:rsidP="00DD3F1C">
            <w:pPr>
              <w:pStyle w:val="StandaardSV"/>
            </w:pPr>
            <w:r>
              <w:t>Arbeid</w:t>
            </w:r>
          </w:p>
        </w:tc>
        <w:tc>
          <w:tcPr>
            <w:tcW w:w="2552" w:type="dxa"/>
            <w:vAlign w:val="center"/>
          </w:tcPr>
          <w:p w:rsidR="00DD3F1C" w:rsidRDefault="00DD3F1C" w:rsidP="00DD3F1C">
            <w:pPr>
              <w:pStyle w:val="StandaardSV"/>
              <w:jc w:val="center"/>
            </w:pPr>
            <w:r>
              <w:t>9.8 %</w:t>
            </w:r>
          </w:p>
        </w:tc>
        <w:tc>
          <w:tcPr>
            <w:tcW w:w="1417" w:type="dxa"/>
          </w:tcPr>
          <w:p w:rsidR="00DD3F1C" w:rsidRDefault="00DD3F1C" w:rsidP="00DD3F1C">
            <w:pPr>
              <w:pStyle w:val="StandaardSV"/>
              <w:jc w:val="center"/>
            </w:pPr>
            <w:r>
              <w:t>12,5 %</w:t>
            </w:r>
          </w:p>
        </w:tc>
      </w:tr>
    </w:tbl>
    <w:p w:rsidR="00DD3F1C" w:rsidRDefault="00DD3F1C" w:rsidP="00DD3F1C">
      <w:pPr>
        <w:pStyle w:val="StandaardSV"/>
      </w:pPr>
    </w:p>
    <w:tbl>
      <w:tblPr>
        <w:tblStyle w:val="Tabelraster"/>
        <w:tblW w:w="0" w:type="auto"/>
        <w:tblInd w:w="1242" w:type="dxa"/>
        <w:tblLook w:val="04A0" w:firstRow="1" w:lastRow="0" w:firstColumn="1" w:lastColumn="0" w:noHBand="0" w:noVBand="1"/>
      </w:tblPr>
      <w:tblGrid>
        <w:gridCol w:w="1276"/>
        <w:gridCol w:w="2552"/>
        <w:gridCol w:w="1417"/>
      </w:tblGrid>
      <w:tr w:rsidR="00DD3F1C" w:rsidTr="009D00C3">
        <w:tc>
          <w:tcPr>
            <w:tcW w:w="1276" w:type="dxa"/>
            <w:vAlign w:val="center"/>
          </w:tcPr>
          <w:p w:rsidR="00DD3F1C" w:rsidRDefault="00DD3F1C" w:rsidP="00DD3F1C">
            <w:pPr>
              <w:pStyle w:val="StandaardSV"/>
            </w:pPr>
          </w:p>
        </w:tc>
        <w:tc>
          <w:tcPr>
            <w:tcW w:w="3969" w:type="dxa"/>
            <w:gridSpan w:val="2"/>
            <w:vAlign w:val="center"/>
          </w:tcPr>
          <w:p w:rsidR="00DD3F1C" w:rsidRDefault="009D00C3" w:rsidP="00DD3F1C">
            <w:pPr>
              <w:pStyle w:val="StandaardSV"/>
              <w:jc w:val="center"/>
            </w:pPr>
            <w:r>
              <w:t xml:space="preserve">Onopgeloste </w:t>
            </w:r>
            <w:proofErr w:type="spellStart"/>
            <w:r>
              <w:t>tolkuren</w:t>
            </w:r>
            <w:proofErr w:type="spellEnd"/>
            <w:r>
              <w:t xml:space="preserve"> voor de inzet van tolken Vlaamse Gebarentaal en schrijftolken</w:t>
            </w:r>
          </w:p>
        </w:tc>
      </w:tr>
      <w:tr w:rsidR="00DD3F1C" w:rsidTr="009D00C3">
        <w:tc>
          <w:tcPr>
            <w:tcW w:w="1276" w:type="dxa"/>
            <w:vAlign w:val="center"/>
          </w:tcPr>
          <w:p w:rsidR="00DD3F1C" w:rsidRDefault="00DD3F1C" w:rsidP="00DD3F1C">
            <w:pPr>
              <w:pStyle w:val="StandaardSV"/>
            </w:pPr>
          </w:p>
        </w:tc>
        <w:tc>
          <w:tcPr>
            <w:tcW w:w="2552" w:type="dxa"/>
            <w:vAlign w:val="center"/>
          </w:tcPr>
          <w:p w:rsidR="00DD3F1C" w:rsidRDefault="00DD3F1C" w:rsidP="00DD3F1C">
            <w:pPr>
              <w:pStyle w:val="StandaardSV"/>
              <w:jc w:val="center"/>
            </w:pPr>
            <w:r>
              <w:t>2011-2012</w:t>
            </w:r>
          </w:p>
        </w:tc>
        <w:tc>
          <w:tcPr>
            <w:tcW w:w="1417" w:type="dxa"/>
          </w:tcPr>
          <w:p w:rsidR="00DD3F1C" w:rsidRDefault="00DD3F1C" w:rsidP="00DD3F1C">
            <w:pPr>
              <w:pStyle w:val="StandaardSV"/>
              <w:jc w:val="center"/>
            </w:pPr>
            <w:r>
              <w:t>2012-2013</w:t>
            </w:r>
          </w:p>
        </w:tc>
      </w:tr>
      <w:tr w:rsidR="00DD3F1C" w:rsidTr="009D00C3">
        <w:tc>
          <w:tcPr>
            <w:tcW w:w="1276" w:type="dxa"/>
            <w:vAlign w:val="center"/>
          </w:tcPr>
          <w:p w:rsidR="00DD3F1C" w:rsidRDefault="00DD3F1C" w:rsidP="00DD3F1C">
            <w:pPr>
              <w:pStyle w:val="StandaardSV"/>
            </w:pPr>
            <w:r>
              <w:t>Onderwijs</w:t>
            </w:r>
          </w:p>
        </w:tc>
        <w:tc>
          <w:tcPr>
            <w:tcW w:w="2552" w:type="dxa"/>
            <w:vAlign w:val="center"/>
          </w:tcPr>
          <w:p w:rsidR="00DD3F1C" w:rsidRDefault="00DD3F1C" w:rsidP="00DD3F1C">
            <w:pPr>
              <w:pStyle w:val="StandaardSV"/>
              <w:jc w:val="center"/>
            </w:pPr>
            <w:r>
              <w:t>7 %</w:t>
            </w:r>
          </w:p>
        </w:tc>
        <w:tc>
          <w:tcPr>
            <w:tcW w:w="1417" w:type="dxa"/>
          </w:tcPr>
          <w:p w:rsidR="00DD3F1C" w:rsidRDefault="00DD3F1C" w:rsidP="00DD3F1C">
            <w:pPr>
              <w:pStyle w:val="StandaardSV"/>
              <w:jc w:val="center"/>
            </w:pPr>
            <w:r>
              <w:t>16,7 %</w:t>
            </w:r>
          </w:p>
        </w:tc>
      </w:tr>
    </w:tbl>
    <w:p w:rsidR="009D00C3" w:rsidRDefault="009D00C3" w:rsidP="009D00C3">
      <w:pPr>
        <w:pStyle w:val="StandaardSV"/>
      </w:pPr>
    </w:p>
    <w:p w:rsidR="00A232F0" w:rsidRDefault="00A232F0" w:rsidP="009D00C3">
      <w:pPr>
        <w:pStyle w:val="StandaardSV"/>
        <w:ind w:left="360"/>
      </w:pPr>
    </w:p>
    <w:p w:rsidR="00772CB1" w:rsidRDefault="00CF124C" w:rsidP="009D00C3">
      <w:pPr>
        <w:pStyle w:val="StandaardSV"/>
        <w:ind w:left="360"/>
      </w:pPr>
      <w:r>
        <w:t>Wij beschikken niet over h</w:t>
      </w:r>
      <w:r w:rsidR="00BA37A3">
        <w:t xml:space="preserve">et </w:t>
      </w:r>
      <w:r w:rsidR="00B34721">
        <w:t xml:space="preserve">door u </w:t>
      </w:r>
      <w:r w:rsidR="00BA37A3">
        <w:t xml:space="preserve">gevraagde </w:t>
      </w:r>
      <w:r w:rsidR="0038330E">
        <w:t xml:space="preserve">gedetailleerde </w:t>
      </w:r>
      <w:r w:rsidR="00BA37A3">
        <w:t>overzicht inzake het tekort</w:t>
      </w:r>
      <w:r w:rsidR="00A232F0">
        <w:t xml:space="preserve"> aan erkende doventolken</w:t>
      </w:r>
      <w:r w:rsidR="0038330E">
        <w:t xml:space="preserve"> in onderwijs</w:t>
      </w:r>
      <w:r w:rsidR="00A232F0">
        <w:t>,</w:t>
      </w:r>
      <w:r w:rsidR="00BA37A3">
        <w:t xml:space="preserve"> </w:t>
      </w:r>
      <w:r w:rsidR="0038330E">
        <w:t xml:space="preserve">opgesplitst naar </w:t>
      </w:r>
      <w:r w:rsidR="00BA37A3">
        <w:t xml:space="preserve">niveau </w:t>
      </w:r>
      <w:r w:rsidR="0038330E">
        <w:t>en</w:t>
      </w:r>
      <w:r w:rsidR="00BA37A3">
        <w:t xml:space="preserve"> regio</w:t>
      </w:r>
      <w:r>
        <w:t>.</w:t>
      </w:r>
    </w:p>
    <w:p w:rsidR="00DD3F1C" w:rsidRDefault="00DD3F1C" w:rsidP="00DD3F1C">
      <w:pPr>
        <w:pStyle w:val="StandaardSV"/>
        <w:rPr>
          <w:rStyle w:val="A2"/>
          <w:rFonts w:ascii="Times New Roman" w:hAnsi="Times New Roman" w:cs="Times New Roman"/>
          <w:color w:val="auto"/>
          <w:szCs w:val="20"/>
        </w:rPr>
      </w:pPr>
    </w:p>
    <w:p w:rsidR="008B393C" w:rsidRDefault="00CF124C" w:rsidP="00B34721">
      <w:pPr>
        <w:pStyle w:val="StandaardSV"/>
        <w:numPr>
          <w:ilvl w:val="0"/>
          <w:numId w:val="3"/>
        </w:numPr>
        <w:ind w:left="360"/>
        <w:rPr>
          <w:rStyle w:val="A2"/>
        </w:rPr>
      </w:pPr>
      <w:r>
        <w:rPr>
          <w:rStyle w:val="A2"/>
        </w:rPr>
        <w:t>Wij hebben</w:t>
      </w:r>
      <w:r w:rsidR="00B34721">
        <w:rPr>
          <w:rStyle w:val="A2"/>
        </w:rPr>
        <w:t xml:space="preserve"> geen gegevens over het aantal wachtenden op een tolk </w:t>
      </w:r>
      <w:r w:rsidR="008B393C" w:rsidRPr="008B393C">
        <w:rPr>
          <w:rStyle w:val="A2"/>
        </w:rPr>
        <w:t xml:space="preserve">. </w:t>
      </w:r>
    </w:p>
    <w:p w:rsidR="00B877C6" w:rsidRDefault="00B877C6" w:rsidP="00A232F0">
      <w:pPr>
        <w:pStyle w:val="StandaardSV"/>
        <w:ind w:left="360"/>
      </w:pPr>
    </w:p>
    <w:p w:rsidR="00C33DC6" w:rsidRPr="00444B7C" w:rsidRDefault="00444B7C" w:rsidP="00C33DC6">
      <w:pPr>
        <w:pStyle w:val="StandaardSV"/>
        <w:numPr>
          <w:ilvl w:val="0"/>
          <w:numId w:val="3"/>
        </w:numPr>
        <w:ind w:left="360"/>
        <w:rPr>
          <w:rFonts w:ascii="Times New Roman MT Std" w:hAnsi="Times New Roman MT Std" w:cs="Times New Roman MT Std"/>
          <w:color w:val="000000"/>
          <w:szCs w:val="22"/>
        </w:rPr>
      </w:pPr>
      <w:r>
        <w:rPr>
          <w:rStyle w:val="A2"/>
        </w:rPr>
        <w:t xml:space="preserve">Het aantal </w:t>
      </w:r>
      <w:proofErr w:type="spellStart"/>
      <w:r>
        <w:rPr>
          <w:rStyle w:val="A2"/>
        </w:rPr>
        <w:t>tolkuren</w:t>
      </w:r>
      <w:proofErr w:type="spellEnd"/>
      <w:r w:rsidR="00CF124C">
        <w:rPr>
          <w:rStyle w:val="A2"/>
        </w:rPr>
        <w:t>,</w:t>
      </w:r>
      <w:r>
        <w:rPr>
          <w:rStyle w:val="A2"/>
        </w:rPr>
        <w:t xml:space="preserve"> per voltijdse freelance tolk</w:t>
      </w:r>
      <w:r w:rsidR="00CF124C">
        <w:rPr>
          <w:rStyle w:val="A2"/>
        </w:rPr>
        <w:t>,</w:t>
      </w:r>
      <w:r>
        <w:rPr>
          <w:rStyle w:val="A2"/>
        </w:rPr>
        <w:t xml:space="preserve"> varieert van 800 uren tot 1.000 uren (berekend op basis van statistieken van tolken in hoofdberoep). </w:t>
      </w:r>
      <w:r w:rsidR="00B80DC2">
        <w:rPr>
          <w:rStyle w:val="A2"/>
        </w:rPr>
        <w:t>G</w:t>
      </w:r>
      <w:r w:rsidRPr="00444B7C">
        <w:rPr>
          <w:szCs w:val="22"/>
        </w:rPr>
        <w:t>ezien het zowel tolken in hoofdberoep als in bijberoep als gelegenheidstolken</w:t>
      </w:r>
      <w:r w:rsidR="00B80DC2">
        <w:rPr>
          <w:szCs w:val="22"/>
        </w:rPr>
        <w:t xml:space="preserve"> betreft</w:t>
      </w:r>
      <w:r w:rsidRPr="00444B7C">
        <w:rPr>
          <w:szCs w:val="22"/>
        </w:rPr>
        <w:t xml:space="preserve">, is een algemeen gemiddelde misleidend. </w:t>
      </w:r>
    </w:p>
    <w:p w:rsidR="00C33DC6" w:rsidRPr="00971CF3" w:rsidRDefault="00C33DC6" w:rsidP="00C33DC6">
      <w:pPr>
        <w:jc w:val="both"/>
        <w:rPr>
          <w:szCs w:val="22"/>
        </w:rPr>
      </w:pPr>
    </w:p>
    <w:sectPr w:rsidR="00C33DC6" w:rsidRPr="00971CF3" w:rsidSect="003B3111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C6" w:rsidRDefault="00B877C6">
      <w:r>
        <w:separator/>
      </w:r>
    </w:p>
  </w:endnote>
  <w:endnote w:type="continuationSeparator" w:id="0">
    <w:p w:rsidR="00B877C6" w:rsidRDefault="00B8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MT Std">
    <w:altName w:val="Times New Roman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C6" w:rsidRDefault="00B877C6">
      <w:r>
        <w:separator/>
      </w:r>
    </w:p>
  </w:footnote>
  <w:footnote w:type="continuationSeparator" w:id="0">
    <w:p w:rsidR="00B877C6" w:rsidRDefault="00B8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6F1"/>
    <w:multiLevelType w:val="hybridMultilevel"/>
    <w:tmpl w:val="A828A7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B4FAC"/>
    <w:multiLevelType w:val="hybridMultilevel"/>
    <w:tmpl w:val="A4B666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71B2A"/>
    <w:multiLevelType w:val="hybridMultilevel"/>
    <w:tmpl w:val="6EF4FC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D4657"/>
    <w:multiLevelType w:val="hybridMultilevel"/>
    <w:tmpl w:val="707CAEF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C8"/>
    <w:rsid w:val="0001411E"/>
    <w:rsid w:val="00031E9C"/>
    <w:rsid w:val="000A4F12"/>
    <w:rsid w:val="001119C8"/>
    <w:rsid w:val="0014154A"/>
    <w:rsid w:val="001A1356"/>
    <w:rsid w:val="001E7462"/>
    <w:rsid w:val="001F5346"/>
    <w:rsid w:val="00210C81"/>
    <w:rsid w:val="00233078"/>
    <w:rsid w:val="002504E6"/>
    <w:rsid w:val="0025751A"/>
    <w:rsid w:val="00276D6B"/>
    <w:rsid w:val="002A4855"/>
    <w:rsid w:val="002F7ED4"/>
    <w:rsid w:val="00315B59"/>
    <w:rsid w:val="00362787"/>
    <w:rsid w:val="00365451"/>
    <w:rsid w:val="0038330E"/>
    <w:rsid w:val="003B3111"/>
    <w:rsid w:val="003C00B9"/>
    <w:rsid w:val="003E56E5"/>
    <w:rsid w:val="003F06D4"/>
    <w:rsid w:val="00444B7C"/>
    <w:rsid w:val="004722F2"/>
    <w:rsid w:val="00591165"/>
    <w:rsid w:val="005C492E"/>
    <w:rsid w:val="005C6531"/>
    <w:rsid w:val="00612B53"/>
    <w:rsid w:val="006359E3"/>
    <w:rsid w:val="006B5E25"/>
    <w:rsid w:val="006E104A"/>
    <w:rsid w:val="006F4096"/>
    <w:rsid w:val="00706E2D"/>
    <w:rsid w:val="00755EA0"/>
    <w:rsid w:val="00772CB1"/>
    <w:rsid w:val="00791ABF"/>
    <w:rsid w:val="007953F1"/>
    <w:rsid w:val="007C303C"/>
    <w:rsid w:val="007F4DE1"/>
    <w:rsid w:val="0083015B"/>
    <w:rsid w:val="008359B0"/>
    <w:rsid w:val="0086029F"/>
    <w:rsid w:val="00870CD3"/>
    <w:rsid w:val="008B393C"/>
    <w:rsid w:val="008D7506"/>
    <w:rsid w:val="008E2304"/>
    <w:rsid w:val="00953932"/>
    <w:rsid w:val="009605DD"/>
    <w:rsid w:val="00973872"/>
    <w:rsid w:val="00974024"/>
    <w:rsid w:val="00982BB1"/>
    <w:rsid w:val="009A4B5C"/>
    <w:rsid w:val="009D00C3"/>
    <w:rsid w:val="009F72F5"/>
    <w:rsid w:val="00A14656"/>
    <w:rsid w:val="00A22EBE"/>
    <w:rsid w:val="00A232F0"/>
    <w:rsid w:val="00B34721"/>
    <w:rsid w:val="00B56D56"/>
    <w:rsid w:val="00B80DC2"/>
    <w:rsid w:val="00B877C6"/>
    <w:rsid w:val="00B87AD2"/>
    <w:rsid w:val="00B954D8"/>
    <w:rsid w:val="00BA37A3"/>
    <w:rsid w:val="00BB7E23"/>
    <w:rsid w:val="00C060D0"/>
    <w:rsid w:val="00C33DC6"/>
    <w:rsid w:val="00C8428B"/>
    <w:rsid w:val="00CF124C"/>
    <w:rsid w:val="00CF6F78"/>
    <w:rsid w:val="00D70A96"/>
    <w:rsid w:val="00D837CE"/>
    <w:rsid w:val="00D93F53"/>
    <w:rsid w:val="00D96FE6"/>
    <w:rsid w:val="00DB6A47"/>
    <w:rsid w:val="00DD0429"/>
    <w:rsid w:val="00DD080D"/>
    <w:rsid w:val="00DD39F6"/>
    <w:rsid w:val="00DD3F1C"/>
    <w:rsid w:val="00E41923"/>
    <w:rsid w:val="00E44FAE"/>
    <w:rsid w:val="00ED268E"/>
    <w:rsid w:val="00EE4E83"/>
    <w:rsid w:val="00F6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3DC6"/>
    <w:rPr>
      <w:sz w:val="2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ntwoordNaamMinister">
    <w:name w:val="AntwoordNaamMinister"/>
    <w:basedOn w:val="Standaard"/>
    <w:link w:val="AntwoordNaamMinisterChar"/>
    <w:rsid w:val="00C33DC6"/>
    <w:rPr>
      <w:b/>
      <w:smallCaps/>
      <w:lang w:val="nl-BE"/>
    </w:rPr>
  </w:style>
  <w:style w:type="paragraph" w:customStyle="1" w:styleId="A-TitelMinister">
    <w:name w:val="A-TitelMinister"/>
    <w:basedOn w:val="Standaard"/>
    <w:rsid w:val="00C33DC6"/>
    <w:rPr>
      <w:smallCaps/>
      <w:szCs w:val="22"/>
      <w:lang w:val="nl-BE"/>
    </w:rPr>
  </w:style>
  <w:style w:type="paragraph" w:customStyle="1" w:styleId="A-NaamMinister">
    <w:name w:val="A-NaamMinister"/>
    <w:basedOn w:val="Standaard"/>
    <w:link w:val="A-NaamMinisterChar"/>
    <w:rsid w:val="00C33DC6"/>
    <w:rPr>
      <w:b/>
      <w:smallCaps/>
      <w:lang w:val="nl-BE"/>
    </w:rPr>
  </w:style>
  <w:style w:type="paragraph" w:customStyle="1" w:styleId="A-Lijn">
    <w:name w:val="A-Lijn"/>
    <w:basedOn w:val="Standaard"/>
    <w:rsid w:val="00C33DC6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C33DC6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C33DC6"/>
    <w:rPr>
      <w:b/>
      <w:smallCaps/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C33DC6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C33DC6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2A4855"/>
    <w:pPr>
      <w:ind w:left="708"/>
    </w:pPr>
  </w:style>
  <w:style w:type="paragraph" w:customStyle="1" w:styleId="StandaardSV">
    <w:name w:val="Standaard SV"/>
    <w:basedOn w:val="Standaard"/>
    <w:rsid w:val="00210C81"/>
    <w:pPr>
      <w:jc w:val="both"/>
    </w:pPr>
    <w:rPr>
      <w:szCs w:val="20"/>
    </w:rPr>
  </w:style>
  <w:style w:type="character" w:customStyle="1" w:styleId="A2">
    <w:name w:val="A2"/>
    <w:uiPriority w:val="99"/>
    <w:rsid w:val="00210C81"/>
    <w:rPr>
      <w:rFonts w:ascii="Times New Roman MT Std" w:hAnsi="Times New Roman MT Std" w:cs="Times New Roman MT Std" w:hint="default"/>
      <w:color w:val="000000"/>
      <w:sz w:val="22"/>
      <w:szCs w:val="22"/>
    </w:rPr>
  </w:style>
  <w:style w:type="paragraph" w:styleId="Ballontekst">
    <w:name w:val="Balloon Text"/>
    <w:basedOn w:val="Standaard"/>
    <w:link w:val="BallontekstChar"/>
    <w:rsid w:val="003654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65451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01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33DC6"/>
    <w:rPr>
      <w:sz w:val="22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ntwoordNaamMinister">
    <w:name w:val="AntwoordNaamMinister"/>
    <w:basedOn w:val="Standaard"/>
    <w:link w:val="AntwoordNaamMinisterChar"/>
    <w:rsid w:val="00C33DC6"/>
    <w:rPr>
      <w:b/>
      <w:smallCaps/>
      <w:lang w:val="nl-BE"/>
    </w:rPr>
  </w:style>
  <w:style w:type="paragraph" w:customStyle="1" w:styleId="A-TitelMinister">
    <w:name w:val="A-TitelMinister"/>
    <w:basedOn w:val="Standaard"/>
    <w:rsid w:val="00C33DC6"/>
    <w:rPr>
      <w:smallCaps/>
      <w:szCs w:val="22"/>
      <w:lang w:val="nl-BE"/>
    </w:rPr>
  </w:style>
  <w:style w:type="paragraph" w:customStyle="1" w:styleId="A-NaamMinister">
    <w:name w:val="A-NaamMinister"/>
    <w:basedOn w:val="Standaard"/>
    <w:link w:val="A-NaamMinisterChar"/>
    <w:rsid w:val="00C33DC6"/>
    <w:rPr>
      <w:b/>
      <w:smallCaps/>
      <w:lang w:val="nl-BE"/>
    </w:rPr>
  </w:style>
  <w:style w:type="paragraph" w:customStyle="1" w:styleId="A-Lijn">
    <w:name w:val="A-Lijn"/>
    <w:basedOn w:val="Standaard"/>
    <w:rsid w:val="00C33DC6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C33DC6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C33DC6"/>
    <w:rPr>
      <w:b/>
      <w:smallCaps/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C33DC6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C33DC6"/>
    <w:rPr>
      <w:b/>
      <w:smallCaps/>
      <w:sz w:val="22"/>
      <w:szCs w:val="24"/>
      <w:lang w:val="nl-BE" w:eastAsia="nl-NL" w:bidi="ar-SA"/>
    </w:rPr>
  </w:style>
  <w:style w:type="paragraph" w:styleId="Lijstalinea">
    <w:name w:val="List Paragraph"/>
    <w:basedOn w:val="Standaard"/>
    <w:uiPriority w:val="34"/>
    <w:qFormat/>
    <w:rsid w:val="002A4855"/>
    <w:pPr>
      <w:ind w:left="708"/>
    </w:pPr>
  </w:style>
  <w:style w:type="paragraph" w:customStyle="1" w:styleId="StandaardSV">
    <w:name w:val="Standaard SV"/>
    <w:basedOn w:val="Standaard"/>
    <w:rsid w:val="00210C81"/>
    <w:pPr>
      <w:jc w:val="both"/>
    </w:pPr>
    <w:rPr>
      <w:szCs w:val="20"/>
    </w:rPr>
  </w:style>
  <w:style w:type="character" w:customStyle="1" w:styleId="A2">
    <w:name w:val="A2"/>
    <w:uiPriority w:val="99"/>
    <w:rsid w:val="00210C81"/>
    <w:rPr>
      <w:rFonts w:ascii="Times New Roman MT Std" w:hAnsi="Times New Roman MT Std" w:cs="Times New Roman MT Std" w:hint="default"/>
      <w:color w:val="000000"/>
      <w:sz w:val="22"/>
      <w:szCs w:val="22"/>
    </w:rPr>
  </w:style>
  <w:style w:type="paragraph" w:styleId="Ballontekst">
    <w:name w:val="Balloon Text"/>
    <w:basedOn w:val="Standaard"/>
    <w:link w:val="BallontekstChar"/>
    <w:rsid w:val="003654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65451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01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xt\LOCALS~1\Temp\notes4259E9\antwoord%20pv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antwoord pv</Template>
  <TotalTime>1</TotalTime>
  <Pages>1</Pages>
  <Words>270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 VANDEURZEN</vt:lpstr>
    </vt:vector>
  </TitlesOfParts>
  <Company>MVG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 VANDEURZEN</dc:title>
  <dc:creator>Tjoen Kevin</dc:creator>
  <cp:lastModifiedBy>Sandra Quaethoven</cp:lastModifiedBy>
  <cp:revision>3</cp:revision>
  <cp:lastPrinted>2014-02-07T14:31:00Z</cp:lastPrinted>
  <dcterms:created xsi:type="dcterms:W3CDTF">2014-02-07T14:30:00Z</dcterms:created>
  <dcterms:modified xsi:type="dcterms:W3CDTF">2014-02-07T14:31:00Z</dcterms:modified>
</cp:coreProperties>
</file>