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2C" w:rsidRPr="00A8473D" w:rsidRDefault="00677B2C" w:rsidP="00677B2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677B2C" w:rsidRPr="00A8473D" w:rsidRDefault="00677B2C" w:rsidP="00677B2C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677B2C" w:rsidRPr="00DE405B" w:rsidRDefault="00677B2C" w:rsidP="00677B2C">
      <w:pPr>
        <w:pStyle w:val="StandaardSV"/>
        <w:pBdr>
          <w:bottom w:val="single" w:sz="4" w:space="1" w:color="auto"/>
        </w:pBdr>
        <w:rPr>
          <w:lang w:val="nl-BE"/>
        </w:rPr>
      </w:pPr>
    </w:p>
    <w:p w:rsidR="00677B2C" w:rsidRPr="00673DA2" w:rsidRDefault="00677B2C" w:rsidP="00677B2C">
      <w:pPr>
        <w:jc w:val="both"/>
        <w:rPr>
          <w:b/>
          <w:smallCaps/>
          <w:sz w:val="22"/>
        </w:rPr>
      </w:pPr>
    </w:p>
    <w:p w:rsidR="00673DA2" w:rsidRPr="00673DA2" w:rsidRDefault="00673DA2" w:rsidP="00677B2C">
      <w:pPr>
        <w:jc w:val="both"/>
        <w:outlineLvl w:val="0"/>
        <w:rPr>
          <w:b/>
          <w:smallCaps/>
          <w:sz w:val="22"/>
        </w:rPr>
      </w:pPr>
      <w:r w:rsidRPr="00673DA2">
        <w:rPr>
          <w:b/>
          <w:smallCaps/>
          <w:sz w:val="22"/>
        </w:rPr>
        <w:t>antwoord</w:t>
      </w:r>
    </w:p>
    <w:p w:rsidR="00677B2C" w:rsidRDefault="00673DA2" w:rsidP="00673DA2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677B2C">
        <w:rPr>
          <w:sz w:val="22"/>
        </w:rPr>
        <w:t>raag nr. 238</w:t>
      </w:r>
      <w:r>
        <w:rPr>
          <w:sz w:val="22"/>
        </w:rPr>
        <w:t xml:space="preserve"> </w:t>
      </w:r>
      <w:r w:rsidR="00677B2C">
        <w:rPr>
          <w:sz w:val="22"/>
        </w:rPr>
        <w:t>van 2 januari 2014</w:t>
      </w:r>
    </w:p>
    <w:p w:rsidR="00677B2C" w:rsidRDefault="00677B2C" w:rsidP="00677B2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jurgen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vanlerberghe</w:t>
      </w:r>
      <w:proofErr w:type="spellEnd"/>
    </w:p>
    <w:p w:rsidR="00677B2C" w:rsidRDefault="00677B2C" w:rsidP="00677B2C">
      <w:pPr>
        <w:pBdr>
          <w:bottom w:val="single" w:sz="4" w:space="1" w:color="auto"/>
        </w:pBdr>
        <w:jc w:val="both"/>
        <w:rPr>
          <w:sz w:val="22"/>
        </w:rPr>
      </w:pPr>
    </w:p>
    <w:p w:rsidR="00677B2C" w:rsidRDefault="00677B2C" w:rsidP="00677B2C">
      <w:pPr>
        <w:pStyle w:val="StandaardSV"/>
      </w:pPr>
    </w:p>
    <w:p w:rsidR="00677B2C" w:rsidRDefault="00677B2C" w:rsidP="00677B2C">
      <w:pPr>
        <w:pStyle w:val="StandaardSV"/>
        <w:rPr>
          <w:i/>
        </w:rPr>
      </w:pPr>
    </w:p>
    <w:p w:rsidR="009D1ADD" w:rsidRPr="00673DA2" w:rsidRDefault="009D1ADD" w:rsidP="00677B2C">
      <w:pPr>
        <w:pStyle w:val="StandaardSV"/>
        <w:numPr>
          <w:ilvl w:val="0"/>
          <w:numId w:val="1"/>
        </w:numPr>
      </w:pPr>
      <w:r w:rsidRPr="00673DA2">
        <w:t>Op 31/12/201</w:t>
      </w:r>
      <w:r w:rsidR="00673EE3">
        <w:t>3</w:t>
      </w:r>
      <w:r w:rsidRPr="00673DA2">
        <w:t xml:space="preserve"> werden 1.405 prestarters begeleid bij de opmaak van hun haalbaarheidsstudie. 759 trajecten zijn afgerond. 341 </w:t>
      </w:r>
      <w:r w:rsidR="008A79A8" w:rsidRPr="00673DA2">
        <w:t xml:space="preserve">uitgewerkte </w:t>
      </w:r>
      <w:r w:rsidRPr="00673DA2">
        <w:t xml:space="preserve">plannen werden ‘haalbaar’ bevonden. </w:t>
      </w:r>
      <w:r w:rsidR="008A79A8" w:rsidRPr="00673DA2">
        <w:t>Voor de provinciale verdeling verwijs ik naar onderstaande tabel.  VOKA heeft een 90tal trajecten afgewerkt, maar deze werden nog niet gefactureerd en gerapporteerd. Sinds het voorjaar 2013 begeleid</w:t>
      </w:r>
      <w:r w:rsidR="00B04D97" w:rsidRPr="00673DA2">
        <w:t>t</w:t>
      </w:r>
      <w:r w:rsidR="008A79A8" w:rsidRPr="00673DA2">
        <w:t xml:space="preserve"> enkel Unizo nog haalbaarheidsstudies.</w:t>
      </w:r>
    </w:p>
    <w:p w:rsidR="008A79A8" w:rsidRPr="00673DA2" w:rsidRDefault="008A79A8" w:rsidP="00677B2C">
      <w:pPr>
        <w:pStyle w:val="StandaardSV"/>
      </w:pPr>
    </w:p>
    <w:tbl>
      <w:tblPr>
        <w:tblW w:w="102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025"/>
        <w:gridCol w:w="569"/>
        <w:gridCol w:w="1024"/>
        <w:gridCol w:w="569"/>
        <w:gridCol w:w="1024"/>
        <w:gridCol w:w="569"/>
        <w:gridCol w:w="1024"/>
        <w:gridCol w:w="569"/>
        <w:gridCol w:w="1024"/>
        <w:gridCol w:w="569"/>
        <w:gridCol w:w="944"/>
      </w:tblGrid>
      <w:tr w:rsidR="009D1ADD" w:rsidRPr="00673DA2" w:rsidTr="009D1ADD">
        <w:trPr>
          <w:trHeight w:val="537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rPr>
                <w:bCs/>
                <w:color w:val="000000"/>
                <w:sz w:val="20"/>
                <w:lang w:val="nl-BE" w:eastAsia="nl-BE"/>
              </w:rPr>
            </w:pPr>
            <w:r w:rsidRPr="00673DA2">
              <w:rPr>
                <w:bCs/>
                <w:color w:val="000000"/>
                <w:sz w:val="20"/>
                <w:lang w:val="nl-BE" w:eastAsia="nl-BE"/>
              </w:rPr>
              <w:t>ACTIEVE DOSSIERS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Antwerpen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%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Oost-Vlaanderen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%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West-Vlaanderen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%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Limburg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%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Vlaams-Brabant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%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center"/>
              <w:rPr>
                <w:bCs/>
                <w:color w:val="000000"/>
                <w:sz w:val="18"/>
                <w:szCs w:val="18"/>
                <w:lang w:val="nl-BE" w:eastAsia="nl-BE"/>
              </w:rPr>
            </w:pPr>
            <w:r w:rsidRPr="00673DA2">
              <w:rPr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</w:tr>
      <w:tr w:rsidR="009D1ADD" w:rsidRPr="00673DA2" w:rsidTr="009D1ADD">
        <w:trPr>
          <w:trHeight w:val="5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rPr>
                <w:bCs/>
                <w:color w:val="000000"/>
                <w:sz w:val="20"/>
                <w:lang w:val="nl-BE" w:eastAsia="nl-BE"/>
              </w:rPr>
            </w:pPr>
            <w:r w:rsidRPr="00673DA2">
              <w:rPr>
                <w:bCs/>
                <w:color w:val="000000"/>
                <w:sz w:val="20"/>
                <w:lang w:val="nl-BE" w:eastAsia="nl-BE"/>
              </w:rPr>
              <w:t>lopende dossiers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33%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30%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39%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52%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29%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487</w:t>
            </w:r>
          </w:p>
        </w:tc>
      </w:tr>
      <w:tr w:rsidR="009D1ADD" w:rsidRPr="00673DA2" w:rsidTr="009D1ADD">
        <w:trPr>
          <w:trHeight w:val="5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rPr>
                <w:bCs/>
                <w:color w:val="000000"/>
                <w:sz w:val="20"/>
                <w:lang w:val="nl-BE" w:eastAsia="nl-BE"/>
              </w:rPr>
            </w:pPr>
            <w:r w:rsidRPr="00673DA2">
              <w:rPr>
                <w:bCs/>
                <w:color w:val="000000"/>
                <w:sz w:val="20"/>
                <w:lang w:val="nl-BE" w:eastAsia="nl-BE"/>
              </w:rPr>
              <w:t>afgewerkte dossiers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673DA2">
              <w:rPr>
                <w:b/>
                <w:bCs/>
                <w:color w:val="000000"/>
                <w:sz w:val="20"/>
                <w:lang w:val="nl-BE" w:eastAsia="nl-BE"/>
              </w:rPr>
              <w:t>52%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65%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56%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33%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55%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759</w:t>
            </w:r>
          </w:p>
        </w:tc>
      </w:tr>
      <w:tr w:rsidR="009D1ADD" w:rsidRPr="00673DA2" w:rsidTr="009D1ADD">
        <w:trPr>
          <w:trHeight w:val="5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i/>
                <w:iCs/>
                <w:color w:val="000000"/>
                <w:sz w:val="20"/>
                <w:lang w:val="nl-BE" w:eastAsia="nl-BE"/>
              </w:rPr>
            </w:pPr>
            <w:r w:rsidRPr="00673DA2">
              <w:rPr>
                <w:i/>
                <w:iCs/>
                <w:color w:val="000000"/>
                <w:sz w:val="20"/>
                <w:lang w:val="nl-BE" w:eastAsia="nl-BE"/>
              </w:rPr>
              <w:t>haalbaar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41%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42%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59%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47%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41%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341</w:t>
            </w:r>
          </w:p>
        </w:tc>
      </w:tr>
      <w:tr w:rsidR="009D1ADD" w:rsidRPr="00673DA2" w:rsidTr="009D1ADD">
        <w:trPr>
          <w:trHeight w:val="5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i/>
                <w:iCs/>
                <w:color w:val="000000"/>
                <w:sz w:val="20"/>
                <w:lang w:val="nl-BE" w:eastAsia="nl-BE"/>
              </w:rPr>
            </w:pPr>
            <w:r w:rsidRPr="00673DA2">
              <w:rPr>
                <w:i/>
                <w:iCs/>
                <w:color w:val="000000"/>
                <w:sz w:val="20"/>
                <w:lang w:val="nl-BE" w:eastAsia="nl-BE"/>
              </w:rPr>
              <w:t>niet haalbaar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17%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15%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15%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18%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9%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111</w:t>
            </w:r>
          </w:p>
        </w:tc>
      </w:tr>
      <w:tr w:rsidR="009D1ADD" w:rsidRPr="00673DA2" w:rsidTr="009D1ADD">
        <w:trPr>
          <w:trHeight w:val="5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i/>
                <w:iCs/>
                <w:color w:val="000000"/>
                <w:sz w:val="20"/>
                <w:lang w:val="nl-BE" w:eastAsia="nl-BE"/>
              </w:rPr>
            </w:pPr>
            <w:r w:rsidRPr="00673DA2">
              <w:rPr>
                <w:i/>
                <w:iCs/>
                <w:color w:val="000000"/>
                <w:sz w:val="20"/>
                <w:lang w:val="nl-BE" w:eastAsia="nl-BE"/>
              </w:rPr>
              <w:t>te herwerken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42%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43%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26%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35%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sz w:val="20"/>
                <w:lang w:val="nl-BE" w:eastAsia="nl-BE"/>
              </w:rPr>
            </w:pPr>
            <w:r w:rsidRPr="00673DA2">
              <w:rPr>
                <w:sz w:val="20"/>
                <w:lang w:val="nl-BE" w:eastAsia="nl-BE"/>
              </w:rPr>
              <w:t>50%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307</w:t>
            </w:r>
          </w:p>
        </w:tc>
      </w:tr>
      <w:tr w:rsidR="009D1ADD" w:rsidRPr="00673DA2" w:rsidTr="009D1ADD">
        <w:trPr>
          <w:trHeight w:val="5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rPr>
                <w:bCs/>
                <w:color w:val="000000"/>
                <w:sz w:val="20"/>
                <w:lang w:val="nl-BE" w:eastAsia="nl-BE"/>
              </w:rPr>
            </w:pPr>
            <w:r w:rsidRPr="00673DA2">
              <w:rPr>
                <w:bCs/>
                <w:color w:val="000000"/>
                <w:sz w:val="20"/>
                <w:lang w:val="nl-BE" w:eastAsia="nl-BE"/>
              </w:rPr>
              <w:t>gestopte dossiers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673DA2">
              <w:rPr>
                <w:b/>
                <w:bCs/>
                <w:color w:val="000000"/>
                <w:sz w:val="20"/>
                <w:lang w:val="nl-BE" w:eastAsia="nl-BE"/>
              </w:rPr>
              <w:t>16%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673DA2">
              <w:rPr>
                <w:b/>
                <w:bCs/>
                <w:color w:val="000000"/>
                <w:sz w:val="20"/>
                <w:lang w:val="nl-BE" w:eastAsia="nl-BE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15%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16%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sz w:val="20"/>
                <w:lang w:val="nl-BE" w:eastAsia="nl-BE"/>
              </w:rPr>
            </w:pPr>
            <w:r w:rsidRPr="00673DA2">
              <w:rPr>
                <w:b/>
                <w:bCs/>
                <w:sz w:val="20"/>
                <w:lang w:val="nl-BE" w:eastAsia="nl-BE"/>
              </w:rPr>
              <w:t>159</w:t>
            </w:r>
          </w:p>
        </w:tc>
      </w:tr>
      <w:tr w:rsidR="009D1ADD" w:rsidRPr="00673DA2" w:rsidTr="009D1ADD">
        <w:trPr>
          <w:trHeight w:val="5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rPr>
                <w:bCs/>
                <w:color w:val="000000"/>
                <w:sz w:val="22"/>
                <w:szCs w:val="22"/>
                <w:lang w:val="nl-BE" w:eastAsia="nl-BE"/>
              </w:rPr>
            </w:pPr>
            <w:r w:rsidRPr="00673DA2">
              <w:rPr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color w:val="000000"/>
                <w:sz w:val="20"/>
                <w:lang w:val="nl-BE" w:eastAsia="nl-BE"/>
              </w:rPr>
            </w:pPr>
            <w:r w:rsidRPr="00673DA2">
              <w:rPr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ADD" w:rsidRPr="00673DA2" w:rsidRDefault="009D1ADD" w:rsidP="009D1ADD">
            <w:pPr>
              <w:jc w:val="right"/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673DA2">
              <w:rPr>
                <w:b/>
                <w:bCs/>
                <w:color w:val="000000"/>
                <w:sz w:val="20"/>
                <w:lang w:val="nl-BE" w:eastAsia="nl-BE"/>
              </w:rPr>
              <w:t>1405</w:t>
            </w:r>
          </w:p>
        </w:tc>
      </w:tr>
    </w:tbl>
    <w:p w:rsidR="0021490F" w:rsidRPr="00673DA2" w:rsidRDefault="0021490F" w:rsidP="00677B2C">
      <w:pPr>
        <w:pStyle w:val="StandaardSV"/>
      </w:pPr>
    </w:p>
    <w:p w:rsidR="0021490F" w:rsidRPr="00673DA2" w:rsidRDefault="0021490F" w:rsidP="0021490F">
      <w:pPr>
        <w:pStyle w:val="StandaardSV"/>
        <w:numPr>
          <w:ilvl w:val="0"/>
          <w:numId w:val="1"/>
        </w:numPr>
        <w:rPr>
          <w:szCs w:val="22"/>
        </w:rPr>
      </w:pPr>
      <w:r w:rsidRPr="00673DA2">
        <w:t xml:space="preserve">Deze informatie wordt binnen de huidige opdracht niet opgevolgd noch geregistreerd. Agentschap Ondernemen neemt opvolging van de effectieve start mee in de onderhandelingsgesprekken met potentiële uitvoerders van het op 23/12/2013 gepubliceerde bestek </w:t>
      </w:r>
      <w:r w:rsidRPr="00673DA2">
        <w:rPr>
          <w:i/>
        </w:rPr>
        <w:t>Ondersteuning van prestarters met trajectbegeleiding het onderzoek naar de haalbaarheid van hun ondernemersidee (Generiek haalbaarheidsadvies voor prestarters)</w:t>
      </w:r>
      <w:bookmarkStart w:id="0" w:name="_GoBack"/>
      <w:bookmarkEnd w:id="0"/>
    </w:p>
    <w:sectPr w:rsidR="0021490F" w:rsidRPr="0067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8B9"/>
    <w:multiLevelType w:val="hybridMultilevel"/>
    <w:tmpl w:val="EC04D25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C"/>
    <w:rsid w:val="00002312"/>
    <w:rsid w:val="0021490F"/>
    <w:rsid w:val="00673DA2"/>
    <w:rsid w:val="00673EE3"/>
    <w:rsid w:val="00677B2C"/>
    <w:rsid w:val="008A79A8"/>
    <w:rsid w:val="008F05B5"/>
    <w:rsid w:val="009D1ADD"/>
    <w:rsid w:val="00B04D97"/>
    <w:rsid w:val="00B24842"/>
    <w:rsid w:val="00D624A2"/>
    <w:rsid w:val="00D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7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77B2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677B2C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8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842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7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77B2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677B2C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8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84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3</cp:revision>
  <dcterms:created xsi:type="dcterms:W3CDTF">2014-01-20T09:21:00Z</dcterms:created>
  <dcterms:modified xsi:type="dcterms:W3CDTF">2014-02-03T08:45:00Z</dcterms:modified>
</cp:coreProperties>
</file>