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50335D" w:rsidP="009456B5">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996094">
        <w:rPr>
          <w:szCs w:val="22"/>
        </w:rPr>
        <w:t>freya van den bossche</w:t>
      </w:r>
      <w:r>
        <w:rPr>
          <w:szCs w:val="22"/>
        </w:rPr>
        <w:fldChar w:fldCharType="end"/>
      </w:r>
      <w:bookmarkEnd w:id="0"/>
    </w:p>
    <w:bookmarkStart w:id="1" w:name="Text2"/>
    <w:p w:rsidR="000976E9" w:rsidRPr="00015BF7" w:rsidRDefault="0050335D" w:rsidP="009456B5">
      <w:pPr>
        <w:pStyle w:val="A-TitelMinister"/>
        <w:outlineLvl w:val="0"/>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2843DB">
        <w:rPr>
          <w:noProof/>
        </w:rPr>
        <w:t xml:space="preserve">vlaams minister van </w:t>
      </w:r>
      <w:r w:rsidR="00996094">
        <w:rPr>
          <w:noProof/>
        </w:rPr>
        <w:t>energie, wonen, steden en sociale economie</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9456B5">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50335D"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50335D" w:rsidRPr="00326A58">
        <w:rPr>
          <w:b w:val="0"/>
        </w:rPr>
      </w:r>
      <w:r w:rsidR="0050335D" w:rsidRPr="00326A58">
        <w:rPr>
          <w:b w:val="0"/>
        </w:rPr>
        <w:fldChar w:fldCharType="separate"/>
      </w:r>
      <w:r w:rsidR="00332727">
        <w:rPr>
          <w:b w:val="0"/>
        </w:rPr>
        <w:t>162</w:t>
      </w:r>
      <w:r w:rsidR="0050335D"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r w:rsidR="004134FA">
        <w:rPr>
          <w:b w:val="0"/>
        </w:rPr>
        <w:t>2</w:t>
      </w:r>
      <w:r w:rsidRPr="00326A58">
        <w:rPr>
          <w:b w:val="0"/>
        </w:rPr>
        <w:t xml:space="preserve"> </w:t>
      </w:r>
      <w:bookmarkStart w:id="3" w:name="Dropdown2"/>
      <w:r w:rsidR="0050335D">
        <w:rPr>
          <w:b w:val="0"/>
        </w:rPr>
        <w:fldChar w:fldCharType="begin">
          <w:ffData>
            <w:name w:val="Dropdown2"/>
            <w:enabled/>
            <w:calcOnExit w:val="0"/>
            <w:statusText w:type="text" w:val="Kies de maand waarin de vraag gesteld werd."/>
            <w:ddList>
              <w:result w:val="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4134FA">
        <w:rPr>
          <w:b w:val="0"/>
        </w:rPr>
      </w:r>
      <w:r w:rsidR="004134FA">
        <w:rPr>
          <w:b w:val="0"/>
        </w:rPr>
        <w:fldChar w:fldCharType="separate"/>
      </w:r>
      <w:r w:rsidR="0050335D">
        <w:rPr>
          <w:b w:val="0"/>
        </w:rPr>
        <w:fldChar w:fldCharType="end"/>
      </w:r>
      <w:bookmarkEnd w:id="3"/>
      <w:r w:rsidRPr="00326A58">
        <w:rPr>
          <w:b w:val="0"/>
        </w:rPr>
        <w:t xml:space="preserve"> </w:t>
      </w:r>
      <w:bookmarkStart w:id="4" w:name="Dropdown3"/>
      <w:r w:rsidR="0050335D">
        <w:rPr>
          <w:b w:val="0"/>
        </w:rPr>
        <w:fldChar w:fldCharType="begin">
          <w:ffData>
            <w:name w:val="Dropdown3"/>
            <w:enabled/>
            <w:calcOnExit w:val="0"/>
            <w:statusText w:type="text" w:val="Kies het jaar waarin de vraag gesteld werd..."/>
            <w:ddList>
              <w:result w:val="10"/>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4134FA">
        <w:rPr>
          <w:b w:val="0"/>
        </w:rPr>
      </w:r>
      <w:r w:rsidR="004134FA">
        <w:rPr>
          <w:b w:val="0"/>
        </w:rPr>
        <w:fldChar w:fldCharType="separate"/>
      </w:r>
      <w:r w:rsidR="0050335D">
        <w:rPr>
          <w:b w:val="0"/>
        </w:rPr>
        <w:fldChar w:fldCharType="end"/>
      </w:r>
      <w:bookmarkEnd w:id="4"/>
    </w:p>
    <w:p w:rsidR="000976E9" w:rsidRDefault="000976E9" w:rsidP="000976E9">
      <w:pPr>
        <w:rPr>
          <w:szCs w:val="22"/>
        </w:rPr>
      </w:pPr>
      <w:r>
        <w:rPr>
          <w:szCs w:val="22"/>
        </w:rPr>
        <w:t xml:space="preserve">van </w:t>
      </w:r>
      <w:r w:rsidR="0050335D"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50335D" w:rsidRPr="009D7043">
        <w:rPr>
          <w:rStyle w:val="AntwoordNaamMinisterChar"/>
        </w:rPr>
      </w:r>
      <w:r w:rsidR="0050335D" w:rsidRPr="009D7043">
        <w:rPr>
          <w:rStyle w:val="AntwoordNaamMinisterChar"/>
        </w:rPr>
        <w:fldChar w:fldCharType="separate"/>
      </w:r>
      <w:r w:rsidR="00023183">
        <w:rPr>
          <w:rStyle w:val="AntwoordNaamMinisterChar"/>
        </w:rPr>
        <w:t>m</w:t>
      </w:r>
      <w:r w:rsidR="00332727">
        <w:rPr>
          <w:rStyle w:val="AntwoordNaamMinisterChar"/>
        </w:rPr>
        <w:t xml:space="preserve">ercedes </w:t>
      </w:r>
      <w:r w:rsidR="00023183">
        <w:rPr>
          <w:rStyle w:val="AntwoordNaamMinisterChar"/>
        </w:rPr>
        <w:t>v</w:t>
      </w:r>
      <w:r w:rsidR="00332727">
        <w:rPr>
          <w:rStyle w:val="AntwoordNaamMinisterChar"/>
        </w:rPr>
        <w:t xml:space="preserve">an </w:t>
      </w:r>
      <w:r w:rsidR="00023183">
        <w:rPr>
          <w:rStyle w:val="AntwoordNaamMinisterChar"/>
        </w:rPr>
        <w:t>v</w:t>
      </w:r>
      <w:r w:rsidR="00332727">
        <w:rPr>
          <w:rStyle w:val="AntwoordNaamMinisterChar"/>
        </w:rPr>
        <w:t>olcem</w:t>
      </w:r>
      <w:r w:rsidR="0050335D"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332727" w:rsidRDefault="00332727" w:rsidP="00977548">
      <w:pPr>
        <w:numPr>
          <w:ilvl w:val="0"/>
          <w:numId w:val="10"/>
        </w:numPr>
        <w:ind w:left="567" w:hanging="567"/>
        <w:jc w:val="both"/>
      </w:pPr>
      <w:r w:rsidRPr="00332727">
        <w:lastRenderedPageBreak/>
        <w:t xml:space="preserve">Uit de patrimoniumbevraging </w:t>
      </w:r>
      <w:r w:rsidR="00EE091F">
        <w:t xml:space="preserve">van de VMSW </w:t>
      </w:r>
      <w:r w:rsidRPr="00332727">
        <w:t xml:space="preserve">blijkt </w:t>
      </w:r>
      <w:r w:rsidR="00EE091F">
        <w:t xml:space="preserve">dat </w:t>
      </w:r>
      <w:r w:rsidRPr="00332727">
        <w:t xml:space="preserve">De Goedkope Woning </w:t>
      </w:r>
      <w:r w:rsidR="00EE091F">
        <w:t xml:space="preserve">in </w:t>
      </w:r>
      <w:r w:rsidRPr="00332727">
        <w:t>Kortrijk inder</w:t>
      </w:r>
      <w:r w:rsidR="00EA344E">
        <w:t xml:space="preserve">daad </w:t>
      </w:r>
      <w:r w:rsidR="00D54530">
        <w:t>voor een grote uitdaging staat op het vlak van renovatienoden</w:t>
      </w:r>
      <w:r w:rsidR="00D405C6">
        <w:t>.</w:t>
      </w:r>
      <w:r w:rsidRPr="00332727">
        <w:t xml:space="preserve"> Ruim 450 eengezinswoni</w:t>
      </w:r>
      <w:r w:rsidR="00EA344E">
        <w:t>ngen dateren er van vóór 1965</w:t>
      </w:r>
      <w:r w:rsidR="00EE091F">
        <w:t xml:space="preserve"> en</w:t>
      </w:r>
      <w:r w:rsidR="00EA344E">
        <w:t xml:space="preserve"> </w:t>
      </w:r>
      <w:r w:rsidRPr="00332727">
        <w:t>250 woningen uit de jare</w:t>
      </w:r>
      <w:r w:rsidR="00EA344E">
        <w:t>n ‘70 tot de vroege jaren ’80</w:t>
      </w:r>
      <w:r w:rsidR="00EE091F">
        <w:t>, waarvoor bij de realisatie nog geen isolatienormen bestonden</w:t>
      </w:r>
      <w:r w:rsidR="00EA344E">
        <w:t xml:space="preserve">. </w:t>
      </w:r>
      <w:r w:rsidR="00977548">
        <w:t>O</w:t>
      </w:r>
      <w:r w:rsidRPr="00332727">
        <w:t xml:space="preserve">ok de appartementen </w:t>
      </w:r>
      <w:r w:rsidR="00977548">
        <w:t xml:space="preserve">zijn </w:t>
      </w:r>
      <w:r w:rsidRPr="00332727">
        <w:t>deels verouderd en/of uitgerust met elektrische verwarming</w:t>
      </w:r>
      <w:r w:rsidR="00D405C6">
        <w:t>.</w:t>
      </w:r>
      <w:r w:rsidR="00977548">
        <w:t xml:space="preserve"> </w:t>
      </w:r>
      <w:r w:rsidRPr="00332727">
        <w:t>Het merendeel van de</w:t>
      </w:r>
      <w:r w:rsidR="00977548">
        <w:t>ze</w:t>
      </w:r>
      <w:r w:rsidRPr="00332727">
        <w:t xml:space="preserve"> grote groep oudere woningen is </w:t>
      </w:r>
      <w:r w:rsidR="00977548">
        <w:t xml:space="preserve">dus effectief </w:t>
      </w:r>
      <w:r w:rsidR="00D405C6">
        <w:t>toe aan totaalrenovatie</w:t>
      </w:r>
      <w:r w:rsidR="00D54530">
        <w:t xml:space="preserve"> of zelfs vervanging</w:t>
      </w:r>
      <w:r w:rsidR="009E39AD">
        <w:t>.</w:t>
      </w:r>
    </w:p>
    <w:p w:rsidR="00D405C6" w:rsidRPr="00332727" w:rsidRDefault="00D405C6" w:rsidP="00EA344E">
      <w:pPr>
        <w:ind w:left="567"/>
        <w:jc w:val="both"/>
      </w:pPr>
    </w:p>
    <w:p w:rsidR="009E39AD" w:rsidRDefault="009E39AD" w:rsidP="00EA344E">
      <w:pPr>
        <w:ind w:left="567"/>
        <w:jc w:val="both"/>
      </w:pPr>
      <w:r>
        <w:t xml:space="preserve">Er lijkt echter een misverstand te zijn omtrent het project “De </w:t>
      </w:r>
      <w:proofErr w:type="spellStart"/>
      <w:r>
        <w:t>Venning</w:t>
      </w:r>
      <w:proofErr w:type="spellEnd"/>
      <w:r>
        <w:t xml:space="preserve">”. </w:t>
      </w:r>
      <w:r w:rsidR="0081519E">
        <w:t xml:space="preserve">Dit </w:t>
      </w:r>
      <w:r w:rsidRPr="00332727">
        <w:t xml:space="preserve">project </w:t>
      </w:r>
      <w:r>
        <w:t xml:space="preserve">is precies </w:t>
      </w:r>
      <w:r w:rsidRPr="00332727">
        <w:t xml:space="preserve">een </w:t>
      </w:r>
      <w:r w:rsidR="0081519E">
        <w:t xml:space="preserve">belangrijke </w:t>
      </w:r>
      <w:r>
        <w:t xml:space="preserve">stap in </w:t>
      </w:r>
      <w:r w:rsidR="00D54530">
        <w:t>het vooropgestelde renovatie</w:t>
      </w:r>
      <w:r>
        <w:t>proces</w:t>
      </w:r>
      <w:r w:rsidR="0081519E">
        <w:t xml:space="preserve"> en is zeker geen overbodig, prestigieus zijspoor</w:t>
      </w:r>
      <w:r>
        <w:t xml:space="preserve">. Het betreft een </w:t>
      </w:r>
      <w:r w:rsidRPr="00332727">
        <w:t xml:space="preserve">grootschalige vervangingsbouw en renovatie van 163 van </w:t>
      </w:r>
      <w:r>
        <w:t xml:space="preserve">de </w:t>
      </w:r>
      <w:r w:rsidRPr="00332727">
        <w:t xml:space="preserve">meest problematische woningen. 97 kleine bungalows en 66 eengezinswoningen worden </w:t>
      </w:r>
      <w:r>
        <w:t>gefaseerd vervangen door 146</w:t>
      </w:r>
      <w:r w:rsidRPr="00332727">
        <w:t xml:space="preserve"> nieuwbouwwoningen en 50 totaalrenovaties. </w:t>
      </w:r>
      <w:r>
        <w:t>Binnen</w:t>
      </w:r>
      <w:r w:rsidRPr="00332727">
        <w:t xml:space="preserve"> deze operatie is ruim 10% </w:t>
      </w:r>
      <w:r w:rsidR="0081519E">
        <w:t>betrokken</w:t>
      </w:r>
      <w:r w:rsidR="0081519E" w:rsidRPr="00332727">
        <w:t xml:space="preserve"> </w:t>
      </w:r>
      <w:r w:rsidRPr="00332727">
        <w:t xml:space="preserve">van </w:t>
      </w:r>
      <w:r>
        <w:t xml:space="preserve">het </w:t>
      </w:r>
      <w:r w:rsidRPr="00332727">
        <w:t>totale pa</w:t>
      </w:r>
      <w:r>
        <w:t>trimonium van de SHM</w:t>
      </w:r>
      <w:r w:rsidR="0081519E">
        <w:t>, dat ca 1.300 woningen beslaat</w:t>
      </w:r>
      <w:r>
        <w:t>.</w:t>
      </w:r>
    </w:p>
    <w:p w:rsidR="009E39AD" w:rsidRDefault="009E39AD" w:rsidP="00EA344E">
      <w:pPr>
        <w:ind w:left="567"/>
        <w:jc w:val="both"/>
      </w:pPr>
    </w:p>
    <w:p w:rsidR="00F00B9F" w:rsidRPr="00332727" w:rsidRDefault="00332727" w:rsidP="00EA344E">
      <w:pPr>
        <w:ind w:left="567"/>
        <w:jc w:val="both"/>
      </w:pPr>
      <w:r w:rsidRPr="00332727">
        <w:t xml:space="preserve">De keuze voor vervangingsbouw motiveert de </w:t>
      </w:r>
      <w:r w:rsidR="00D54530">
        <w:t>SHM</w:t>
      </w:r>
      <w:r w:rsidRPr="00332727">
        <w:t xml:space="preserve"> </w:t>
      </w:r>
      <w:r w:rsidR="00D54530">
        <w:t xml:space="preserve">mede </w:t>
      </w:r>
      <w:r w:rsidRPr="00332727">
        <w:t>vanuit de mogelijkheid tot verdichting en de creatie van 33 bijkomende woonentiteiten</w:t>
      </w:r>
      <w:r w:rsidR="00D54530">
        <w:t>,</w:t>
      </w:r>
      <w:r w:rsidRPr="00332727">
        <w:t xml:space="preserve"> als compensatie voor het gebrek aan eigen reservegronden. Door actief in te spelen op de opportuniteit van Europese subsidies (Concerto) werd dit project tegelijk ingeschakeld als pilootproject ‘Eco-life’ vanuit de betrachting, zonder meerkosten voor de </w:t>
      </w:r>
      <w:r w:rsidR="00D54530">
        <w:t>SHM</w:t>
      </w:r>
      <w:r w:rsidRPr="00332727">
        <w:t>, de lat hoger te leggen en een duurzaam, toekomst</w:t>
      </w:r>
      <w:r w:rsidR="00D54530">
        <w:t>gericht project te realiseren.</w:t>
      </w:r>
      <w:r w:rsidR="00F00B9F">
        <w:t xml:space="preserve"> De Europese subsidie bedraagt ca </w:t>
      </w:r>
      <w:r w:rsidR="00F00B9F" w:rsidRPr="00F00B9F">
        <w:t xml:space="preserve">10% van de projectkost. Bovenop deze subsidie volstaat een supplementaire bijdrage van slechts 5% vanwege de SHM om van </w:t>
      </w:r>
      <w:r w:rsidR="00F00B9F">
        <w:t>een</w:t>
      </w:r>
      <w:r w:rsidR="00F00B9F" w:rsidRPr="00F00B9F">
        <w:t xml:space="preserve"> verloederde wijk een CO2-neutrale laagenergiewijk te maken.</w:t>
      </w:r>
    </w:p>
    <w:p w:rsidR="00332727" w:rsidRDefault="00332727" w:rsidP="00332727">
      <w:pPr>
        <w:jc w:val="both"/>
      </w:pPr>
    </w:p>
    <w:p w:rsidR="000675A3" w:rsidRDefault="00D54530" w:rsidP="00D54530">
      <w:pPr>
        <w:numPr>
          <w:ilvl w:val="0"/>
          <w:numId w:val="10"/>
        </w:numPr>
        <w:ind w:left="567" w:hanging="567"/>
        <w:jc w:val="both"/>
      </w:pPr>
      <w:r>
        <w:t>De SHM is wel degelijk begaan met een omvattende planning van de aanpak van haar patrimonium. De v</w:t>
      </w:r>
      <w:r w:rsidR="00332727" w:rsidRPr="00332727">
        <w:t>ervangingsbouw</w:t>
      </w:r>
      <w:r>
        <w:t xml:space="preserve"> en renovatie van het </w:t>
      </w:r>
      <w:r w:rsidR="000675A3">
        <w:t xml:space="preserve">verouderde gedeelte van het </w:t>
      </w:r>
      <w:r>
        <w:t xml:space="preserve">patrimonium </w:t>
      </w:r>
      <w:r w:rsidR="000675A3">
        <w:t xml:space="preserve">is prioritair gepland. Onvermijdelijk zal dit proces echter nog jaren duren. </w:t>
      </w:r>
      <w:r w:rsidR="00332727" w:rsidRPr="00332727">
        <w:t xml:space="preserve">De Goedkope Woning voorziet </w:t>
      </w:r>
      <w:r w:rsidR="000675A3">
        <w:t xml:space="preserve">momenteel </w:t>
      </w:r>
      <w:r w:rsidR="00332727" w:rsidRPr="00332727">
        <w:t xml:space="preserve">een inspanning van ca. 10 miljoen € per jaar over een tijdspanne van 10 jaar om haar ganse patrimonium op te waarderen. </w:t>
      </w:r>
    </w:p>
    <w:p w:rsidR="000675A3" w:rsidRDefault="000675A3" w:rsidP="000675A3">
      <w:pPr>
        <w:ind w:left="567"/>
        <w:jc w:val="both"/>
      </w:pPr>
    </w:p>
    <w:p w:rsidR="00332727" w:rsidRPr="00332727" w:rsidRDefault="000675A3" w:rsidP="000675A3">
      <w:pPr>
        <w:ind w:left="567"/>
        <w:jc w:val="both"/>
      </w:pPr>
      <w:r w:rsidRPr="00332727">
        <w:t>Recent is De Goedkope Woning in dat verband een procedure opgestart voor een concreet onderzoek in 5 verschillende wijken, naar de meest geschikte (maar ook betaalbare) en duurzame renovatiemethode</w:t>
      </w:r>
      <w:r w:rsidR="0081519E">
        <w:t>,</w:t>
      </w:r>
      <w:r w:rsidRPr="00332727">
        <w:t xml:space="preserve"> bij een grondige opwaardering</w:t>
      </w:r>
      <w:r>
        <w:t xml:space="preserve"> dan wel vervangingsbouw. </w:t>
      </w:r>
      <w:r w:rsidRPr="00332727">
        <w:t xml:space="preserve">Samen met de evaluatie van het </w:t>
      </w:r>
      <w:proofErr w:type="spellStart"/>
      <w:r w:rsidRPr="00332727">
        <w:t>Venningproject</w:t>
      </w:r>
      <w:proofErr w:type="spellEnd"/>
      <w:r w:rsidRPr="00332727">
        <w:t xml:space="preserve"> in de loop van 2014, zullen de resultaten van dit onderzoek mee bepalen hoe het toekomstige programma kan worden ingevuld. </w:t>
      </w:r>
      <w:r w:rsidR="00332727" w:rsidRPr="00332727">
        <w:t>Daarnaast investeert Goedkope</w:t>
      </w:r>
      <w:r>
        <w:t xml:space="preserve"> Woning ook in nieuwe projecten:</w:t>
      </w:r>
      <w:r w:rsidR="00332727" w:rsidRPr="00332727">
        <w:t xml:space="preserve"> momenteel lopen parallel de projecten Pottenbakkershoek en </w:t>
      </w:r>
      <w:proofErr w:type="spellStart"/>
      <w:r w:rsidR="00332727" w:rsidRPr="00332727">
        <w:t>Gutenberg</w:t>
      </w:r>
      <w:proofErr w:type="spellEnd"/>
      <w:r w:rsidR="00332727" w:rsidRPr="00332727">
        <w:t>. Deze projecten moeten mee de noodzakelijke verhuisoperaties helpen mogelijk maken voor andere te s</w:t>
      </w:r>
      <w:r w:rsidR="00EA344E">
        <w:t xml:space="preserve">lopen of </w:t>
      </w:r>
      <w:r>
        <w:t xml:space="preserve">te </w:t>
      </w:r>
      <w:r w:rsidR="00EA344E">
        <w:t>renoveren woningen.</w:t>
      </w:r>
    </w:p>
    <w:p w:rsidR="00D405C6" w:rsidRPr="00332727" w:rsidRDefault="00D405C6" w:rsidP="00EA344E">
      <w:pPr>
        <w:ind w:left="567"/>
        <w:jc w:val="both"/>
      </w:pPr>
    </w:p>
    <w:p w:rsidR="00332727" w:rsidRDefault="000675A3" w:rsidP="00EA344E">
      <w:pPr>
        <w:ind w:left="567"/>
        <w:jc w:val="both"/>
      </w:pPr>
      <w:r>
        <w:t>Met de invoering van het nieuwe procedurebesluit, is ondermeer de nood aan de opmaak van een renovatieplanning geformaliseerd: om nog renovatieprojecten te kunnen programmeren, moet er een grondige renovatieplanning worden opgemaakt. In dit kader zal de VMSW kunnen nagaan of de opgemaakte plannen van de SHM voldoende ambitieus zijn en of de meest dringende zaken hierin tijdig worden aangepakt.</w:t>
      </w:r>
    </w:p>
    <w:p w:rsidR="00332727" w:rsidRDefault="00332727" w:rsidP="00332727">
      <w:pPr>
        <w:jc w:val="both"/>
      </w:pPr>
    </w:p>
    <w:p w:rsidR="00332727" w:rsidRPr="00332727" w:rsidRDefault="004134FA" w:rsidP="004134FA">
      <w:pPr>
        <w:ind w:left="567" w:hanging="567"/>
        <w:jc w:val="both"/>
        <w:rPr>
          <w:szCs w:val="22"/>
        </w:rPr>
      </w:pPr>
      <w:r>
        <w:rPr>
          <w:lang w:val="nl"/>
        </w:rPr>
        <w:lastRenderedPageBreak/>
        <w:t>3</w:t>
      </w:r>
      <w:r w:rsidR="00D405C6">
        <w:rPr>
          <w:lang w:val="nl"/>
        </w:rPr>
        <w:t>-4.</w:t>
      </w:r>
      <w:r w:rsidR="00D405C6">
        <w:rPr>
          <w:lang w:val="nl"/>
        </w:rPr>
        <w:tab/>
      </w:r>
      <w:r w:rsidR="00332727" w:rsidRPr="00332727">
        <w:rPr>
          <w:szCs w:val="22"/>
        </w:rPr>
        <w:t>Ik heb geen volledige cijfers over het aantal sociale h</w:t>
      </w:r>
      <w:r w:rsidR="00D405C6">
        <w:rPr>
          <w:szCs w:val="22"/>
        </w:rPr>
        <w:t xml:space="preserve">uurwoningen dat voldoet aan de </w:t>
      </w:r>
      <w:r w:rsidR="00332727" w:rsidRPr="00332727">
        <w:rPr>
          <w:szCs w:val="22"/>
        </w:rPr>
        <w:t>elementaire vereisten van veiligheid, g</w:t>
      </w:r>
      <w:r w:rsidR="00D405C6">
        <w:rPr>
          <w:szCs w:val="22"/>
        </w:rPr>
        <w:t xml:space="preserve">ezondheid en woonkwaliteit. De </w:t>
      </w:r>
      <w:r w:rsidR="00332727" w:rsidRPr="00332727">
        <w:rPr>
          <w:szCs w:val="22"/>
        </w:rPr>
        <w:t>conformiteitsonderzoeken</w:t>
      </w:r>
      <w:r w:rsidR="000675A3">
        <w:rPr>
          <w:szCs w:val="22"/>
        </w:rPr>
        <w:t>,</w:t>
      </w:r>
      <w:r w:rsidR="00332727" w:rsidRPr="00332727">
        <w:rPr>
          <w:szCs w:val="22"/>
        </w:rPr>
        <w:t xml:space="preserve"> waarmee deze minimumnormen</w:t>
      </w:r>
      <w:r w:rsidR="00D405C6">
        <w:rPr>
          <w:szCs w:val="22"/>
        </w:rPr>
        <w:t xml:space="preserve"> worden beoordeeld</w:t>
      </w:r>
      <w:r w:rsidR="000675A3">
        <w:rPr>
          <w:szCs w:val="22"/>
        </w:rPr>
        <w:t>,</w:t>
      </w:r>
      <w:r w:rsidR="00D405C6">
        <w:rPr>
          <w:szCs w:val="22"/>
        </w:rPr>
        <w:t xml:space="preserve"> </w:t>
      </w:r>
      <w:r w:rsidR="000675A3">
        <w:rPr>
          <w:szCs w:val="22"/>
        </w:rPr>
        <w:t>worden immers enkel afgeleverd in specifieke omstandigheden</w:t>
      </w:r>
      <w:r w:rsidR="00332727" w:rsidRPr="00332727">
        <w:rPr>
          <w:szCs w:val="22"/>
        </w:rPr>
        <w:t>.</w:t>
      </w:r>
      <w:r w:rsidR="000675A3">
        <w:rPr>
          <w:szCs w:val="22"/>
        </w:rPr>
        <w:t xml:space="preserve"> </w:t>
      </w:r>
      <w:r w:rsidR="00332727" w:rsidRPr="00332727">
        <w:rPr>
          <w:szCs w:val="22"/>
        </w:rPr>
        <w:t xml:space="preserve">Aanleidingen voor dergelijk conformiteitsonderzoek bij Wonen-Vlaanderen zijn: </w:t>
      </w:r>
    </w:p>
    <w:p w:rsidR="00332727" w:rsidRPr="00332727" w:rsidRDefault="00332727" w:rsidP="004134FA">
      <w:pPr>
        <w:pStyle w:val="Lijstalinea"/>
        <w:widowControl/>
        <w:numPr>
          <w:ilvl w:val="0"/>
          <w:numId w:val="11"/>
        </w:numPr>
        <w:spacing w:after="0" w:line="240" w:lineRule="auto"/>
        <w:ind w:left="851" w:hanging="284"/>
        <w:contextualSpacing w:val="0"/>
        <w:rPr>
          <w:rFonts w:ascii="Times New Roman" w:hAnsi="Times New Roman"/>
          <w:iCs/>
          <w:sz w:val="22"/>
          <w:szCs w:val="22"/>
        </w:rPr>
      </w:pPr>
      <w:r w:rsidRPr="00332727">
        <w:rPr>
          <w:rFonts w:ascii="Times New Roman" w:hAnsi="Times New Roman"/>
          <w:iCs/>
          <w:sz w:val="22"/>
          <w:szCs w:val="22"/>
        </w:rPr>
        <w:t>klach</w:t>
      </w:r>
      <w:r w:rsidR="00EA344E">
        <w:rPr>
          <w:rFonts w:ascii="Times New Roman" w:hAnsi="Times New Roman"/>
          <w:iCs/>
          <w:sz w:val="22"/>
          <w:szCs w:val="22"/>
        </w:rPr>
        <w:t>ten van bewoners of omwonenden;</w:t>
      </w:r>
    </w:p>
    <w:p w:rsidR="00332727" w:rsidRPr="00332727" w:rsidRDefault="00332727" w:rsidP="004134FA">
      <w:pPr>
        <w:pStyle w:val="Lijstalinea"/>
        <w:widowControl/>
        <w:numPr>
          <w:ilvl w:val="0"/>
          <w:numId w:val="11"/>
        </w:numPr>
        <w:spacing w:after="0" w:line="240" w:lineRule="auto"/>
        <w:ind w:left="851" w:hanging="284"/>
        <w:contextualSpacing w:val="0"/>
        <w:rPr>
          <w:rFonts w:ascii="Times New Roman" w:hAnsi="Times New Roman"/>
          <w:iCs/>
          <w:sz w:val="22"/>
          <w:szCs w:val="22"/>
        </w:rPr>
      </w:pPr>
      <w:r w:rsidRPr="00332727">
        <w:rPr>
          <w:rFonts w:ascii="Times New Roman" w:hAnsi="Times New Roman"/>
          <w:iCs/>
          <w:sz w:val="22"/>
          <w:szCs w:val="22"/>
        </w:rPr>
        <w:t xml:space="preserve">aanvragen tot </w:t>
      </w:r>
      <w:r w:rsidR="00EA344E">
        <w:rPr>
          <w:rFonts w:ascii="Times New Roman" w:hAnsi="Times New Roman"/>
          <w:iCs/>
          <w:sz w:val="22"/>
          <w:szCs w:val="22"/>
        </w:rPr>
        <w:t>tegemoetkoming in de huurprijs;</w:t>
      </w:r>
    </w:p>
    <w:p w:rsidR="00332727" w:rsidRPr="00332727" w:rsidRDefault="00332727" w:rsidP="004134FA">
      <w:pPr>
        <w:pStyle w:val="Lijstalinea"/>
        <w:widowControl/>
        <w:numPr>
          <w:ilvl w:val="0"/>
          <w:numId w:val="11"/>
        </w:numPr>
        <w:spacing w:after="0" w:line="240" w:lineRule="auto"/>
        <w:ind w:left="851" w:hanging="284"/>
        <w:contextualSpacing w:val="0"/>
        <w:rPr>
          <w:rFonts w:ascii="Times New Roman" w:hAnsi="Times New Roman"/>
          <w:iCs/>
          <w:sz w:val="22"/>
          <w:szCs w:val="22"/>
        </w:rPr>
      </w:pPr>
      <w:r w:rsidRPr="00332727">
        <w:rPr>
          <w:rFonts w:ascii="Times New Roman" w:hAnsi="Times New Roman"/>
          <w:iCs/>
          <w:sz w:val="22"/>
          <w:szCs w:val="22"/>
        </w:rPr>
        <w:t>in het vooruitzicht gestelde inhuurnames do</w:t>
      </w:r>
      <w:r w:rsidR="00EA344E">
        <w:rPr>
          <w:rFonts w:ascii="Times New Roman" w:hAnsi="Times New Roman"/>
          <w:iCs/>
          <w:sz w:val="22"/>
          <w:szCs w:val="22"/>
        </w:rPr>
        <w:t>or een sociaal verhuurkantoor.</w:t>
      </w:r>
    </w:p>
    <w:p w:rsidR="00332727" w:rsidRPr="00332727" w:rsidRDefault="00332727" w:rsidP="004134FA">
      <w:pPr>
        <w:pStyle w:val="StandaardSV"/>
        <w:ind w:left="720"/>
        <w:rPr>
          <w:szCs w:val="22"/>
        </w:rPr>
      </w:pPr>
    </w:p>
    <w:p w:rsidR="00D405C6" w:rsidRDefault="00332727" w:rsidP="004134FA">
      <w:pPr>
        <w:pStyle w:val="StandaardSV"/>
        <w:ind w:left="567"/>
        <w:rPr>
          <w:szCs w:val="22"/>
        </w:rPr>
      </w:pPr>
      <w:r w:rsidRPr="00332727">
        <w:rPr>
          <w:szCs w:val="22"/>
        </w:rPr>
        <w:t>Voor woningen van SHM’s is alleen het eerste punt van toepassing. Bij klachten over woningkwaliteit start de burgemeester, net zoals bij private huurwoningen, een procedure tot ongeschikt- en onbewoonbaarverklaring. De burgemeester moet binnen die procedure advies vragen aan de gewestelijk ambtenaar van Wonen-Vlaanderen alvorens een besluit tot ongeschikt- en o</w:t>
      </w:r>
      <w:r w:rsidR="00D405C6">
        <w:rPr>
          <w:szCs w:val="22"/>
        </w:rPr>
        <w:t>nbewoonbaarverklaring te nemen.</w:t>
      </w:r>
    </w:p>
    <w:p w:rsidR="00332727" w:rsidRPr="00332727" w:rsidRDefault="00332727" w:rsidP="004134FA">
      <w:pPr>
        <w:pStyle w:val="StandaardSV"/>
        <w:rPr>
          <w:szCs w:val="22"/>
        </w:rPr>
      </w:pPr>
    </w:p>
    <w:p w:rsidR="00332727" w:rsidRDefault="00332727" w:rsidP="004134FA">
      <w:pPr>
        <w:pStyle w:val="StandaardSV"/>
        <w:ind w:left="567"/>
        <w:rPr>
          <w:iCs/>
          <w:szCs w:val="22"/>
        </w:rPr>
      </w:pPr>
      <w:r w:rsidRPr="00332727">
        <w:rPr>
          <w:szCs w:val="22"/>
        </w:rPr>
        <w:t>De voorbije vijf jaar werd aan Wonen-Vlaanderen vijf keer gevraagd om een advies uit te brengen over een woning van De Goedkope Woning. In één geval oordeelde Wonen-Vlaanderen dat de woning conform was, in de vier andere gevallen bezorgde de gewestelijk ambtenaar een advies tot</w:t>
      </w:r>
      <w:r w:rsidRPr="00332727">
        <w:rPr>
          <w:iCs/>
          <w:szCs w:val="22"/>
        </w:rPr>
        <w:t xml:space="preserve"> ongeschiktverklaring. De burgemeester nam in één dossier een besluit tot ongeschiktverklaring. Voor de drie andere woningen werden de nodige werken op korte termijn uitgevoerd.</w:t>
      </w:r>
      <w:r w:rsidR="000675A3">
        <w:rPr>
          <w:iCs/>
          <w:szCs w:val="22"/>
        </w:rPr>
        <w:t xml:space="preserve"> Een en ander illustreert natuurlijk de noodzaak aan </w:t>
      </w:r>
      <w:r w:rsidR="0081519E">
        <w:rPr>
          <w:iCs/>
          <w:szCs w:val="22"/>
        </w:rPr>
        <w:t>snelle actie voor een deel van het patrimonium.</w:t>
      </w:r>
    </w:p>
    <w:p w:rsidR="00332727" w:rsidRPr="00332727" w:rsidRDefault="00332727" w:rsidP="004134FA">
      <w:pPr>
        <w:pStyle w:val="StandaardSV"/>
        <w:ind w:left="720"/>
        <w:jc w:val="left"/>
        <w:rPr>
          <w:iCs/>
          <w:szCs w:val="22"/>
        </w:rPr>
      </w:pPr>
    </w:p>
    <w:p w:rsidR="00332727" w:rsidRPr="00332727" w:rsidRDefault="004134FA" w:rsidP="004134FA">
      <w:pPr>
        <w:ind w:left="567" w:hanging="567"/>
        <w:jc w:val="both"/>
        <w:rPr>
          <w:iCs/>
          <w:szCs w:val="22"/>
        </w:rPr>
      </w:pPr>
      <w:r>
        <w:rPr>
          <w:szCs w:val="22"/>
          <w:lang w:val="nl"/>
        </w:rPr>
        <w:t>5.</w:t>
      </w:r>
      <w:r w:rsidR="00332727">
        <w:rPr>
          <w:szCs w:val="22"/>
          <w:lang w:val="nl"/>
        </w:rPr>
        <w:tab/>
      </w:r>
      <w:r w:rsidR="00332727" w:rsidRPr="00332727">
        <w:rPr>
          <w:iCs/>
          <w:szCs w:val="22"/>
        </w:rPr>
        <w:t>De term ‘ecowijk’ is vrij nieuw en kan breed ingevuld worden. Algemeen wordt hiermee de toepassing op (woon)wijkniveau van de principes van duurzame ontwikkeling bedoeld, uitgebreid naar de inrichting van publieke ruimtes, woondichtheid en gemeenschappelijke voorzieningen en diensten.</w:t>
      </w:r>
    </w:p>
    <w:p w:rsidR="00332727" w:rsidRPr="00332727" w:rsidRDefault="00332727" w:rsidP="004134FA">
      <w:pPr>
        <w:jc w:val="both"/>
        <w:rPr>
          <w:iCs/>
          <w:szCs w:val="22"/>
        </w:rPr>
      </w:pPr>
    </w:p>
    <w:p w:rsidR="00332727" w:rsidRPr="00332727" w:rsidRDefault="00F00B9F" w:rsidP="004134FA">
      <w:pPr>
        <w:ind w:left="567"/>
        <w:jc w:val="both"/>
        <w:rPr>
          <w:iCs/>
          <w:szCs w:val="22"/>
        </w:rPr>
      </w:pPr>
      <w:r w:rsidRPr="00332727">
        <w:rPr>
          <w:iCs/>
          <w:szCs w:val="22"/>
        </w:rPr>
        <w:t xml:space="preserve">Voor de realisatie van </w:t>
      </w:r>
      <w:r>
        <w:rPr>
          <w:iCs/>
          <w:szCs w:val="22"/>
        </w:rPr>
        <w:t xml:space="preserve">echt </w:t>
      </w:r>
      <w:r w:rsidRPr="00332727">
        <w:rPr>
          <w:iCs/>
          <w:szCs w:val="22"/>
        </w:rPr>
        <w:t xml:space="preserve">vernieuwende projecten </w:t>
      </w:r>
      <w:r>
        <w:rPr>
          <w:iCs/>
          <w:szCs w:val="22"/>
        </w:rPr>
        <w:t xml:space="preserve">zijn </w:t>
      </w:r>
      <w:r w:rsidRPr="00332727">
        <w:rPr>
          <w:iCs/>
          <w:szCs w:val="22"/>
        </w:rPr>
        <w:t xml:space="preserve">de </w:t>
      </w:r>
      <w:proofErr w:type="spellStart"/>
      <w:r w:rsidRPr="00332727">
        <w:rPr>
          <w:iCs/>
          <w:szCs w:val="22"/>
        </w:rPr>
        <w:t>SHM</w:t>
      </w:r>
      <w:r>
        <w:rPr>
          <w:iCs/>
          <w:szCs w:val="22"/>
        </w:rPr>
        <w:t>’s</w:t>
      </w:r>
      <w:proofErr w:type="spellEnd"/>
      <w:r w:rsidRPr="00332727">
        <w:rPr>
          <w:iCs/>
          <w:szCs w:val="22"/>
        </w:rPr>
        <w:t xml:space="preserve"> </w:t>
      </w:r>
      <w:r>
        <w:rPr>
          <w:iCs/>
          <w:szCs w:val="22"/>
        </w:rPr>
        <w:t xml:space="preserve">in belangrijke mate </w:t>
      </w:r>
      <w:r w:rsidRPr="00332727">
        <w:rPr>
          <w:iCs/>
          <w:szCs w:val="22"/>
        </w:rPr>
        <w:t>aangewezen op deelname in door derden gesubsidieerde projecten.</w:t>
      </w:r>
      <w:r>
        <w:rPr>
          <w:iCs/>
          <w:szCs w:val="22"/>
        </w:rPr>
        <w:t xml:space="preserve"> </w:t>
      </w:r>
      <w:r w:rsidR="00332727" w:rsidRPr="00332727">
        <w:rPr>
          <w:iCs/>
          <w:szCs w:val="22"/>
        </w:rPr>
        <w:t xml:space="preserve">Diverse </w:t>
      </w:r>
      <w:r>
        <w:rPr>
          <w:iCs/>
          <w:szCs w:val="22"/>
        </w:rPr>
        <w:t xml:space="preserve">dergelijke </w:t>
      </w:r>
      <w:r w:rsidR="00332727" w:rsidRPr="00332727">
        <w:rPr>
          <w:iCs/>
          <w:szCs w:val="22"/>
        </w:rPr>
        <w:t>gemengde publiek private initiatieven zijn in ontwikkeling en uitvoering</w:t>
      </w:r>
      <w:r>
        <w:rPr>
          <w:iCs/>
          <w:szCs w:val="22"/>
        </w:rPr>
        <w:t>.</w:t>
      </w:r>
      <w:r w:rsidR="00332727" w:rsidRPr="00332727">
        <w:rPr>
          <w:iCs/>
          <w:szCs w:val="22"/>
        </w:rPr>
        <w:t xml:space="preserve"> </w:t>
      </w:r>
      <w:r>
        <w:rPr>
          <w:iCs/>
          <w:szCs w:val="22"/>
        </w:rPr>
        <w:t>Dit zijn lokale initiatieven, waarin ook d</w:t>
      </w:r>
      <w:r w:rsidRPr="00332727">
        <w:rPr>
          <w:iCs/>
          <w:szCs w:val="22"/>
        </w:rPr>
        <w:t xml:space="preserve">e </w:t>
      </w:r>
      <w:proofErr w:type="spellStart"/>
      <w:r>
        <w:rPr>
          <w:iCs/>
          <w:szCs w:val="22"/>
        </w:rPr>
        <w:t>SHM’s</w:t>
      </w:r>
      <w:proofErr w:type="spellEnd"/>
      <w:r>
        <w:rPr>
          <w:iCs/>
          <w:szCs w:val="22"/>
        </w:rPr>
        <w:t xml:space="preserve"> </w:t>
      </w:r>
      <w:r w:rsidRPr="00332727">
        <w:rPr>
          <w:iCs/>
          <w:szCs w:val="22"/>
        </w:rPr>
        <w:t xml:space="preserve">worden </w:t>
      </w:r>
      <w:r>
        <w:rPr>
          <w:iCs/>
          <w:szCs w:val="22"/>
        </w:rPr>
        <w:t>betrokken</w:t>
      </w:r>
      <w:r w:rsidRPr="00332727">
        <w:rPr>
          <w:iCs/>
          <w:szCs w:val="22"/>
        </w:rPr>
        <w:t xml:space="preserve">. </w:t>
      </w:r>
      <w:r>
        <w:rPr>
          <w:iCs/>
          <w:szCs w:val="22"/>
        </w:rPr>
        <w:t xml:space="preserve">De </w:t>
      </w:r>
      <w:r w:rsidR="00332727" w:rsidRPr="00332727">
        <w:rPr>
          <w:iCs/>
          <w:szCs w:val="22"/>
        </w:rPr>
        <w:t xml:space="preserve">voornaamste voorbeelden </w:t>
      </w:r>
      <w:r>
        <w:rPr>
          <w:iCs/>
          <w:szCs w:val="22"/>
        </w:rPr>
        <w:t xml:space="preserve">zijn </w:t>
      </w:r>
      <w:r w:rsidR="00332727" w:rsidRPr="00332727">
        <w:rPr>
          <w:iCs/>
          <w:szCs w:val="22"/>
        </w:rPr>
        <w:t xml:space="preserve">‘Twee Waters’ te Leuven, het project </w:t>
      </w:r>
      <w:r>
        <w:rPr>
          <w:iCs/>
          <w:szCs w:val="22"/>
        </w:rPr>
        <w:t>‘</w:t>
      </w:r>
      <w:r w:rsidR="00332727" w:rsidRPr="00332727">
        <w:rPr>
          <w:iCs/>
          <w:szCs w:val="22"/>
        </w:rPr>
        <w:t>Tondelier</w:t>
      </w:r>
      <w:r>
        <w:rPr>
          <w:iCs/>
          <w:szCs w:val="22"/>
        </w:rPr>
        <w:t>’</w:t>
      </w:r>
      <w:r w:rsidR="00332727" w:rsidRPr="00332727">
        <w:rPr>
          <w:iCs/>
          <w:szCs w:val="22"/>
        </w:rPr>
        <w:t xml:space="preserve"> op de oude </w:t>
      </w:r>
      <w:r>
        <w:rPr>
          <w:iCs/>
          <w:szCs w:val="22"/>
        </w:rPr>
        <w:t>Gasmetersite</w:t>
      </w:r>
      <w:r w:rsidR="00332727" w:rsidRPr="00332727">
        <w:rPr>
          <w:iCs/>
          <w:szCs w:val="22"/>
        </w:rPr>
        <w:t xml:space="preserve"> </w:t>
      </w:r>
      <w:r>
        <w:rPr>
          <w:iCs/>
          <w:szCs w:val="22"/>
        </w:rPr>
        <w:t>in</w:t>
      </w:r>
      <w:r w:rsidR="00332727" w:rsidRPr="00332727">
        <w:rPr>
          <w:iCs/>
          <w:szCs w:val="22"/>
        </w:rPr>
        <w:t xml:space="preserve"> Gent, ‘Woonproject Papenhof’ te Mechelen, ‘Nieuw Zuid’ te Antwerpen en enkele kleinschaligere projecten zoals ‘De Vloei’ te I</w:t>
      </w:r>
      <w:r w:rsidR="00D405C6">
        <w:rPr>
          <w:iCs/>
          <w:szCs w:val="22"/>
        </w:rPr>
        <w:t xml:space="preserve">eper en </w:t>
      </w:r>
      <w:r>
        <w:rPr>
          <w:iCs/>
          <w:szCs w:val="22"/>
        </w:rPr>
        <w:t>‘D</w:t>
      </w:r>
      <w:r w:rsidR="00D405C6">
        <w:rPr>
          <w:iCs/>
          <w:szCs w:val="22"/>
        </w:rPr>
        <w:t xml:space="preserve">e </w:t>
      </w:r>
      <w:proofErr w:type="spellStart"/>
      <w:r w:rsidR="00D405C6">
        <w:rPr>
          <w:iCs/>
          <w:szCs w:val="22"/>
        </w:rPr>
        <w:t>Venning</w:t>
      </w:r>
      <w:proofErr w:type="spellEnd"/>
      <w:r>
        <w:rPr>
          <w:iCs/>
          <w:szCs w:val="22"/>
        </w:rPr>
        <w:t>’</w:t>
      </w:r>
      <w:r w:rsidR="00D405C6">
        <w:rPr>
          <w:iCs/>
          <w:szCs w:val="22"/>
        </w:rPr>
        <w:t xml:space="preserve"> te Kortrijk.</w:t>
      </w:r>
      <w:r w:rsidR="0081519E">
        <w:rPr>
          <w:iCs/>
          <w:szCs w:val="22"/>
        </w:rPr>
        <w:t xml:space="preserve"> </w:t>
      </w:r>
    </w:p>
    <w:p w:rsidR="00332727" w:rsidRPr="00332727" w:rsidRDefault="00332727" w:rsidP="004134FA">
      <w:pPr>
        <w:jc w:val="both"/>
        <w:rPr>
          <w:iCs/>
          <w:szCs w:val="22"/>
        </w:rPr>
      </w:pPr>
    </w:p>
    <w:p w:rsidR="00332727" w:rsidRPr="00332727" w:rsidRDefault="00F00B9F" w:rsidP="004134FA">
      <w:pPr>
        <w:ind w:left="567"/>
        <w:jc w:val="both"/>
        <w:rPr>
          <w:iCs/>
          <w:szCs w:val="22"/>
        </w:rPr>
      </w:pPr>
      <w:r>
        <w:rPr>
          <w:iCs/>
          <w:szCs w:val="22"/>
        </w:rPr>
        <w:t>Een ander interessant voorbeeld is de SHM Ons Onderdak, te Ieper. D</w:t>
      </w:r>
      <w:r w:rsidRPr="00332727">
        <w:rPr>
          <w:iCs/>
          <w:szCs w:val="22"/>
        </w:rPr>
        <w:t>oor deelname aan het IWT</w:t>
      </w:r>
      <w:r>
        <w:rPr>
          <w:iCs/>
          <w:szCs w:val="22"/>
        </w:rPr>
        <w:t>-project</w:t>
      </w:r>
      <w:r w:rsidRPr="00332727">
        <w:rPr>
          <w:iCs/>
          <w:szCs w:val="22"/>
        </w:rPr>
        <w:t xml:space="preserve"> Innovatief Aanbesteden </w:t>
      </w:r>
      <w:r w:rsidR="002F11A5">
        <w:rPr>
          <w:iCs/>
          <w:szCs w:val="22"/>
        </w:rPr>
        <w:t xml:space="preserve">met het oog </w:t>
      </w:r>
      <w:r w:rsidRPr="00332727">
        <w:rPr>
          <w:iCs/>
          <w:szCs w:val="22"/>
        </w:rPr>
        <w:t>“Bijna energieneutrale woningen zonder meerkost”</w:t>
      </w:r>
      <w:r w:rsidR="002F11A5">
        <w:rPr>
          <w:iCs/>
          <w:szCs w:val="22"/>
        </w:rPr>
        <w:t xml:space="preserve">, kreeg de SHM de </w:t>
      </w:r>
      <w:r w:rsidR="00332727" w:rsidRPr="00332727">
        <w:rPr>
          <w:iCs/>
          <w:szCs w:val="22"/>
        </w:rPr>
        <w:t xml:space="preserve">kans om een drietal proefwoningen te </w:t>
      </w:r>
      <w:r w:rsidR="00D405C6">
        <w:rPr>
          <w:iCs/>
          <w:szCs w:val="22"/>
        </w:rPr>
        <w:t xml:space="preserve">realiseren </w:t>
      </w:r>
      <w:r w:rsidR="00332727" w:rsidRPr="00332727">
        <w:rPr>
          <w:iCs/>
          <w:szCs w:val="22"/>
        </w:rPr>
        <w:t>binnen de</w:t>
      </w:r>
      <w:r w:rsidR="002F11A5">
        <w:rPr>
          <w:iCs/>
          <w:szCs w:val="22"/>
        </w:rPr>
        <w:t xml:space="preserve"> </w:t>
      </w:r>
      <w:proofErr w:type="spellStart"/>
      <w:r w:rsidR="002F11A5">
        <w:rPr>
          <w:iCs/>
          <w:szCs w:val="22"/>
        </w:rPr>
        <w:t>ecowijk</w:t>
      </w:r>
      <w:proofErr w:type="spellEnd"/>
      <w:r w:rsidR="00332727" w:rsidRPr="00332727">
        <w:rPr>
          <w:iCs/>
          <w:szCs w:val="22"/>
        </w:rPr>
        <w:t xml:space="preserve"> </w:t>
      </w:r>
      <w:r w:rsidR="002F11A5">
        <w:rPr>
          <w:iCs/>
          <w:szCs w:val="22"/>
        </w:rPr>
        <w:t>‘</w:t>
      </w:r>
      <w:r w:rsidR="00332727" w:rsidRPr="00332727">
        <w:rPr>
          <w:iCs/>
          <w:szCs w:val="22"/>
        </w:rPr>
        <w:t>De Vloei</w:t>
      </w:r>
      <w:r w:rsidR="002F11A5">
        <w:rPr>
          <w:iCs/>
          <w:szCs w:val="22"/>
        </w:rPr>
        <w:t>’</w:t>
      </w:r>
      <w:r w:rsidR="00332727" w:rsidRPr="00332727">
        <w:rPr>
          <w:iCs/>
          <w:szCs w:val="22"/>
        </w:rPr>
        <w:t>. Bij dit project wordt een meerkost tot circa 50% gesubsidieerd.</w:t>
      </w:r>
      <w:r w:rsidR="00B022A9">
        <w:rPr>
          <w:iCs/>
          <w:szCs w:val="22"/>
        </w:rPr>
        <w:t xml:space="preserve"> </w:t>
      </w:r>
      <w:r w:rsidR="00310F53">
        <w:rPr>
          <w:iCs/>
          <w:szCs w:val="22"/>
        </w:rPr>
        <w:t>Wat betreft uw aansluitende vraag naar</w:t>
      </w:r>
      <w:r w:rsidR="00B022A9">
        <w:rPr>
          <w:iCs/>
          <w:szCs w:val="22"/>
        </w:rPr>
        <w:t xml:space="preserve"> de </w:t>
      </w:r>
      <w:r w:rsidR="00310F53">
        <w:rPr>
          <w:iCs/>
          <w:szCs w:val="22"/>
        </w:rPr>
        <w:t xml:space="preserve">toestand </w:t>
      </w:r>
      <w:r w:rsidR="00B022A9">
        <w:rPr>
          <w:iCs/>
          <w:szCs w:val="22"/>
        </w:rPr>
        <w:t xml:space="preserve">van </w:t>
      </w:r>
      <w:r w:rsidR="0050341A">
        <w:rPr>
          <w:iCs/>
          <w:szCs w:val="22"/>
        </w:rPr>
        <w:t xml:space="preserve">hun </w:t>
      </w:r>
      <w:r w:rsidR="00B022A9">
        <w:rPr>
          <w:iCs/>
          <w:szCs w:val="22"/>
        </w:rPr>
        <w:t>bestaande patrimonium: b</w:t>
      </w:r>
      <w:r w:rsidR="00332727" w:rsidRPr="00332727">
        <w:rPr>
          <w:iCs/>
          <w:szCs w:val="22"/>
        </w:rPr>
        <w:t xml:space="preserve">ijna 80% van de woningen van </w:t>
      </w:r>
      <w:r w:rsidR="00310F53">
        <w:rPr>
          <w:iCs/>
          <w:szCs w:val="22"/>
        </w:rPr>
        <w:t>SHM</w:t>
      </w:r>
      <w:r w:rsidR="00332727" w:rsidRPr="00332727">
        <w:rPr>
          <w:iCs/>
          <w:szCs w:val="22"/>
        </w:rPr>
        <w:t xml:space="preserve"> Ons Onderdak zijn gebouwd vóór 1985 toen e</w:t>
      </w:r>
      <w:bookmarkStart w:id="5" w:name="_GoBack"/>
      <w:bookmarkEnd w:id="5"/>
      <w:r w:rsidR="00332727" w:rsidRPr="00332727">
        <w:rPr>
          <w:iCs/>
          <w:szCs w:val="22"/>
        </w:rPr>
        <w:t xml:space="preserve">r nog </w:t>
      </w:r>
      <w:r w:rsidR="004134FA">
        <w:rPr>
          <w:iCs/>
          <w:szCs w:val="22"/>
        </w:rPr>
        <w:t xml:space="preserve">geen </w:t>
      </w:r>
      <w:r w:rsidR="00332727" w:rsidRPr="00332727">
        <w:rPr>
          <w:iCs/>
          <w:szCs w:val="22"/>
        </w:rPr>
        <w:t>isolatie-eisen</w:t>
      </w:r>
      <w:r w:rsidR="004134FA">
        <w:rPr>
          <w:iCs/>
          <w:szCs w:val="22"/>
        </w:rPr>
        <w:t xml:space="preserve"> </w:t>
      </w:r>
      <w:r w:rsidR="00332727" w:rsidRPr="00332727">
        <w:rPr>
          <w:iCs/>
          <w:szCs w:val="22"/>
        </w:rPr>
        <w:t>waren voor sociale woningen. Alle woningen hebben dubbel glas, 2 op 3</w:t>
      </w:r>
      <w:r w:rsidR="00310F53">
        <w:rPr>
          <w:iCs/>
          <w:szCs w:val="22"/>
        </w:rPr>
        <w:t xml:space="preserve"> </w:t>
      </w:r>
      <w:r w:rsidR="00332727" w:rsidRPr="00332727">
        <w:rPr>
          <w:iCs/>
          <w:szCs w:val="22"/>
        </w:rPr>
        <w:t>woningen heeft geen of beperkte dakisolatie en 1 op 4 heeft geen centrale verwarming. De</w:t>
      </w:r>
      <w:r w:rsidR="00310F53">
        <w:rPr>
          <w:iCs/>
          <w:szCs w:val="22"/>
        </w:rPr>
        <w:t xml:space="preserve"> </w:t>
      </w:r>
      <w:r w:rsidR="00332727" w:rsidRPr="00332727">
        <w:rPr>
          <w:iCs/>
          <w:szCs w:val="22"/>
        </w:rPr>
        <w:t>meeste woningen zijn echter nog in goede algemene staat. De SHM heeft een planning opgemaakt om tegen 2020 aan deze gebreken te verhelpen zonder ingrijpende</w:t>
      </w:r>
      <w:r w:rsidR="00310F53">
        <w:rPr>
          <w:iCs/>
          <w:szCs w:val="22"/>
        </w:rPr>
        <w:t xml:space="preserve"> </w:t>
      </w:r>
      <w:r w:rsidR="00332727" w:rsidRPr="00332727">
        <w:rPr>
          <w:iCs/>
          <w:szCs w:val="22"/>
        </w:rPr>
        <w:t>renovatiewerken.</w:t>
      </w:r>
    </w:p>
    <w:p w:rsidR="00332727" w:rsidRDefault="00332727" w:rsidP="004134FA">
      <w:pPr>
        <w:ind w:left="567" w:hanging="567"/>
        <w:jc w:val="both"/>
        <w:rPr>
          <w:szCs w:val="22"/>
          <w:lang w:val="nl"/>
        </w:rPr>
      </w:pPr>
    </w:p>
    <w:p w:rsidR="004134FA" w:rsidRDefault="004134FA">
      <w:pPr>
        <w:rPr>
          <w:szCs w:val="22"/>
          <w:lang w:val="nl"/>
        </w:rPr>
      </w:pPr>
      <w:r>
        <w:rPr>
          <w:szCs w:val="22"/>
          <w:lang w:val="nl"/>
        </w:rPr>
        <w:br w:type="page"/>
      </w:r>
    </w:p>
    <w:p w:rsidR="00F00B9F" w:rsidRDefault="004134FA" w:rsidP="004134FA">
      <w:pPr>
        <w:ind w:left="567" w:hanging="567"/>
        <w:rPr>
          <w:szCs w:val="22"/>
          <w:lang w:val="nl"/>
        </w:rPr>
      </w:pPr>
      <w:r>
        <w:rPr>
          <w:szCs w:val="22"/>
          <w:lang w:val="nl"/>
        </w:rPr>
        <w:t>6.</w:t>
      </w:r>
      <w:r w:rsidR="00F00B9F">
        <w:rPr>
          <w:szCs w:val="22"/>
          <w:lang w:val="nl"/>
        </w:rPr>
        <w:tab/>
        <w:t>H</w:t>
      </w:r>
      <w:r w:rsidR="00F00B9F" w:rsidRPr="00F00B9F">
        <w:rPr>
          <w:szCs w:val="22"/>
          <w:lang w:val="nl"/>
        </w:rPr>
        <w:t xml:space="preserve">ieronder vindt u de budgetten die </w:t>
      </w:r>
      <w:r w:rsidR="002F11A5">
        <w:rPr>
          <w:szCs w:val="22"/>
          <w:lang w:val="nl"/>
        </w:rPr>
        <w:t xml:space="preserve">de voorbije jaren </w:t>
      </w:r>
      <w:r w:rsidR="00F00B9F" w:rsidRPr="00F00B9F">
        <w:rPr>
          <w:szCs w:val="22"/>
          <w:lang w:val="nl"/>
        </w:rPr>
        <w:t>werden ingezet op renovatie.</w:t>
      </w:r>
    </w:p>
    <w:p w:rsidR="00F00B9F" w:rsidRPr="00332727" w:rsidRDefault="00F00B9F" w:rsidP="004134FA">
      <w:pPr>
        <w:rPr>
          <w:szCs w:val="22"/>
          <w:lang w:val="nl"/>
        </w:rPr>
      </w:pPr>
    </w:p>
    <w:tbl>
      <w:tblPr>
        <w:tblpPr w:leftFromText="141" w:rightFromText="141" w:vertAnchor="text" w:horzAnchor="page" w:tblpX="2121" w:tblpY="43"/>
        <w:tblW w:w="4264" w:type="dxa"/>
        <w:tblCellMar>
          <w:left w:w="70" w:type="dxa"/>
          <w:right w:w="70" w:type="dxa"/>
        </w:tblCellMar>
        <w:tblLook w:val="04A0" w:firstRow="1" w:lastRow="0" w:firstColumn="1" w:lastColumn="0" w:noHBand="0" w:noVBand="1"/>
      </w:tblPr>
      <w:tblGrid>
        <w:gridCol w:w="2289"/>
        <w:gridCol w:w="1975"/>
      </w:tblGrid>
      <w:tr w:rsidR="00D405C6" w:rsidRPr="00332727" w:rsidTr="00D405C6">
        <w:trPr>
          <w:trHeight w:val="315"/>
        </w:trPr>
        <w:tc>
          <w:tcPr>
            <w:tcW w:w="42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05C6" w:rsidRPr="00332727" w:rsidRDefault="00D405C6" w:rsidP="00D405C6">
            <w:pPr>
              <w:jc w:val="center"/>
              <w:rPr>
                <w:rFonts w:ascii="Calibri" w:hAnsi="Calibri"/>
                <w:b/>
                <w:bCs/>
                <w:szCs w:val="22"/>
                <w:lang w:val="nl-BE" w:eastAsia="nl-BE"/>
              </w:rPr>
            </w:pPr>
            <w:r w:rsidRPr="00332727">
              <w:rPr>
                <w:rFonts w:ascii="Calibri" w:hAnsi="Calibri"/>
                <w:b/>
                <w:bCs/>
                <w:szCs w:val="22"/>
                <w:lang w:val="nl-BE" w:eastAsia="nl-BE"/>
              </w:rPr>
              <w:t>Renovatiebudget periode 2011-2014</w:t>
            </w:r>
          </w:p>
        </w:tc>
      </w:tr>
      <w:tr w:rsidR="00D405C6" w:rsidRPr="00332727" w:rsidTr="00D405C6">
        <w:trPr>
          <w:trHeight w:val="345"/>
        </w:trPr>
        <w:tc>
          <w:tcPr>
            <w:tcW w:w="2289" w:type="dxa"/>
            <w:tcBorders>
              <w:top w:val="nil"/>
              <w:left w:val="single" w:sz="4" w:space="0" w:color="auto"/>
              <w:bottom w:val="single" w:sz="4" w:space="0" w:color="auto"/>
              <w:right w:val="single" w:sz="4" w:space="0" w:color="auto"/>
            </w:tcBorders>
            <w:shd w:val="clear" w:color="auto" w:fill="auto"/>
            <w:noWrap/>
            <w:vAlign w:val="center"/>
            <w:hideMark/>
          </w:tcPr>
          <w:p w:rsidR="00D405C6" w:rsidRPr="00332727" w:rsidRDefault="00D405C6" w:rsidP="00D405C6">
            <w:pPr>
              <w:jc w:val="center"/>
              <w:rPr>
                <w:rFonts w:ascii="Calibri" w:hAnsi="Calibri"/>
                <w:szCs w:val="22"/>
                <w:lang w:val="nl-BE" w:eastAsia="nl-BE"/>
              </w:rPr>
            </w:pPr>
            <w:r w:rsidRPr="00332727">
              <w:rPr>
                <w:rFonts w:ascii="Calibri" w:hAnsi="Calibri"/>
                <w:szCs w:val="22"/>
                <w:lang w:eastAsia="nl-BE"/>
              </w:rPr>
              <w:t>2011</w:t>
            </w:r>
          </w:p>
        </w:tc>
        <w:tc>
          <w:tcPr>
            <w:tcW w:w="1975" w:type="dxa"/>
            <w:tcBorders>
              <w:top w:val="nil"/>
              <w:left w:val="nil"/>
              <w:bottom w:val="single" w:sz="4" w:space="0" w:color="auto"/>
              <w:right w:val="single" w:sz="4" w:space="0" w:color="auto"/>
            </w:tcBorders>
            <w:shd w:val="clear" w:color="auto" w:fill="auto"/>
            <w:noWrap/>
            <w:vAlign w:val="center"/>
            <w:hideMark/>
          </w:tcPr>
          <w:p w:rsidR="00D405C6" w:rsidRPr="00332727" w:rsidRDefault="00D405C6" w:rsidP="00D405C6">
            <w:pPr>
              <w:jc w:val="center"/>
              <w:rPr>
                <w:rFonts w:ascii="Calibri" w:hAnsi="Calibri"/>
                <w:szCs w:val="22"/>
                <w:lang w:val="nl-BE" w:eastAsia="nl-BE"/>
              </w:rPr>
            </w:pPr>
            <w:r w:rsidRPr="00332727">
              <w:rPr>
                <w:rFonts w:ascii="Calibri" w:hAnsi="Calibri"/>
                <w:szCs w:val="22"/>
                <w:lang w:eastAsia="nl-BE"/>
              </w:rPr>
              <w:t>€ 126.019.500</w:t>
            </w:r>
          </w:p>
        </w:tc>
      </w:tr>
      <w:tr w:rsidR="00D405C6" w:rsidRPr="00332727" w:rsidTr="00D405C6">
        <w:trPr>
          <w:trHeight w:val="345"/>
        </w:trPr>
        <w:tc>
          <w:tcPr>
            <w:tcW w:w="2289" w:type="dxa"/>
            <w:tcBorders>
              <w:top w:val="nil"/>
              <w:left w:val="single" w:sz="4" w:space="0" w:color="auto"/>
              <w:bottom w:val="single" w:sz="4" w:space="0" w:color="auto"/>
              <w:right w:val="single" w:sz="4" w:space="0" w:color="auto"/>
            </w:tcBorders>
            <w:shd w:val="clear" w:color="auto" w:fill="auto"/>
            <w:noWrap/>
            <w:vAlign w:val="center"/>
            <w:hideMark/>
          </w:tcPr>
          <w:p w:rsidR="00D405C6" w:rsidRPr="00332727" w:rsidRDefault="00D405C6" w:rsidP="00D405C6">
            <w:pPr>
              <w:jc w:val="center"/>
              <w:rPr>
                <w:rFonts w:ascii="Calibri" w:hAnsi="Calibri"/>
                <w:szCs w:val="22"/>
                <w:lang w:val="nl-BE" w:eastAsia="nl-BE"/>
              </w:rPr>
            </w:pPr>
            <w:r w:rsidRPr="00332727">
              <w:rPr>
                <w:rFonts w:ascii="Calibri" w:hAnsi="Calibri"/>
                <w:szCs w:val="22"/>
                <w:lang w:eastAsia="nl-BE"/>
              </w:rPr>
              <w:t>2012</w:t>
            </w:r>
          </w:p>
        </w:tc>
        <w:tc>
          <w:tcPr>
            <w:tcW w:w="1975" w:type="dxa"/>
            <w:tcBorders>
              <w:top w:val="nil"/>
              <w:left w:val="nil"/>
              <w:bottom w:val="single" w:sz="4" w:space="0" w:color="auto"/>
              <w:right w:val="single" w:sz="4" w:space="0" w:color="auto"/>
            </w:tcBorders>
            <w:shd w:val="clear" w:color="auto" w:fill="auto"/>
            <w:noWrap/>
            <w:vAlign w:val="center"/>
            <w:hideMark/>
          </w:tcPr>
          <w:p w:rsidR="00D405C6" w:rsidRPr="00332727" w:rsidRDefault="00D405C6" w:rsidP="00D405C6">
            <w:pPr>
              <w:jc w:val="center"/>
              <w:rPr>
                <w:rFonts w:ascii="Calibri" w:hAnsi="Calibri"/>
                <w:szCs w:val="22"/>
                <w:lang w:val="nl-BE" w:eastAsia="nl-BE"/>
              </w:rPr>
            </w:pPr>
            <w:r w:rsidRPr="00332727">
              <w:rPr>
                <w:rFonts w:ascii="Calibri" w:hAnsi="Calibri"/>
                <w:szCs w:val="22"/>
                <w:lang w:val="nl-BE" w:eastAsia="nl-BE"/>
              </w:rPr>
              <w:t>€ 104.119.560</w:t>
            </w:r>
          </w:p>
        </w:tc>
      </w:tr>
      <w:tr w:rsidR="00D405C6" w:rsidRPr="00332727" w:rsidTr="00D405C6">
        <w:trPr>
          <w:trHeight w:val="345"/>
        </w:trPr>
        <w:tc>
          <w:tcPr>
            <w:tcW w:w="22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405C6" w:rsidRPr="00332727" w:rsidRDefault="00D405C6" w:rsidP="00D405C6">
            <w:pPr>
              <w:jc w:val="center"/>
              <w:rPr>
                <w:rFonts w:ascii="Calibri" w:hAnsi="Calibri"/>
                <w:szCs w:val="22"/>
                <w:lang w:val="nl-BE" w:eastAsia="nl-BE"/>
              </w:rPr>
            </w:pPr>
            <w:r w:rsidRPr="00332727">
              <w:rPr>
                <w:rFonts w:ascii="Calibri" w:hAnsi="Calibri"/>
                <w:szCs w:val="22"/>
                <w:lang w:eastAsia="nl-BE"/>
              </w:rPr>
              <w:lastRenderedPageBreak/>
              <w:t>2013</w:t>
            </w:r>
          </w:p>
        </w:tc>
        <w:tc>
          <w:tcPr>
            <w:tcW w:w="1975" w:type="dxa"/>
            <w:tcBorders>
              <w:top w:val="nil"/>
              <w:left w:val="nil"/>
              <w:bottom w:val="single" w:sz="4" w:space="0" w:color="auto"/>
              <w:right w:val="single" w:sz="4" w:space="0" w:color="auto"/>
            </w:tcBorders>
            <w:shd w:val="clear" w:color="auto" w:fill="auto"/>
            <w:noWrap/>
            <w:vAlign w:val="center"/>
            <w:hideMark/>
          </w:tcPr>
          <w:p w:rsidR="00D405C6" w:rsidRPr="00332727" w:rsidRDefault="00D405C6" w:rsidP="00D405C6">
            <w:pPr>
              <w:jc w:val="center"/>
              <w:rPr>
                <w:rFonts w:ascii="Calibri" w:hAnsi="Calibri"/>
                <w:szCs w:val="22"/>
                <w:lang w:val="nl-BE" w:eastAsia="nl-BE"/>
              </w:rPr>
            </w:pPr>
            <w:r w:rsidRPr="00332727">
              <w:rPr>
                <w:rFonts w:ascii="Calibri" w:hAnsi="Calibri"/>
                <w:szCs w:val="22"/>
                <w:lang w:val="nl-BE" w:eastAsia="nl-BE"/>
              </w:rPr>
              <w:t>€ 107.928.820</w:t>
            </w:r>
          </w:p>
        </w:tc>
      </w:tr>
      <w:tr w:rsidR="00D405C6" w:rsidRPr="00332727" w:rsidTr="00D405C6">
        <w:trPr>
          <w:trHeight w:val="345"/>
        </w:trPr>
        <w:tc>
          <w:tcPr>
            <w:tcW w:w="2289" w:type="dxa"/>
            <w:vMerge/>
            <w:tcBorders>
              <w:top w:val="nil"/>
              <w:left w:val="single" w:sz="4" w:space="0" w:color="auto"/>
              <w:bottom w:val="single" w:sz="4" w:space="0" w:color="000000"/>
              <w:right w:val="single" w:sz="4" w:space="0" w:color="auto"/>
            </w:tcBorders>
            <w:vAlign w:val="center"/>
            <w:hideMark/>
          </w:tcPr>
          <w:p w:rsidR="00D405C6" w:rsidRPr="00332727" w:rsidRDefault="00D405C6" w:rsidP="00D405C6">
            <w:pPr>
              <w:rPr>
                <w:rFonts w:ascii="Calibri" w:hAnsi="Calibri"/>
                <w:szCs w:val="22"/>
                <w:lang w:val="nl-BE" w:eastAsia="nl-BE"/>
              </w:rPr>
            </w:pPr>
          </w:p>
        </w:tc>
        <w:tc>
          <w:tcPr>
            <w:tcW w:w="1975" w:type="dxa"/>
            <w:tcBorders>
              <w:top w:val="nil"/>
              <w:left w:val="nil"/>
              <w:bottom w:val="single" w:sz="4" w:space="0" w:color="auto"/>
              <w:right w:val="single" w:sz="4" w:space="0" w:color="auto"/>
            </w:tcBorders>
            <w:shd w:val="clear" w:color="auto" w:fill="auto"/>
            <w:noWrap/>
            <w:vAlign w:val="center"/>
            <w:hideMark/>
          </w:tcPr>
          <w:p w:rsidR="00D405C6" w:rsidRPr="00332727" w:rsidRDefault="00D405C6" w:rsidP="00D405C6">
            <w:pPr>
              <w:jc w:val="center"/>
              <w:rPr>
                <w:rFonts w:ascii="Calibri" w:hAnsi="Calibri"/>
                <w:szCs w:val="22"/>
                <w:lang w:val="nl-BE" w:eastAsia="nl-BE"/>
              </w:rPr>
            </w:pPr>
            <w:r w:rsidRPr="00332727">
              <w:rPr>
                <w:rFonts w:ascii="Calibri" w:hAnsi="Calibri"/>
                <w:szCs w:val="22"/>
                <w:lang w:val="nl-BE" w:eastAsia="nl-BE"/>
              </w:rPr>
              <w:t>€ 100.000.000</w:t>
            </w:r>
          </w:p>
        </w:tc>
      </w:tr>
      <w:tr w:rsidR="00D405C6" w:rsidRPr="00332727" w:rsidTr="00D405C6">
        <w:trPr>
          <w:trHeight w:val="345"/>
        </w:trPr>
        <w:tc>
          <w:tcPr>
            <w:tcW w:w="22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405C6" w:rsidRPr="00332727" w:rsidRDefault="00D405C6" w:rsidP="00D405C6">
            <w:pPr>
              <w:jc w:val="center"/>
              <w:rPr>
                <w:rFonts w:ascii="Calibri" w:hAnsi="Calibri"/>
                <w:szCs w:val="22"/>
                <w:lang w:val="nl-BE" w:eastAsia="nl-BE"/>
              </w:rPr>
            </w:pPr>
            <w:r w:rsidRPr="00332727">
              <w:rPr>
                <w:rFonts w:ascii="Calibri" w:hAnsi="Calibri"/>
                <w:szCs w:val="22"/>
                <w:lang w:eastAsia="nl-BE"/>
              </w:rPr>
              <w:t>2014</w:t>
            </w:r>
          </w:p>
        </w:tc>
        <w:tc>
          <w:tcPr>
            <w:tcW w:w="1975" w:type="dxa"/>
            <w:tcBorders>
              <w:top w:val="nil"/>
              <w:left w:val="nil"/>
              <w:bottom w:val="single" w:sz="4" w:space="0" w:color="auto"/>
              <w:right w:val="single" w:sz="4" w:space="0" w:color="auto"/>
            </w:tcBorders>
            <w:shd w:val="clear" w:color="auto" w:fill="auto"/>
            <w:noWrap/>
            <w:vAlign w:val="center"/>
            <w:hideMark/>
          </w:tcPr>
          <w:p w:rsidR="00D405C6" w:rsidRPr="00332727" w:rsidRDefault="00D405C6" w:rsidP="00D405C6">
            <w:pPr>
              <w:jc w:val="center"/>
              <w:rPr>
                <w:rFonts w:ascii="Calibri" w:hAnsi="Calibri"/>
                <w:szCs w:val="22"/>
                <w:lang w:val="nl-BE" w:eastAsia="nl-BE"/>
              </w:rPr>
            </w:pPr>
            <w:r w:rsidRPr="00332727">
              <w:rPr>
                <w:rFonts w:ascii="Calibri" w:hAnsi="Calibri"/>
                <w:szCs w:val="22"/>
                <w:lang w:val="nl-BE" w:eastAsia="nl-BE"/>
              </w:rPr>
              <w:t>€ 109.439.823</w:t>
            </w:r>
          </w:p>
        </w:tc>
      </w:tr>
      <w:tr w:rsidR="00D405C6" w:rsidRPr="00332727" w:rsidTr="00D405C6">
        <w:trPr>
          <w:trHeight w:val="345"/>
        </w:trPr>
        <w:tc>
          <w:tcPr>
            <w:tcW w:w="2289" w:type="dxa"/>
            <w:vMerge/>
            <w:tcBorders>
              <w:top w:val="nil"/>
              <w:left w:val="single" w:sz="4" w:space="0" w:color="auto"/>
              <w:bottom w:val="single" w:sz="4" w:space="0" w:color="000000"/>
              <w:right w:val="single" w:sz="4" w:space="0" w:color="auto"/>
            </w:tcBorders>
            <w:vAlign w:val="center"/>
            <w:hideMark/>
          </w:tcPr>
          <w:p w:rsidR="00D405C6" w:rsidRPr="00332727" w:rsidRDefault="00D405C6" w:rsidP="00D405C6">
            <w:pPr>
              <w:rPr>
                <w:rFonts w:ascii="Calibri" w:hAnsi="Calibri"/>
                <w:szCs w:val="22"/>
                <w:lang w:val="nl-BE" w:eastAsia="nl-BE"/>
              </w:rPr>
            </w:pPr>
          </w:p>
        </w:tc>
        <w:tc>
          <w:tcPr>
            <w:tcW w:w="1975" w:type="dxa"/>
            <w:tcBorders>
              <w:top w:val="nil"/>
              <w:left w:val="nil"/>
              <w:bottom w:val="single" w:sz="4" w:space="0" w:color="auto"/>
              <w:right w:val="single" w:sz="4" w:space="0" w:color="auto"/>
            </w:tcBorders>
            <w:shd w:val="clear" w:color="auto" w:fill="auto"/>
            <w:noWrap/>
            <w:vAlign w:val="center"/>
            <w:hideMark/>
          </w:tcPr>
          <w:p w:rsidR="00D405C6" w:rsidRPr="00332727" w:rsidRDefault="00D405C6" w:rsidP="00D405C6">
            <w:pPr>
              <w:jc w:val="center"/>
              <w:rPr>
                <w:rFonts w:ascii="Calibri" w:hAnsi="Calibri"/>
                <w:szCs w:val="22"/>
                <w:lang w:val="nl-BE" w:eastAsia="nl-BE"/>
              </w:rPr>
            </w:pPr>
            <w:r w:rsidRPr="00332727">
              <w:rPr>
                <w:rFonts w:ascii="Calibri" w:hAnsi="Calibri"/>
                <w:szCs w:val="22"/>
                <w:lang w:val="nl-BE" w:eastAsia="nl-BE"/>
              </w:rPr>
              <w:t>€ 100.000.000</w:t>
            </w:r>
          </w:p>
        </w:tc>
      </w:tr>
      <w:tr w:rsidR="00D405C6" w:rsidRPr="00332727" w:rsidTr="00D405C6">
        <w:trPr>
          <w:trHeight w:val="345"/>
        </w:trPr>
        <w:tc>
          <w:tcPr>
            <w:tcW w:w="2289" w:type="dxa"/>
            <w:tcBorders>
              <w:top w:val="nil"/>
              <w:left w:val="single" w:sz="4" w:space="0" w:color="auto"/>
              <w:bottom w:val="single" w:sz="4" w:space="0" w:color="auto"/>
              <w:right w:val="single" w:sz="4" w:space="0" w:color="auto"/>
            </w:tcBorders>
            <w:shd w:val="clear" w:color="auto" w:fill="auto"/>
            <w:noWrap/>
            <w:vAlign w:val="center"/>
            <w:hideMark/>
          </w:tcPr>
          <w:p w:rsidR="00D405C6" w:rsidRPr="00332727" w:rsidRDefault="00D405C6" w:rsidP="00D405C6">
            <w:pPr>
              <w:jc w:val="center"/>
              <w:rPr>
                <w:rFonts w:ascii="Calibri" w:hAnsi="Calibri"/>
                <w:bCs/>
                <w:szCs w:val="22"/>
                <w:lang w:val="nl-BE" w:eastAsia="nl-BE"/>
              </w:rPr>
            </w:pPr>
            <w:r w:rsidRPr="00332727">
              <w:rPr>
                <w:rFonts w:ascii="Calibri" w:hAnsi="Calibri"/>
                <w:bCs/>
                <w:szCs w:val="22"/>
                <w:lang w:eastAsia="nl-BE"/>
              </w:rPr>
              <w:t>Periode 2011-2014</w:t>
            </w:r>
          </w:p>
        </w:tc>
        <w:tc>
          <w:tcPr>
            <w:tcW w:w="1975" w:type="dxa"/>
            <w:tcBorders>
              <w:top w:val="nil"/>
              <w:left w:val="nil"/>
              <w:bottom w:val="single" w:sz="4" w:space="0" w:color="auto"/>
              <w:right w:val="single" w:sz="4" w:space="0" w:color="auto"/>
            </w:tcBorders>
            <w:shd w:val="clear" w:color="auto" w:fill="auto"/>
            <w:noWrap/>
            <w:vAlign w:val="center"/>
            <w:hideMark/>
          </w:tcPr>
          <w:p w:rsidR="00D405C6" w:rsidRPr="00332727" w:rsidRDefault="00D405C6" w:rsidP="00D405C6">
            <w:pPr>
              <w:jc w:val="center"/>
              <w:rPr>
                <w:rFonts w:ascii="Calibri" w:hAnsi="Calibri"/>
                <w:bCs/>
                <w:szCs w:val="22"/>
                <w:lang w:val="nl-BE" w:eastAsia="nl-BE"/>
              </w:rPr>
            </w:pPr>
            <w:r w:rsidRPr="00332727">
              <w:rPr>
                <w:rFonts w:ascii="Calibri" w:hAnsi="Calibri"/>
                <w:bCs/>
                <w:szCs w:val="22"/>
                <w:lang w:val="nl-BE" w:eastAsia="nl-BE"/>
              </w:rPr>
              <w:t>€ 647.507.703</w:t>
            </w:r>
          </w:p>
        </w:tc>
      </w:tr>
    </w:tbl>
    <w:p w:rsidR="00332727" w:rsidRPr="00332727" w:rsidRDefault="00D405C6" w:rsidP="00F00B9F">
      <w:pPr>
        <w:rPr>
          <w:szCs w:val="22"/>
          <w:lang w:val="nl"/>
        </w:rPr>
      </w:pPr>
      <w:r>
        <w:rPr>
          <w:szCs w:val="22"/>
          <w:lang w:val="nl"/>
        </w:rPr>
        <w:tab/>
      </w:r>
    </w:p>
    <w:p w:rsidR="004C0DB9" w:rsidRPr="00332727" w:rsidRDefault="004C0DB9" w:rsidP="00D405C6">
      <w:pPr>
        <w:rPr>
          <w:szCs w:val="22"/>
          <w:lang w:val="nl"/>
        </w:rPr>
      </w:pPr>
    </w:p>
    <w:sectPr w:rsidR="004C0DB9" w:rsidRPr="00332727"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448"/>
    <w:multiLevelType w:val="hybridMultilevel"/>
    <w:tmpl w:val="C770A6FA"/>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32CC766B"/>
    <w:multiLevelType w:val="hybridMultilevel"/>
    <w:tmpl w:val="3BF0C686"/>
    <w:lvl w:ilvl="0" w:tplc="0413000F">
      <w:start w:val="1"/>
      <w:numFmt w:val="decimal"/>
      <w:lvlText w:val="%1."/>
      <w:lvlJc w:val="left"/>
      <w:pPr>
        <w:tabs>
          <w:tab w:val="num" w:pos="360"/>
        </w:tabs>
        <w:ind w:left="360" w:hanging="360"/>
      </w:pPr>
    </w:lvl>
    <w:lvl w:ilvl="1" w:tplc="04130005">
      <w:start w:val="1"/>
      <w:numFmt w:val="bullet"/>
      <w:lvlText w:val=""/>
      <w:lvlJc w:val="left"/>
      <w:pPr>
        <w:tabs>
          <w:tab w:val="num" w:pos="1440"/>
        </w:tabs>
        <w:ind w:left="1440" w:hanging="360"/>
      </w:pPr>
      <w:rPr>
        <w:rFonts w:ascii="Wingdings" w:hAnsi="Wingdings" w:hint="default"/>
      </w:r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
    <w:nsid w:val="3ED950CA"/>
    <w:multiLevelType w:val="hybridMultilevel"/>
    <w:tmpl w:val="50203A30"/>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4E2403CC"/>
    <w:multiLevelType w:val="hybridMultilevel"/>
    <w:tmpl w:val="7E3E9DDE"/>
    <w:lvl w:ilvl="0" w:tplc="B6D22E26">
      <w:start w:val="1"/>
      <w:numFmt w:val="decimal"/>
      <w:lvlText w:val="%1."/>
      <w:lvlJc w:val="left"/>
      <w:pPr>
        <w:tabs>
          <w:tab w:val="num" w:pos="360"/>
        </w:tabs>
        <w:ind w:left="360" w:hanging="360"/>
      </w:pPr>
      <w:rPr>
        <w:rFonts w:hint="default"/>
        <w:i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nsid w:val="533138A3"/>
    <w:multiLevelType w:val="hybridMultilevel"/>
    <w:tmpl w:val="DF70747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nsid w:val="570A74B4"/>
    <w:multiLevelType w:val="hybridMultilevel"/>
    <w:tmpl w:val="C7967AE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57C5798C"/>
    <w:multiLevelType w:val="hybridMultilevel"/>
    <w:tmpl w:val="9F32E7DC"/>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7">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8">
    <w:nsid w:val="69F76FE1"/>
    <w:multiLevelType w:val="hybridMultilevel"/>
    <w:tmpl w:val="975E9266"/>
    <w:lvl w:ilvl="0" w:tplc="0413000F">
      <w:start w:val="1"/>
      <w:numFmt w:val="decimal"/>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784C417A"/>
    <w:multiLevelType w:val="hybridMultilevel"/>
    <w:tmpl w:val="5D0AC3F0"/>
    <w:lvl w:ilvl="0" w:tplc="04C208BC">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Symbol"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Symbol"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7"/>
  </w:num>
  <w:num w:numId="3">
    <w:abstractNumId w:val="1"/>
  </w:num>
  <w:num w:numId="4">
    <w:abstractNumId w:val="0"/>
  </w:num>
  <w:num w:numId="5">
    <w:abstractNumId w:val="9"/>
  </w:num>
  <w:num w:numId="6">
    <w:abstractNumId w:val="2"/>
  </w:num>
  <w:num w:numId="7">
    <w:abstractNumId w:val="8"/>
  </w:num>
  <w:num w:numId="8">
    <w:abstractNumId w:val="3"/>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727"/>
    <w:rsid w:val="00023183"/>
    <w:rsid w:val="00025658"/>
    <w:rsid w:val="000675A3"/>
    <w:rsid w:val="00071F8B"/>
    <w:rsid w:val="00095C78"/>
    <w:rsid w:val="000976E9"/>
    <w:rsid w:val="000C409A"/>
    <w:rsid w:val="000C4E8C"/>
    <w:rsid w:val="000F3532"/>
    <w:rsid w:val="00103F3F"/>
    <w:rsid w:val="00114FF5"/>
    <w:rsid w:val="00160691"/>
    <w:rsid w:val="00187939"/>
    <w:rsid w:val="001D5EDF"/>
    <w:rsid w:val="00210C07"/>
    <w:rsid w:val="002477E0"/>
    <w:rsid w:val="00247EFB"/>
    <w:rsid w:val="00274040"/>
    <w:rsid w:val="002843DB"/>
    <w:rsid w:val="002866F9"/>
    <w:rsid w:val="00291A6A"/>
    <w:rsid w:val="002F11A5"/>
    <w:rsid w:val="002F6B96"/>
    <w:rsid w:val="00310F53"/>
    <w:rsid w:val="00326A58"/>
    <w:rsid w:val="00332727"/>
    <w:rsid w:val="00395F87"/>
    <w:rsid w:val="003A1ED9"/>
    <w:rsid w:val="003C4967"/>
    <w:rsid w:val="003C7A81"/>
    <w:rsid w:val="003E3FD0"/>
    <w:rsid w:val="004134FA"/>
    <w:rsid w:val="004314D9"/>
    <w:rsid w:val="00461EAE"/>
    <w:rsid w:val="00463FCD"/>
    <w:rsid w:val="00471904"/>
    <w:rsid w:val="00482101"/>
    <w:rsid w:val="004C0DB9"/>
    <w:rsid w:val="004E4428"/>
    <w:rsid w:val="004F7253"/>
    <w:rsid w:val="0050335D"/>
    <w:rsid w:val="0050341A"/>
    <w:rsid w:val="005A2799"/>
    <w:rsid w:val="005E2500"/>
    <w:rsid w:val="005E38CA"/>
    <w:rsid w:val="00635E60"/>
    <w:rsid w:val="00655B7D"/>
    <w:rsid w:val="006563FB"/>
    <w:rsid w:val="006A76E7"/>
    <w:rsid w:val="006D6B29"/>
    <w:rsid w:val="006E50EA"/>
    <w:rsid w:val="0071248C"/>
    <w:rsid w:val="007252C7"/>
    <w:rsid w:val="0081519E"/>
    <w:rsid w:val="008542BF"/>
    <w:rsid w:val="00877435"/>
    <w:rsid w:val="00892A86"/>
    <w:rsid w:val="008A1969"/>
    <w:rsid w:val="008D5DB4"/>
    <w:rsid w:val="009347E0"/>
    <w:rsid w:val="009456B5"/>
    <w:rsid w:val="009666FC"/>
    <w:rsid w:val="009760EC"/>
    <w:rsid w:val="00977548"/>
    <w:rsid w:val="00996094"/>
    <w:rsid w:val="009D20C6"/>
    <w:rsid w:val="009D7043"/>
    <w:rsid w:val="009E39AD"/>
    <w:rsid w:val="00A30112"/>
    <w:rsid w:val="00A47636"/>
    <w:rsid w:val="00A61C86"/>
    <w:rsid w:val="00A82E28"/>
    <w:rsid w:val="00A96688"/>
    <w:rsid w:val="00AD2437"/>
    <w:rsid w:val="00AF7000"/>
    <w:rsid w:val="00B022A9"/>
    <w:rsid w:val="00B06A7F"/>
    <w:rsid w:val="00B32B02"/>
    <w:rsid w:val="00B45EB2"/>
    <w:rsid w:val="00B8676A"/>
    <w:rsid w:val="00BC6A14"/>
    <w:rsid w:val="00BE425A"/>
    <w:rsid w:val="00C46A55"/>
    <w:rsid w:val="00C86ADC"/>
    <w:rsid w:val="00C91441"/>
    <w:rsid w:val="00C955BA"/>
    <w:rsid w:val="00CC1D69"/>
    <w:rsid w:val="00CD3B94"/>
    <w:rsid w:val="00D0496F"/>
    <w:rsid w:val="00D22297"/>
    <w:rsid w:val="00D405C6"/>
    <w:rsid w:val="00D54530"/>
    <w:rsid w:val="00D71D99"/>
    <w:rsid w:val="00D754F2"/>
    <w:rsid w:val="00D90B58"/>
    <w:rsid w:val="00DB41C0"/>
    <w:rsid w:val="00DC4DB6"/>
    <w:rsid w:val="00DF46AC"/>
    <w:rsid w:val="00E55200"/>
    <w:rsid w:val="00E806BD"/>
    <w:rsid w:val="00E85C8D"/>
    <w:rsid w:val="00E94286"/>
    <w:rsid w:val="00EA344E"/>
    <w:rsid w:val="00EE091F"/>
    <w:rsid w:val="00F00B9F"/>
    <w:rsid w:val="00F02A90"/>
    <w:rsid w:val="00FA29D6"/>
    <w:rsid w:val="00FD5BF4"/>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D2437"/>
    <w:pPr>
      <w:widowControl w:val="0"/>
      <w:spacing w:after="120" w:line="240" w:lineRule="atLeast"/>
      <w:ind w:left="720"/>
      <w:contextualSpacing/>
    </w:pPr>
    <w:rPr>
      <w:rFonts w:ascii="Trebuchet MS" w:hAnsi="Trebuchet MS"/>
      <w:sz w:val="20"/>
      <w:szCs w:val="20"/>
      <w:lang w:val="nl-BE"/>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customStyle="1" w:styleId="SVTitel">
    <w:name w:val="SV Titel"/>
    <w:basedOn w:val="Standaard"/>
    <w:rsid w:val="00AD2437"/>
    <w:pPr>
      <w:jc w:val="both"/>
    </w:pPr>
    <w:rPr>
      <w:i/>
      <w:szCs w:val="20"/>
    </w:rPr>
  </w:style>
  <w:style w:type="character" w:styleId="Hyperlink">
    <w:name w:val="Hyperlink"/>
    <w:basedOn w:val="Standaardalinea-lettertype"/>
    <w:rsid w:val="00AD2437"/>
    <w:rPr>
      <w:color w:val="0000FF"/>
      <w:u w:val="single"/>
    </w:rPr>
  </w:style>
  <w:style w:type="paragraph" w:styleId="Documentstructuur">
    <w:name w:val="Document Map"/>
    <w:basedOn w:val="Standaard"/>
    <w:semiHidden/>
    <w:rsid w:val="009456B5"/>
    <w:pPr>
      <w:shd w:val="clear" w:color="auto" w:fill="000080"/>
    </w:pPr>
    <w:rPr>
      <w:rFonts w:ascii="Tahoma" w:hAnsi="Tahoma" w:cs="Tahoma"/>
      <w:sz w:val="20"/>
      <w:szCs w:val="20"/>
    </w:rPr>
  </w:style>
  <w:style w:type="paragraph" w:customStyle="1" w:styleId="Tekstbrief">
    <w:name w:val="Tekst brief"/>
    <w:basedOn w:val="Tekstopmerking"/>
    <w:semiHidden/>
    <w:rsid w:val="00095C78"/>
    <w:pPr>
      <w:tabs>
        <w:tab w:val="left" w:pos="284"/>
        <w:tab w:val="left" w:pos="567"/>
        <w:tab w:val="left" w:pos="851"/>
        <w:tab w:val="center" w:pos="4394"/>
        <w:tab w:val="right" w:pos="8789"/>
      </w:tabs>
    </w:pPr>
    <w:rPr>
      <w:rFonts w:ascii="Arial" w:hAnsi="Arial"/>
      <w:sz w:val="22"/>
      <w:szCs w:val="22"/>
    </w:rPr>
  </w:style>
  <w:style w:type="table" w:styleId="Tabelraster">
    <w:name w:val="Table Grid"/>
    <w:basedOn w:val="Standaardtabel"/>
    <w:rsid w:val="00095C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opmerking">
    <w:name w:val="annotation text"/>
    <w:basedOn w:val="Standaard"/>
    <w:semiHidden/>
    <w:rsid w:val="00095C78"/>
    <w:rPr>
      <w:sz w:val="20"/>
      <w:szCs w:val="20"/>
    </w:rPr>
  </w:style>
  <w:style w:type="paragraph" w:customStyle="1" w:styleId="StandaardSV">
    <w:name w:val="Standaard SV"/>
    <w:basedOn w:val="Standaard"/>
    <w:rsid w:val="00332727"/>
    <w:pPr>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D2437"/>
    <w:pPr>
      <w:widowControl w:val="0"/>
      <w:spacing w:after="120" w:line="240" w:lineRule="atLeast"/>
      <w:ind w:left="720"/>
      <w:contextualSpacing/>
    </w:pPr>
    <w:rPr>
      <w:rFonts w:ascii="Trebuchet MS" w:hAnsi="Trebuchet MS"/>
      <w:sz w:val="20"/>
      <w:szCs w:val="20"/>
      <w:lang w:val="nl-BE"/>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customStyle="1" w:styleId="SVTitel">
    <w:name w:val="SV Titel"/>
    <w:basedOn w:val="Standaard"/>
    <w:rsid w:val="00AD2437"/>
    <w:pPr>
      <w:jc w:val="both"/>
    </w:pPr>
    <w:rPr>
      <w:i/>
      <w:szCs w:val="20"/>
    </w:rPr>
  </w:style>
  <w:style w:type="character" w:styleId="Hyperlink">
    <w:name w:val="Hyperlink"/>
    <w:basedOn w:val="Standaardalinea-lettertype"/>
    <w:rsid w:val="00AD2437"/>
    <w:rPr>
      <w:color w:val="0000FF"/>
      <w:u w:val="single"/>
    </w:rPr>
  </w:style>
  <w:style w:type="paragraph" w:styleId="Documentstructuur">
    <w:name w:val="Document Map"/>
    <w:basedOn w:val="Standaard"/>
    <w:semiHidden/>
    <w:rsid w:val="009456B5"/>
    <w:pPr>
      <w:shd w:val="clear" w:color="auto" w:fill="000080"/>
    </w:pPr>
    <w:rPr>
      <w:rFonts w:ascii="Tahoma" w:hAnsi="Tahoma" w:cs="Tahoma"/>
      <w:sz w:val="20"/>
      <w:szCs w:val="20"/>
    </w:rPr>
  </w:style>
  <w:style w:type="paragraph" w:customStyle="1" w:styleId="Tekstbrief">
    <w:name w:val="Tekst brief"/>
    <w:basedOn w:val="Tekstopmerking"/>
    <w:semiHidden/>
    <w:rsid w:val="00095C78"/>
    <w:pPr>
      <w:tabs>
        <w:tab w:val="left" w:pos="284"/>
        <w:tab w:val="left" w:pos="567"/>
        <w:tab w:val="left" w:pos="851"/>
        <w:tab w:val="center" w:pos="4394"/>
        <w:tab w:val="right" w:pos="8789"/>
      </w:tabs>
    </w:pPr>
    <w:rPr>
      <w:rFonts w:ascii="Arial" w:hAnsi="Arial"/>
      <w:sz w:val="22"/>
      <w:szCs w:val="22"/>
    </w:rPr>
  </w:style>
  <w:style w:type="table" w:styleId="Tabelraster">
    <w:name w:val="Table Grid"/>
    <w:basedOn w:val="Standaardtabel"/>
    <w:rsid w:val="00095C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opmerking">
    <w:name w:val="annotation text"/>
    <w:basedOn w:val="Standaard"/>
    <w:semiHidden/>
    <w:rsid w:val="00095C78"/>
    <w:rPr>
      <w:sz w:val="20"/>
      <w:szCs w:val="20"/>
    </w:rPr>
  </w:style>
  <w:style w:type="paragraph" w:customStyle="1" w:styleId="StandaardSV">
    <w:name w:val="Standaard SV"/>
    <w:basedOn w:val="Standaard"/>
    <w:rsid w:val="00332727"/>
    <w:pPr>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999</Words>
  <Characters>5993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Antwoord op Schriftelijke Vraag 265</vt:lpstr>
    </vt:vector>
  </TitlesOfParts>
  <Company>Vlaamse Maatschappij voor Sociaal Wonen</Company>
  <LinksUpToDate>false</LinksUpToDate>
  <CharactersWithSpaces>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 265</dc:title>
  <dc:subject>Antwoord op Schriftelijke Vraag</dc:subject>
  <dc:creator>ed1419</dc:creator>
  <cp:lastModifiedBy>Nathalie De Keyzer</cp:lastModifiedBy>
  <cp:revision>3</cp:revision>
  <cp:lastPrinted>2014-01-21T13:29:00Z</cp:lastPrinted>
  <dcterms:created xsi:type="dcterms:W3CDTF">2014-01-28T14:57:00Z</dcterms:created>
  <dcterms:modified xsi:type="dcterms:W3CDTF">2014-01-31T13:21:00Z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2010-05-10T00:00:00Z</vt:lpwstr>
  </property>
  <property fmtid="{D5CDD505-2E9C-101B-9397-08002B2CF9AE}" pid="3" name="Kenmerk">
    <vt:lpwstr/>
  </property>
  <property fmtid="{D5CDD505-2E9C-101B-9397-08002B2CF9AE}" pid="4" name="NaamAfzender">
    <vt:lpwstr>&lt;div&gt;&lt;/div&gt;</vt:lpwstr>
  </property>
  <property fmtid="{D5CDD505-2E9C-101B-9397-08002B2CF9AE}" pid="5" name="AardVanVerzoek">
    <vt:lpwstr/>
  </property>
  <property fmtid="{D5CDD505-2E9C-101B-9397-08002B2CF9AE}" pid="6" name="Extra Opmerkingen">
    <vt:lpwstr>&lt;div&gt;&lt;/div&gt;</vt:lpwstr>
  </property>
  <property fmtid="{D5CDD505-2E9C-101B-9397-08002B2CF9AE}" pid="7" name="AntwoordBinnenDertigDagen">
    <vt:lpwstr>0</vt:lpwstr>
  </property>
  <property fmtid="{D5CDD505-2E9C-101B-9397-08002B2CF9AE}" pid="8" name="Finaal Antwoord">
    <vt:lpwstr>0</vt:lpwstr>
  </property>
  <property fmtid="{D5CDD505-2E9C-101B-9397-08002B2CF9AE}" pid="9" name="ContentType">
    <vt:lpwstr>RWO Document</vt:lpwstr>
  </property>
  <property fmtid="{D5CDD505-2E9C-101B-9397-08002B2CF9AE}" pid="10" name="AanduidenVanInstantie">
    <vt:lpwstr>;#Departement RWO;#</vt:lpwstr>
  </property>
</Properties>
</file>