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77C" w:rsidRPr="00A8473D" w:rsidRDefault="00F1077C" w:rsidP="00F1077C">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 xml:space="preserve">kris </w:t>
      </w:r>
      <w:proofErr w:type="spellStart"/>
      <w:r w:rsidRPr="00A8473D">
        <w:rPr>
          <w:rFonts w:ascii="Times New Roman Vet" w:hAnsi="Times New Roman Vet"/>
          <w:b/>
          <w:smallCaps/>
          <w:sz w:val="22"/>
          <w:szCs w:val="22"/>
          <w:lang w:val="nl-BE"/>
        </w:rPr>
        <w:t>peeters</w:t>
      </w:r>
      <w:proofErr w:type="spellEnd"/>
    </w:p>
    <w:p w:rsidR="00F1077C" w:rsidRPr="00A8473D" w:rsidRDefault="00F1077C" w:rsidP="00F1077C">
      <w:pPr>
        <w:jc w:val="both"/>
        <w:rPr>
          <w:smallCaps/>
          <w:sz w:val="22"/>
          <w:szCs w:val="22"/>
          <w:lang w:val="nl-BE"/>
        </w:rPr>
      </w:pPr>
      <w:r w:rsidRPr="00A8473D">
        <w:rPr>
          <w:smallCaps/>
          <w:sz w:val="22"/>
          <w:szCs w:val="22"/>
          <w:lang w:val="nl-BE"/>
        </w:rPr>
        <w:t xml:space="preserve">minister-president van de </w:t>
      </w:r>
      <w:proofErr w:type="spellStart"/>
      <w:r w:rsidRPr="00A8473D">
        <w:rPr>
          <w:smallCaps/>
          <w:sz w:val="22"/>
          <w:szCs w:val="22"/>
          <w:lang w:val="nl-BE"/>
        </w:rPr>
        <w:t>vlaamse</w:t>
      </w:r>
      <w:proofErr w:type="spellEnd"/>
      <w:r w:rsidRPr="00A8473D">
        <w:rPr>
          <w:smallCaps/>
          <w:sz w:val="22"/>
          <w:szCs w:val="22"/>
          <w:lang w:val="nl-BE"/>
        </w:rPr>
        <w:t xml:space="preserve"> regering, </w:t>
      </w:r>
      <w:proofErr w:type="spellStart"/>
      <w:r w:rsidRPr="00A8473D">
        <w:rPr>
          <w:smallCaps/>
          <w:sz w:val="22"/>
          <w:szCs w:val="22"/>
          <w:lang w:val="nl-BE"/>
        </w:rPr>
        <w:t>vlaams</w:t>
      </w:r>
      <w:proofErr w:type="spellEnd"/>
      <w:r w:rsidRPr="00A8473D">
        <w:rPr>
          <w:smallCaps/>
          <w:sz w:val="22"/>
          <w:szCs w:val="22"/>
          <w:lang w:val="nl-BE"/>
        </w:rPr>
        <w:t xml:space="preserve"> minister van economie, buitenlands beleid, landbouw en plattelandsbeleid</w:t>
      </w:r>
    </w:p>
    <w:p w:rsidR="00F1077C" w:rsidRPr="00DE405B" w:rsidRDefault="00F1077C" w:rsidP="00F1077C">
      <w:pPr>
        <w:pStyle w:val="StandaardSV"/>
        <w:pBdr>
          <w:bottom w:val="single" w:sz="4" w:space="1" w:color="auto"/>
        </w:pBdr>
        <w:rPr>
          <w:lang w:val="nl-BE"/>
        </w:rPr>
      </w:pPr>
    </w:p>
    <w:p w:rsidR="00F1077C" w:rsidRDefault="00F1077C" w:rsidP="00F1077C">
      <w:pPr>
        <w:jc w:val="both"/>
        <w:rPr>
          <w:sz w:val="22"/>
        </w:rPr>
      </w:pPr>
    </w:p>
    <w:p w:rsidR="00204C75" w:rsidRPr="00540D6C" w:rsidRDefault="00204C75" w:rsidP="00F1077C">
      <w:pPr>
        <w:jc w:val="both"/>
        <w:outlineLvl w:val="0"/>
        <w:rPr>
          <w:rFonts w:ascii="Times New Roman Vet" w:hAnsi="Times New Roman Vet"/>
          <w:b/>
          <w:smallCaps/>
          <w:sz w:val="22"/>
          <w:szCs w:val="22"/>
          <w:lang w:val="nl-BE"/>
        </w:rPr>
      </w:pPr>
      <w:r w:rsidRPr="00540D6C">
        <w:rPr>
          <w:rFonts w:ascii="Times New Roman Vet" w:hAnsi="Times New Roman Vet"/>
          <w:b/>
          <w:smallCaps/>
          <w:sz w:val="22"/>
          <w:szCs w:val="22"/>
          <w:lang w:val="nl-BE"/>
        </w:rPr>
        <w:t>antwoord</w:t>
      </w:r>
    </w:p>
    <w:p w:rsidR="00F1077C" w:rsidRDefault="00204C75" w:rsidP="00204C75">
      <w:pPr>
        <w:jc w:val="both"/>
        <w:outlineLvl w:val="0"/>
        <w:rPr>
          <w:sz w:val="22"/>
        </w:rPr>
      </w:pPr>
      <w:r>
        <w:rPr>
          <w:sz w:val="22"/>
        </w:rPr>
        <w:t>op v</w:t>
      </w:r>
      <w:r w:rsidR="00F1077C">
        <w:rPr>
          <w:sz w:val="22"/>
        </w:rPr>
        <w:t>raag nr. 177</w:t>
      </w:r>
      <w:r>
        <w:rPr>
          <w:sz w:val="22"/>
        </w:rPr>
        <w:t xml:space="preserve"> </w:t>
      </w:r>
      <w:r w:rsidR="00F1077C">
        <w:rPr>
          <w:sz w:val="22"/>
        </w:rPr>
        <w:t>van 29 november 2013</w:t>
      </w:r>
    </w:p>
    <w:p w:rsidR="00F1077C" w:rsidRDefault="00F1077C" w:rsidP="00F1077C">
      <w:pPr>
        <w:jc w:val="both"/>
        <w:rPr>
          <w:b/>
          <w:sz w:val="22"/>
        </w:rPr>
      </w:pPr>
      <w:r>
        <w:rPr>
          <w:sz w:val="22"/>
        </w:rPr>
        <w:t xml:space="preserve">van </w:t>
      </w:r>
      <w:proofErr w:type="spellStart"/>
      <w:r>
        <w:rPr>
          <w:b/>
          <w:smallCaps/>
          <w:sz w:val="22"/>
        </w:rPr>
        <w:t>karim</w:t>
      </w:r>
      <w:proofErr w:type="spellEnd"/>
      <w:r>
        <w:rPr>
          <w:b/>
          <w:smallCaps/>
          <w:sz w:val="22"/>
        </w:rPr>
        <w:t xml:space="preserve"> van </w:t>
      </w:r>
      <w:proofErr w:type="spellStart"/>
      <w:r>
        <w:rPr>
          <w:b/>
          <w:smallCaps/>
          <w:sz w:val="22"/>
        </w:rPr>
        <w:t>overmeire</w:t>
      </w:r>
      <w:proofErr w:type="spellEnd"/>
    </w:p>
    <w:p w:rsidR="00F1077C" w:rsidRDefault="00F1077C" w:rsidP="00F1077C">
      <w:pPr>
        <w:pBdr>
          <w:bottom w:val="single" w:sz="4" w:space="1" w:color="auto"/>
        </w:pBdr>
        <w:jc w:val="both"/>
        <w:rPr>
          <w:sz w:val="22"/>
        </w:rPr>
      </w:pPr>
    </w:p>
    <w:p w:rsidR="00F1077C" w:rsidRDefault="00F1077C" w:rsidP="00F1077C">
      <w:pPr>
        <w:pStyle w:val="StandaardSV"/>
      </w:pPr>
    </w:p>
    <w:p w:rsidR="00F1077C" w:rsidRDefault="00F1077C" w:rsidP="00F1077C">
      <w:pPr>
        <w:pStyle w:val="StandaardSV"/>
      </w:pPr>
    </w:p>
    <w:p w:rsidR="00EF2F2A" w:rsidRDefault="00C42D4A" w:rsidP="00EF2F2A">
      <w:pPr>
        <w:pStyle w:val="StandaardSV"/>
        <w:numPr>
          <w:ilvl w:val="0"/>
          <w:numId w:val="1"/>
        </w:numPr>
        <w:ind w:left="360"/>
      </w:pPr>
      <w:r>
        <w:t>Hieronder volgt</w:t>
      </w:r>
      <w:r w:rsidR="00F1077C">
        <w:t xml:space="preserve"> een overzicht</w:t>
      </w:r>
      <w:r>
        <w:t xml:space="preserve"> van de meldingen d</w:t>
      </w:r>
      <w:r w:rsidR="00F1077C">
        <w:t xml:space="preserve">ie op jaarbasis </w:t>
      </w:r>
      <w:r w:rsidR="00BF5351">
        <w:t xml:space="preserve">(tussen 2007 en 2013) </w:t>
      </w:r>
      <w:r>
        <w:t xml:space="preserve">zijn </w:t>
      </w:r>
      <w:r w:rsidR="00F1077C">
        <w:t>binnengekomen bij het Meldpunt Handelsbelemmeringen</w:t>
      </w:r>
      <w:r>
        <w:t xml:space="preserve"> van </w:t>
      </w:r>
      <w:proofErr w:type="spellStart"/>
      <w:r w:rsidRPr="00C42D4A">
        <w:rPr>
          <w:i/>
        </w:rPr>
        <w:t>Flanders</w:t>
      </w:r>
      <w:proofErr w:type="spellEnd"/>
      <w:r w:rsidRPr="00C42D4A">
        <w:rPr>
          <w:i/>
        </w:rPr>
        <w:t xml:space="preserve"> Investment &amp; Trade </w:t>
      </w:r>
      <w:r>
        <w:t>(FIT)</w:t>
      </w:r>
      <w:r w:rsidR="009A6CC4">
        <w:t>.</w:t>
      </w:r>
      <w:r w:rsidR="00EF2F2A">
        <w:t xml:space="preserve"> De tabel omvat</w:t>
      </w:r>
      <w:r w:rsidR="00EF2F2A" w:rsidRPr="00BF5351">
        <w:t xml:space="preserve"> </w:t>
      </w:r>
      <w:r w:rsidR="00EF2F2A">
        <w:t>alle meldingen, met name zowel de echte handelsbelemmeringen als de meldingen die na nader onderzoek geen handelsbelemmeringen bleken te zijn.</w:t>
      </w:r>
    </w:p>
    <w:p w:rsidR="00C42D4A" w:rsidRDefault="00C42D4A" w:rsidP="00C42D4A">
      <w:pPr>
        <w:pStyle w:val="StandaardSV"/>
      </w:pPr>
    </w:p>
    <w:tbl>
      <w:tblPr>
        <w:tblStyle w:val="Tabelraster"/>
        <w:tblW w:w="0" w:type="auto"/>
        <w:jc w:val="center"/>
        <w:tblInd w:w="-304" w:type="dxa"/>
        <w:tblLook w:val="04A0" w:firstRow="1" w:lastRow="0" w:firstColumn="1" w:lastColumn="0" w:noHBand="0" w:noVBand="1"/>
      </w:tblPr>
      <w:tblGrid>
        <w:gridCol w:w="960"/>
        <w:gridCol w:w="436"/>
      </w:tblGrid>
      <w:tr w:rsidR="00540D6C" w:rsidTr="005C2AF5">
        <w:trPr>
          <w:jc w:val="center"/>
        </w:trPr>
        <w:tc>
          <w:tcPr>
            <w:tcW w:w="960" w:type="dxa"/>
          </w:tcPr>
          <w:p w:rsidR="00540D6C" w:rsidRPr="00FB2C2B" w:rsidRDefault="00540D6C" w:rsidP="005C2AF5">
            <w:pPr>
              <w:pStyle w:val="StandaardSV"/>
              <w:rPr>
                <w:b/>
              </w:rPr>
            </w:pPr>
            <w:r w:rsidRPr="00FB2C2B">
              <w:rPr>
                <w:b/>
              </w:rPr>
              <w:t>2007</w:t>
            </w:r>
          </w:p>
        </w:tc>
        <w:tc>
          <w:tcPr>
            <w:tcW w:w="0" w:type="auto"/>
          </w:tcPr>
          <w:p w:rsidR="00540D6C" w:rsidRDefault="00540D6C" w:rsidP="005C2AF5">
            <w:pPr>
              <w:pStyle w:val="StandaardSV"/>
            </w:pPr>
            <w:r>
              <w:t>4</w:t>
            </w:r>
          </w:p>
        </w:tc>
      </w:tr>
      <w:tr w:rsidR="00540D6C" w:rsidTr="005C2AF5">
        <w:trPr>
          <w:jc w:val="center"/>
        </w:trPr>
        <w:tc>
          <w:tcPr>
            <w:tcW w:w="960" w:type="dxa"/>
          </w:tcPr>
          <w:p w:rsidR="00540D6C" w:rsidRPr="00FB2C2B" w:rsidRDefault="00540D6C" w:rsidP="005C2AF5">
            <w:pPr>
              <w:pStyle w:val="StandaardSV"/>
              <w:rPr>
                <w:b/>
              </w:rPr>
            </w:pPr>
            <w:r w:rsidRPr="00FB2C2B">
              <w:rPr>
                <w:b/>
              </w:rPr>
              <w:t>2008</w:t>
            </w:r>
          </w:p>
        </w:tc>
        <w:tc>
          <w:tcPr>
            <w:tcW w:w="0" w:type="auto"/>
          </w:tcPr>
          <w:p w:rsidR="00540D6C" w:rsidRDefault="00540D6C" w:rsidP="005C2AF5">
            <w:pPr>
              <w:pStyle w:val="StandaardSV"/>
            </w:pPr>
            <w:r>
              <w:t>5</w:t>
            </w:r>
          </w:p>
        </w:tc>
      </w:tr>
      <w:tr w:rsidR="00540D6C" w:rsidTr="005C2AF5">
        <w:trPr>
          <w:jc w:val="center"/>
        </w:trPr>
        <w:tc>
          <w:tcPr>
            <w:tcW w:w="960" w:type="dxa"/>
          </w:tcPr>
          <w:p w:rsidR="00540D6C" w:rsidRPr="00FB2C2B" w:rsidRDefault="00540D6C" w:rsidP="005C2AF5">
            <w:pPr>
              <w:pStyle w:val="StandaardSV"/>
              <w:rPr>
                <w:b/>
              </w:rPr>
            </w:pPr>
            <w:r w:rsidRPr="00FB2C2B">
              <w:rPr>
                <w:b/>
              </w:rPr>
              <w:t>2009</w:t>
            </w:r>
          </w:p>
        </w:tc>
        <w:tc>
          <w:tcPr>
            <w:tcW w:w="0" w:type="auto"/>
          </w:tcPr>
          <w:p w:rsidR="00540D6C" w:rsidRDefault="00540D6C" w:rsidP="005C2AF5">
            <w:pPr>
              <w:pStyle w:val="StandaardSV"/>
            </w:pPr>
            <w:r>
              <w:t>4</w:t>
            </w:r>
          </w:p>
        </w:tc>
      </w:tr>
      <w:tr w:rsidR="00540D6C" w:rsidTr="005C2AF5">
        <w:trPr>
          <w:jc w:val="center"/>
        </w:trPr>
        <w:tc>
          <w:tcPr>
            <w:tcW w:w="960" w:type="dxa"/>
          </w:tcPr>
          <w:p w:rsidR="00540D6C" w:rsidRPr="00FB2C2B" w:rsidRDefault="00540D6C" w:rsidP="005C2AF5">
            <w:pPr>
              <w:pStyle w:val="StandaardSV"/>
              <w:rPr>
                <w:b/>
              </w:rPr>
            </w:pPr>
            <w:r w:rsidRPr="00FB2C2B">
              <w:rPr>
                <w:b/>
              </w:rPr>
              <w:t>2010</w:t>
            </w:r>
          </w:p>
        </w:tc>
        <w:tc>
          <w:tcPr>
            <w:tcW w:w="0" w:type="auto"/>
          </w:tcPr>
          <w:p w:rsidR="00540D6C" w:rsidRDefault="00540D6C" w:rsidP="005C2AF5">
            <w:pPr>
              <w:pStyle w:val="StandaardSV"/>
            </w:pPr>
            <w:r>
              <w:t>19</w:t>
            </w:r>
          </w:p>
        </w:tc>
      </w:tr>
      <w:tr w:rsidR="00540D6C" w:rsidTr="005C2AF5">
        <w:trPr>
          <w:jc w:val="center"/>
        </w:trPr>
        <w:tc>
          <w:tcPr>
            <w:tcW w:w="960" w:type="dxa"/>
          </w:tcPr>
          <w:p w:rsidR="00540D6C" w:rsidRPr="00FB2C2B" w:rsidRDefault="00540D6C" w:rsidP="005C2AF5">
            <w:pPr>
              <w:pStyle w:val="StandaardSV"/>
              <w:rPr>
                <w:b/>
              </w:rPr>
            </w:pPr>
            <w:r w:rsidRPr="00FB2C2B">
              <w:rPr>
                <w:b/>
              </w:rPr>
              <w:t>2011</w:t>
            </w:r>
          </w:p>
        </w:tc>
        <w:tc>
          <w:tcPr>
            <w:tcW w:w="0" w:type="auto"/>
          </w:tcPr>
          <w:p w:rsidR="00540D6C" w:rsidRDefault="00540D6C" w:rsidP="005C2AF5">
            <w:pPr>
              <w:pStyle w:val="StandaardSV"/>
            </w:pPr>
            <w:r>
              <w:t>14</w:t>
            </w:r>
          </w:p>
        </w:tc>
      </w:tr>
      <w:tr w:rsidR="00540D6C" w:rsidTr="005C2AF5">
        <w:trPr>
          <w:jc w:val="center"/>
        </w:trPr>
        <w:tc>
          <w:tcPr>
            <w:tcW w:w="960" w:type="dxa"/>
          </w:tcPr>
          <w:p w:rsidR="00540D6C" w:rsidRPr="00FB2C2B" w:rsidRDefault="00540D6C" w:rsidP="005C2AF5">
            <w:pPr>
              <w:pStyle w:val="StandaardSV"/>
              <w:rPr>
                <w:b/>
              </w:rPr>
            </w:pPr>
            <w:r w:rsidRPr="00FB2C2B">
              <w:rPr>
                <w:b/>
              </w:rPr>
              <w:t>2012</w:t>
            </w:r>
          </w:p>
        </w:tc>
        <w:tc>
          <w:tcPr>
            <w:tcW w:w="0" w:type="auto"/>
          </w:tcPr>
          <w:p w:rsidR="00540D6C" w:rsidRDefault="00540D6C" w:rsidP="005C2AF5">
            <w:pPr>
              <w:pStyle w:val="StandaardSV"/>
            </w:pPr>
            <w:r>
              <w:t>16</w:t>
            </w:r>
          </w:p>
        </w:tc>
      </w:tr>
      <w:tr w:rsidR="00540D6C" w:rsidTr="005C2AF5">
        <w:trPr>
          <w:jc w:val="center"/>
        </w:trPr>
        <w:tc>
          <w:tcPr>
            <w:tcW w:w="960" w:type="dxa"/>
          </w:tcPr>
          <w:p w:rsidR="00540D6C" w:rsidRPr="00FB2C2B" w:rsidRDefault="00540D6C" w:rsidP="005C2AF5">
            <w:pPr>
              <w:pStyle w:val="StandaardSV"/>
              <w:rPr>
                <w:b/>
              </w:rPr>
            </w:pPr>
            <w:r w:rsidRPr="00FB2C2B">
              <w:rPr>
                <w:b/>
              </w:rPr>
              <w:t>2013</w:t>
            </w:r>
          </w:p>
        </w:tc>
        <w:tc>
          <w:tcPr>
            <w:tcW w:w="0" w:type="auto"/>
          </w:tcPr>
          <w:p w:rsidR="00540D6C" w:rsidRDefault="00540D6C" w:rsidP="005C2AF5">
            <w:pPr>
              <w:pStyle w:val="StandaardSV"/>
            </w:pPr>
            <w:r>
              <w:t>8</w:t>
            </w:r>
          </w:p>
        </w:tc>
      </w:tr>
    </w:tbl>
    <w:p w:rsidR="00540D6C" w:rsidRDefault="00540D6C" w:rsidP="00F1077C">
      <w:pPr>
        <w:pStyle w:val="StandaardSV"/>
      </w:pPr>
    </w:p>
    <w:p w:rsidR="00540D6C" w:rsidRDefault="00EB0812" w:rsidP="0023449C">
      <w:pPr>
        <w:pStyle w:val="StandaardSV"/>
        <w:numPr>
          <w:ilvl w:val="0"/>
          <w:numId w:val="1"/>
        </w:numPr>
        <w:ind w:left="360"/>
      </w:pPr>
      <w:r w:rsidRPr="00EB0812">
        <w:t>Het voorbije jaar kreeg FIT acht meldingen die als markttoegangsproblemen gecategoriseerd konden worden. Voor elke melding werd een dossier opgemaakt. Waar opportuun, werd het vastgestelde probleem door de Permanente Vertegenwoordiging bij de EU aangekaart bij de Europese Commissie. Vlaanderen gebruikt ook een aantal eigen instrumenten. De V</w:t>
      </w:r>
      <w:r>
        <w:t>laamse Economische Vertegenwoordigers</w:t>
      </w:r>
      <w:r w:rsidRPr="00EB0812">
        <w:t xml:space="preserve"> worden steevast ingeschakeld bij het wegwerken van deze handelsbelemmeringen en tijdens mijn ontmoetingen met ambassadeurs, buitenlandse ministers en staatshoofden tracht ik eveneens handelsbelemmeringen te </w:t>
      </w:r>
      <w:proofErr w:type="spellStart"/>
      <w:r w:rsidRPr="00EB0812">
        <w:t>bespreken.</w:t>
      </w:r>
      <w:r w:rsidR="00BF5351">
        <w:t>Om</w:t>
      </w:r>
      <w:proofErr w:type="spellEnd"/>
      <w:r w:rsidR="00BF5351">
        <w:t xml:space="preserve"> de bekendheid van h</w:t>
      </w:r>
      <w:r w:rsidR="00540D6C">
        <w:t xml:space="preserve">et Meldpunt </w:t>
      </w:r>
      <w:r w:rsidR="00BF5351">
        <w:t xml:space="preserve"> te bevorderen, </w:t>
      </w:r>
      <w:r w:rsidR="00540D6C">
        <w:t>is</w:t>
      </w:r>
      <w:r w:rsidR="00BF5351">
        <w:t xml:space="preserve"> het Meldpunt</w:t>
      </w:r>
      <w:r w:rsidR="00540D6C">
        <w:t xml:space="preserve"> opgenomen in de standaardcommunicatie van FIT naar bedrijven toe.</w:t>
      </w:r>
      <w:r w:rsidR="00C30908">
        <w:t xml:space="preserve"> </w:t>
      </w:r>
      <w:r>
        <w:t xml:space="preserve">Het </w:t>
      </w:r>
      <w:r w:rsidR="00C30908">
        <w:t>‘Meldpunt handelsbelemmeringen’ wordt vermeld op de FIT-website. Het is</w:t>
      </w:r>
      <w:r w:rsidR="00540D6C" w:rsidRPr="00FB2C2B">
        <w:t xml:space="preserve"> samen met ‘Acties en events’ en ‘Subsidies’, twee items die een sterke aantrekkingskracht uitoefenen op de bezoeker van de FIT</w:t>
      </w:r>
      <w:r w:rsidR="000E4560">
        <w:t>-</w:t>
      </w:r>
      <w:r w:rsidR="00540D6C" w:rsidRPr="00FB2C2B">
        <w:t>website</w:t>
      </w:r>
      <w:r w:rsidR="00C30908">
        <w:t>, zichtbaar onder het hoofdstuk ‘Hefbomen’</w:t>
      </w:r>
      <w:r w:rsidR="00540D6C" w:rsidRPr="00FB2C2B">
        <w:t>.</w:t>
      </w:r>
      <w:r w:rsidR="00540D6C">
        <w:t xml:space="preserve"> Bij hun bedrijfsbezoeken kunnen de Adviseurs Internationaal Onder</w:t>
      </w:r>
      <w:r w:rsidR="00BF5351">
        <w:t xml:space="preserve">nemen </w:t>
      </w:r>
      <w:r w:rsidR="00540D6C" w:rsidRPr="00FB2C2B">
        <w:t>gebruik maken van de specifieke folder over handelsbelemmeringen (‘</w:t>
      </w:r>
      <w:r w:rsidR="00540D6C" w:rsidRPr="0023449C">
        <w:rPr>
          <w:i/>
        </w:rPr>
        <w:t xml:space="preserve">Drempels in uw zakenverkeer? Meld handelsbelemmeringen buiten de EU aan </w:t>
      </w:r>
      <w:proofErr w:type="spellStart"/>
      <w:r w:rsidR="00540D6C" w:rsidRPr="0023449C">
        <w:rPr>
          <w:i/>
        </w:rPr>
        <w:t>Flanders</w:t>
      </w:r>
      <w:proofErr w:type="spellEnd"/>
      <w:r w:rsidR="00540D6C" w:rsidRPr="0023449C">
        <w:rPr>
          <w:i/>
        </w:rPr>
        <w:t xml:space="preserve"> Investment &amp; Trade’</w:t>
      </w:r>
      <w:r w:rsidR="00540D6C" w:rsidRPr="00FB2C2B">
        <w:t>).</w:t>
      </w:r>
      <w:r w:rsidR="00540D6C">
        <w:t xml:space="preserve"> </w:t>
      </w:r>
      <w:r w:rsidR="00EF2F2A">
        <w:t xml:space="preserve">De folder wordt ook </w:t>
      </w:r>
      <w:r w:rsidR="00540D6C" w:rsidRPr="00FB2C2B">
        <w:t xml:space="preserve">ter beschikking gesteld </w:t>
      </w:r>
      <w:r w:rsidR="00EF2F2A">
        <w:t xml:space="preserve">op seminaries </w:t>
      </w:r>
      <w:r w:rsidR="00540D6C" w:rsidRPr="00FB2C2B">
        <w:t>en aan de ondernemingen bezorgd tijdens contact</w:t>
      </w:r>
      <w:r w:rsidR="00EF2F2A">
        <w:t>-</w:t>
      </w:r>
      <w:r w:rsidR="00540D6C" w:rsidRPr="00FB2C2B">
        <w:t xml:space="preserve"> en exportdagen.</w:t>
      </w:r>
    </w:p>
    <w:p w:rsidR="00540D6C" w:rsidRDefault="00540D6C" w:rsidP="0003315A">
      <w:pPr>
        <w:pStyle w:val="StandaardSV"/>
        <w:ind w:left="360"/>
      </w:pPr>
    </w:p>
    <w:p w:rsidR="004B3FD2" w:rsidRPr="004B3FD2" w:rsidRDefault="004B3FD2" w:rsidP="004B3FD2">
      <w:pPr>
        <w:pStyle w:val="StandaardSV"/>
        <w:ind w:left="360"/>
      </w:pPr>
      <w:r>
        <w:t>Ondanks deze</w:t>
      </w:r>
      <w:r w:rsidRPr="004B3FD2">
        <w:t xml:space="preserve"> sensibilisering van ondernemingen om problemen op andere markten te melden, blijft het vooral voor </w:t>
      </w:r>
      <w:proofErr w:type="spellStart"/>
      <w:r w:rsidRPr="004B3FD2">
        <w:t>KMO’s</w:t>
      </w:r>
      <w:proofErr w:type="spellEnd"/>
      <w:r w:rsidRPr="004B3FD2">
        <w:t xml:space="preserve"> moeilijk om over te gaan tot het melden van een handelsbelemmering. De relatief lange doorloopperiode van een dossier </w:t>
      </w:r>
      <w:r>
        <w:t xml:space="preserve">(tot een oplossing tot stand komt) </w:t>
      </w:r>
      <w:r w:rsidRPr="004B3FD2">
        <w:t>en de noodz</w:t>
      </w:r>
      <w:bookmarkStart w:id="0" w:name="_GoBack"/>
      <w:bookmarkEnd w:id="0"/>
      <w:r w:rsidRPr="004B3FD2">
        <w:t>aak om concrete aanwijzingen voor te leggen, doen bedrijven aarzelen om in de openbaarheid te komen.</w:t>
      </w:r>
    </w:p>
    <w:p w:rsidR="00E10F16" w:rsidRDefault="00540D6C" w:rsidP="00EF2F2A">
      <w:pPr>
        <w:pStyle w:val="StandaardSV"/>
        <w:ind w:left="360"/>
      </w:pPr>
      <w:r>
        <w:t xml:space="preserve">Mijn diensten voeren </w:t>
      </w:r>
      <w:r w:rsidR="00621E35">
        <w:t>momenteel</w:t>
      </w:r>
      <w:r>
        <w:t xml:space="preserve"> een analyse uit van de werking van het Meldpunt </w:t>
      </w:r>
      <w:r w:rsidR="009C474B">
        <w:t xml:space="preserve">met de bedoeling </w:t>
      </w:r>
      <w:r w:rsidR="009C474B" w:rsidRPr="009C474B">
        <w:t>het oplossen van handelsbelemmeringen te bevorderen</w:t>
      </w:r>
      <w:r w:rsidR="00EF2F2A">
        <w:t xml:space="preserve">. </w:t>
      </w:r>
    </w:p>
    <w:sectPr w:rsidR="00E10F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C2E41"/>
    <w:multiLevelType w:val="hybridMultilevel"/>
    <w:tmpl w:val="4A8664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40193587"/>
    <w:multiLevelType w:val="hybridMultilevel"/>
    <w:tmpl w:val="89C2765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7C"/>
    <w:rsid w:val="0003315A"/>
    <w:rsid w:val="000E4560"/>
    <w:rsid w:val="0011480F"/>
    <w:rsid w:val="00204C75"/>
    <w:rsid w:val="0023449C"/>
    <w:rsid w:val="00401950"/>
    <w:rsid w:val="004B3FD2"/>
    <w:rsid w:val="00540D6C"/>
    <w:rsid w:val="00576D15"/>
    <w:rsid w:val="00621E35"/>
    <w:rsid w:val="00990ACF"/>
    <w:rsid w:val="009A6CC4"/>
    <w:rsid w:val="009C474B"/>
    <w:rsid w:val="00B34840"/>
    <w:rsid w:val="00BF5351"/>
    <w:rsid w:val="00C30908"/>
    <w:rsid w:val="00C42D4A"/>
    <w:rsid w:val="00DC4830"/>
    <w:rsid w:val="00E10F16"/>
    <w:rsid w:val="00EB0812"/>
    <w:rsid w:val="00EF2F2A"/>
    <w:rsid w:val="00F1077C"/>
    <w:rsid w:val="00F74A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077C"/>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F1077C"/>
    <w:pPr>
      <w:jc w:val="both"/>
    </w:pPr>
    <w:rPr>
      <w:b/>
      <w:smallCaps/>
      <w:sz w:val="22"/>
    </w:rPr>
  </w:style>
  <w:style w:type="paragraph" w:customStyle="1" w:styleId="StandaardSV">
    <w:name w:val="Standaard SV"/>
    <w:basedOn w:val="Standaard"/>
    <w:rsid w:val="00F1077C"/>
    <w:pPr>
      <w:jc w:val="both"/>
    </w:pPr>
    <w:rPr>
      <w:sz w:val="22"/>
    </w:rPr>
  </w:style>
  <w:style w:type="table" w:styleId="Tabelraster">
    <w:name w:val="Table Grid"/>
    <w:basedOn w:val="Standaardtabel"/>
    <w:uiPriority w:val="59"/>
    <w:rsid w:val="00540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401950"/>
    <w:rPr>
      <w:sz w:val="16"/>
      <w:szCs w:val="16"/>
    </w:rPr>
  </w:style>
  <w:style w:type="paragraph" w:styleId="Tekstopmerking">
    <w:name w:val="annotation text"/>
    <w:basedOn w:val="Standaard"/>
    <w:link w:val="TekstopmerkingChar"/>
    <w:uiPriority w:val="99"/>
    <w:semiHidden/>
    <w:unhideWhenUsed/>
    <w:rsid w:val="00401950"/>
    <w:rPr>
      <w:sz w:val="20"/>
    </w:rPr>
  </w:style>
  <w:style w:type="character" w:customStyle="1" w:styleId="TekstopmerkingChar">
    <w:name w:val="Tekst opmerking Char"/>
    <w:basedOn w:val="Standaardalinea-lettertype"/>
    <w:link w:val="Tekstopmerking"/>
    <w:uiPriority w:val="99"/>
    <w:semiHidden/>
    <w:rsid w:val="00401950"/>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401950"/>
    <w:rPr>
      <w:b/>
      <w:bCs/>
    </w:rPr>
  </w:style>
  <w:style w:type="character" w:customStyle="1" w:styleId="OnderwerpvanopmerkingChar">
    <w:name w:val="Onderwerp van opmerking Char"/>
    <w:basedOn w:val="TekstopmerkingChar"/>
    <w:link w:val="Onderwerpvanopmerking"/>
    <w:uiPriority w:val="99"/>
    <w:semiHidden/>
    <w:rsid w:val="00401950"/>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401950"/>
    <w:rPr>
      <w:rFonts w:ascii="Tahoma" w:hAnsi="Tahoma" w:cs="Tahoma"/>
      <w:sz w:val="16"/>
      <w:szCs w:val="16"/>
    </w:rPr>
  </w:style>
  <w:style w:type="character" w:customStyle="1" w:styleId="BallontekstChar">
    <w:name w:val="Ballontekst Char"/>
    <w:basedOn w:val="Standaardalinea-lettertype"/>
    <w:link w:val="Ballontekst"/>
    <w:uiPriority w:val="99"/>
    <w:semiHidden/>
    <w:rsid w:val="00401950"/>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077C"/>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F1077C"/>
    <w:pPr>
      <w:jc w:val="both"/>
    </w:pPr>
    <w:rPr>
      <w:b/>
      <w:smallCaps/>
      <w:sz w:val="22"/>
    </w:rPr>
  </w:style>
  <w:style w:type="paragraph" w:customStyle="1" w:styleId="StandaardSV">
    <w:name w:val="Standaard SV"/>
    <w:basedOn w:val="Standaard"/>
    <w:rsid w:val="00F1077C"/>
    <w:pPr>
      <w:jc w:val="both"/>
    </w:pPr>
    <w:rPr>
      <w:sz w:val="22"/>
    </w:rPr>
  </w:style>
  <w:style w:type="table" w:styleId="Tabelraster">
    <w:name w:val="Table Grid"/>
    <w:basedOn w:val="Standaardtabel"/>
    <w:uiPriority w:val="59"/>
    <w:rsid w:val="00540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401950"/>
    <w:rPr>
      <w:sz w:val="16"/>
      <w:szCs w:val="16"/>
    </w:rPr>
  </w:style>
  <w:style w:type="paragraph" w:styleId="Tekstopmerking">
    <w:name w:val="annotation text"/>
    <w:basedOn w:val="Standaard"/>
    <w:link w:val="TekstopmerkingChar"/>
    <w:uiPriority w:val="99"/>
    <w:semiHidden/>
    <w:unhideWhenUsed/>
    <w:rsid w:val="00401950"/>
    <w:rPr>
      <w:sz w:val="20"/>
    </w:rPr>
  </w:style>
  <w:style w:type="character" w:customStyle="1" w:styleId="TekstopmerkingChar">
    <w:name w:val="Tekst opmerking Char"/>
    <w:basedOn w:val="Standaardalinea-lettertype"/>
    <w:link w:val="Tekstopmerking"/>
    <w:uiPriority w:val="99"/>
    <w:semiHidden/>
    <w:rsid w:val="00401950"/>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401950"/>
    <w:rPr>
      <w:b/>
      <w:bCs/>
    </w:rPr>
  </w:style>
  <w:style w:type="character" w:customStyle="1" w:styleId="OnderwerpvanopmerkingChar">
    <w:name w:val="Onderwerp van opmerking Char"/>
    <w:basedOn w:val="TekstopmerkingChar"/>
    <w:link w:val="Onderwerpvanopmerking"/>
    <w:uiPriority w:val="99"/>
    <w:semiHidden/>
    <w:rsid w:val="00401950"/>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401950"/>
    <w:rPr>
      <w:rFonts w:ascii="Tahoma" w:hAnsi="Tahoma" w:cs="Tahoma"/>
      <w:sz w:val="16"/>
      <w:szCs w:val="16"/>
    </w:rPr>
  </w:style>
  <w:style w:type="character" w:customStyle="1" w:styleId="BallontekstChar">
    <w:name w:val="Ballontekst Char"/>
    <w:basedOn w:val="Standaardalinea-lettertype"/>
    <w:link w:val="Ballontekst"/>
    <w:uiPriority w:val="99"/>
    <w:semiHidden/>
    <w:rsid w:val="00401950"/>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Leuven, Isabel</dc:creator>
  <cp:lastModifiedBy>Nathalie De Keyzer</cp:lastModifiedBy>
  <cp:revision>3</cp:revision>
  <dcterms:created xsi:type="dcterms:W3CDTF">2014-01-07T12:07:00Z</dcterms:created>
  <dcterms:modified xsi:type="dcterms:W3CDTF">2014-01-08T18:01:00Z</dcterms:modified>
</cp:coreProperties>
</file>