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3" w:rsidRPr="00A8473D" w:rsidRDefault="00F54193" w:rsidP="00F54193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F54193" w:rsidRPr="00A8473D" w:rsidRDefault="00F54193" w:rsidP="00F54193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F54193" w:rsidRPr="00DE405B" w:rsidRDefault="00F54193" w:rsidP="00F54193">
      <w:pPr>
        <w:pStyle w:val="StandaardSV"/>
        <w:pBdr>
          <w:bottom w:val="single" w:sz="4" w:space="1" w:color="auto"/>
        </w:pBdr>
        <w:rPr>
          <w:lang w:val="nl-BE"/>
        </w:rPr>
      </w:pPr>
    </w:p>
    <w:p w:rsidR="00F54193" w:rsidRDefault="00F54193" w:rsidP="00F54193">
      <w:pPr>
        <w:jc w:val="both"/>
        <w:rPr>
          <w:sz w:val="22"/>
        </w:rPr>
      </w:pPr>
    </w:p>
    <w:p w:rsidR="008816A9" w:rsidRPr="008816A9" w:rsidRDefault="008816A9" w:rsidP="00F54193">
      <w:pPr>
        <w:jc w:val="both"/>
        <w:outlineLvl w:val="0"/>
        <w:rPr>
          <w:b/>
          <w:smallCaps/>
          <w:sz w:val="22"/>
        </w:rPr>
      </w:pPr>
      <w:r w:rsidRPr="008816A9">
        <w:rPr>
          <w:b/>
          <w:smallCaps/>
          <w:sz w:val="22"/>
        </w:rPr>
        <w:t>antwoord</w:t>
      </w:r>
    </w:p>
    <w:p w:rsidR="00F54193" w:rsidRDefault="008816A9" w:rsidP="008816A9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F54193">
        <w:rPr>
          <w:sz w:val="22"/>
        </w:rPr>
        <w:t>raag nr. 175</w:t>
      </w:r>
      <w:r>
        <w:rPr>
          <w:sz w:val="22"/>
        </w:rPr>
        <w:t xml:space="preserve"> </w:t>
      </w:r>
      <w:r w:rsidR="00F54193">
        <w:rPr>
          <w:sz w:val="22"/>
        </w:rPr>
        <w:t>van 28 november 2013</w:t>
      </w:r>
    </w:p>
    <w:p w:rsidR="00F54193" w:rsidRDefault="00F54193" w:rsidP="00F54193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j</w:t>
      </w:r>
      <w:r w:rsidRPr="00700CA8">
        <w:rPr>
          <w:b/>
          <w:smallCaps/>
          <w:sz w:val="22"/>
        </w:rPr>
        <w:t>urgen</w:t>
      </w:r>
      <w:proofErr w:type="spellEnd"/>
      <w:r w:rsidRPr="00700CA8"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v</w:t>
      </w:r>
      <w:r w:rsidRPr="00700CA8">
        <w:rPr>
          <w:b/>
          <w:smallCaps/>
          <w:sz w:val="22"/>
        </w:rPr>
        <w:t>anlerberghe</w:t>
      </w:r>
      <w:proofErr w:type="spellEnd"/>
    </w:p>
    <w:p w:rsidR="00F54193" w:rsidRDefault="00F54193" w:rsidP="00F54193">
      <w:pPr>
        <w:pBdr>
          <w:bottom w:val="single" w:sz="4" w:space="1" w:color="auto"/>
        </w:pBdr>
        <w:jc w:val="both"/>
        <w:rPr>
          <w:sz w:val="22"/>
        </w:rPr>
      </w:pPr>
    </w:p>
    <w:p w:rsidR="00F54193" w:rsidRDefault="00F54193" w:rsidP="00F54193">
      <w:pPr>
        <w:pStyle w:val="StandaardSV"/>
        <w:rPr>
          <w:szCs w:val="22"/>
        </w:rPr>
      </w:pPr>
    </w:p>
    <w:p w:rsidR="00C6672B" w:rsidRPr="008816A9" w:rsidRDefault="00C6672B" w:rsidP="00F54193">
      <w:pPr>
        <w:pStyle w:val="StandaardSV"/>
        <w:rPr>
          <w:szCs w:val="22"/>
        </w:rPr>
      </w:pPr>
    </w:p>
    <w:p w:rsidR="00925647" w:rsidRPr="008816A9" w:rsidRDefault="00925647" w:rsidP="00925647">
      <w:pPr>
        <w:pStyle w:val="StandaardSV"/>
        <w:numPr>
          <w:ilvl w:val="0"/>
          <w:numId w:val="1"/>
        </w:numPr>
        <w:ind w:left="360"/>
        <w:rPr>
          <w:szCs w:val="22"/>
        </w:rPr>
      </w:pPr>
      <w:r w:rsidRPr="008816A9">
        <w:rPr>
          <w:szCs w:val="22"/>
        </w:rPr>
        <w:t xml:space="preserve">Vlaanderen zal in de periode 2014-2020 blijven deelnemen aan dezelfde </w:t>
      </w:r>
      <w:r w:rsidR="00DD5173" w:rsidRPr="008816A9">
        <w:rPr>
          <w:szCs w:val="22"/>
        </w:rPr>
        <w:t xml:space="preserve">programma’s </w:t>
      </w:r>
      <w:r w:rsidRPr="008816A9">
        <w:rPr>
          <w:szCs w:val="22"/>
        </w:rPr>
        <w:t xml:space="preserve">als heden. Deze betreffen </w:t>
      </w:r>
      <w:r w:rsidR="00DD5173" w:rsidRPr="008816A9">
        <w:rPr>
          <w:szCs w:val="22"/>
        </w:rPr>
        <w:t xml:space="preserve">inderdaad </w:t>
      </w:r>
      <w:r w:rsidRPr="008816A9">
        <w:rPr>
          <w:szCs w:val="22"/>
        </w:rPr>
        <w:t>4 grensoverschrijdende programma’s voor samenwerking met buurlanden, 2 transnationale programma’s voor samenwerking binnen een groter geografisch deel van de Unie en 4 interregionale programma’s voor samenwerking met heel de EU-28.</w:t>
      </w:r>
    </w:p>
    <w:p w:rsidR="00925647" w:rsidRPr="008816A9" w:rsidRDefault="00925647" w:rsidP="00925647">
      <w:pPr>
        <w:pStyle w:val="StandaardSV"/>
        <w:ind w:left="360"/>
        <w:rPr>
          <w:szCs w:val="22"/>
        </w:rPr>
      </w:pPr>
    </w:p>
    <w:p w:rsidR="00925647" w:rsidRPr="008816A9" w:rsidRDefault="00925647" w:rsidP="00925647">
      <w:pPr>
        <w:pStyle w:val="StandaardSV"/>
        <w:ind w:left="360"/>
        <w:rPr>
          <w:szCs w:val="22"/>
        </w:rPr>
      </w:pPr>
      <w:r w:rsidRPr="008816A9">
        <w:rPr>
          <w:szCs w:val="22"/>
        </w:rPr>
        <w:t>Specifiek gaat het om</w:t>
      </w:r>
      <w:r w:rsidR="00DD5173" w:rsidRPr="008816A9">
        <w:rPr>
          <w:szCs w:val="22"/>
        </w:rPr>
        <w:t>:</w:t>
      </w:r>
    </w:p>
    <w:p w:rsidR="00925647" w:rsidRPr="008816A9" w:rsidRDefault="00925647" w:rsidP="00925647">
      <w:pPr>
        <w:pStyle w:val="StandaardSV"/>
        <w:ind w:left="360"/>
        <w:rPr>
          <w:szCs w:val="22"/>
        </w:rPr>
      </w:pPr>
    </w:p>
    <w:p w:rsidR="00925647" w:rsidRPr="008816A9" w:rsidRDefault="00925647" w:rsidP="00925647">
      <w:pPr>
        <w:pStyle w:val="StandaardSV"/>
        <w:ind w:left="360"/>
        <w:rPr>
          <w:szCs w:val="22"/>
          <w:u w:val="single"/>
        </w:rPr>
      </w:pPr>
      <w:r w:rsidRPr="008816A9">
        <w:rPr>
          <w:szCs w:val="22"/>
          <w:u w:val="single"/>
        </w:rPr>
        <w:t>Grensoverschrijdend</w:t>
      </w:r>
    </w:p>
    <w:p w:rsidR="00925647" w:rsidRPr="008816A9" w:rsidRDefault="00925647" w:rsidP="00925647">
      <w:pPr>
        <w:pStyle w:val="StandaardSV"/>
        <w:ind w:left="360"/>
        <w:rPr>
          <w:szCs w:val="22"/>
        </w:rPr>
      </w:pPr>
      <w:r w:rsidRPr="008816A9">
        <w:rPr>
          <w:szCs w:val="22"/>
        </w:rPr>
        <w:t>Grensregio Vlaanderen-Nederland programma</w:t>
      </w:r>
    </w:p>
    <w:p w:rsidR="00925647" w:rsidRPr="008816A9" w:rsidRDefault="00925647" w:rsidP="00925647">
      <w:pPr>
        <w:pStyle w:val="StandaardSV"/>
        <w:ind w:left="360"/>
        <w:rPr>
          <w:szCs w:val="22"/>
        </w:rPr>
      </w:pPr>
      <w:r w:rsidRPr="008816A9">
        <w:rPr>
          <w:szCs w:val="22"/>
        </w:rPr>
        <w:t>Euregio Maas-Rijn programma</w:t>
      </w:r>
    </w:p>
    <w:p w:rsidR="00925647" w:rsidRPr="008816A9" w:rsidRDefault="00925647" w:rsidP="00925647">
      <w:pPr>
        <w:pStyle w:val="StandaardSV"/>
        <w:ind w:left="360"/>
        <w:rPr>
          <w:szCs w:val="22"/>
        </w:rPr>
      </w:pPr>
      <w:r w:rsidRPr="008816A9">
        <w:rPr>
          <w:szCs w:val="22"/>
        </w:rPr>
        <w:t>Frankrijk-Wallonië-Vlaanderen programma</w:t>
      </w:r>
    </w:p>
    <w:p w:rsidR="00925647" w:rsidRPr="008816A9" w:rsidRDefault="00925647" w:rsidP="00925647">
      <w:pPr>
        <w:pStyle w:val="StandaardSV"/>
        <w:ind w:left="360"/>
        <w:rPr>
          <w:szCs w:val="22"/>
        </w:rPr>
      </w:pPr>
      <w:r w:rsidRPr="008816A9">
        <w:rPr>
          <w:szCs w:val="22"/>
        </w:rPr>
        <w:t>2 Zeeën programma</w:t>
      </w:r>
    </w:p>
    <w:p w:rsidR="00925647" w:rsidRPr="008816A9" w:rsidRDefault="00925647" w:rsidP="00925647">
      <w:pPr>
        <w:pStyle w:val="StandaardSV"/>
        <w:ind w:left="360"/>
        <w:rPr>
          <w:szCs w:val="22"/>
        </w:rPr>
      </w:pPr>
    </w:p>
    <w:p w:rsidR="00925647" w:rsidRPr="008816A9" w:rsidRDefault="00925647" w:rsidP="00925647">
      <w:pPr>
        <w:pStyle w:val="StandaardSV"/>
        <w:ind w:left="360"/>
        <w:rPr>
          <w:szCs w:val="22"/>
          <w:u w:val="single"/>
        </w:rPr>
      </w:pPr>
      <w:r w:rsidRPr="008816A9">
        <w:rPr>
          <w:szCs w:val="22"/>
          <w:u w:val="single"/>
        </w:rPr>
        <w:t>Transnationaal</w:t>
      </w:r>
    </w:p>
    <w:p w:rsidR="00925647" w:rsidRPr="008816A9" w:rsidRDefault="00925647" w:rsidP="00925647">
      <w:pPr>
        <w:pStyle w:val="StandaardSV"/>
        <w:ind w:left="360"/>
        <w:rPr>
          <w:szCs w:val="22"/>
        </w:rPr>
      </w:pPr>
      <w:r w:rsidRPr="008816A9">
        <w:rPr>
          <w:szCs w:val="22"/>
        </w:rPr>
        <w:t>Noordzee Regio programma</w:t>
      </w:r>
    </w:p>
    <w:p w:rsidR="00925647" w:rsidRPr="008816A9" w:rsidRDefault="00925647" w:rsidP="00925647">
      <w:pPr>
        <w:pStyle w:val="StandaardSV"/>
        <w:ind w:left="360"/>
        <w:rPr>
          <w:szCs w:val="22"/>
        </w:rPr>
      </w:pPr>
      <w:r w:rsidRPr="008816A9">
        <w:rPr>
          <w:szCs w:val="22"/>
        </w:rPr>
        <w:t>Noordwest Europa programma</w:t>
      </w:r>
    </w:p>
    <w:p w:rsidR="00925647" w:rsidRPr="008816A9" w:rsidRDefault="00925647" w:rsidP="00925647">
      <w:pPr>
        <w:pStyle w:val="StandaardSV"/>
        <w:ind w:left="360"/>
        <w:rPr>
          <w:szCs w:val="22"/>
        </w:rPr>
      </w:pPr>
    </w:p>
    <w:p w:rsidR="00925647" w:rsidRPr="008816A9" w:rsidRDefault="00925647" w:rsidP="00925647">
      <w:pPr>
        <w:pStyle w:val="StandaardSV"/>
        <w:ind w:left="360"/>
        <w:rPr>
          <w:szCs w:val="22"/>
          <w:u w:val="single"/>
        </w:rPr>
      </w:pPr>
      <w:r w:rsidRPr="008816A9">
        <w:rPr>
          <w:szCs w:val="22"/>
          <w:u w:val="single"/>
        </w:rPr>
        <w:t>Interregionaal</w:t>
      </w:r>
    </w:p>
    <w:p w:rsidR="00925647" w:rsidRPr="008816A9" w:rsidRDefault="00925647" w:rsidP="00925647">
      <w:pPr>
        <w:pStyle w:val="StandaardSV"/>
        <w:ind w:left="360"/>
        <w:rPr>
          <w:szCs w:val="22"/>
        </w:rPr>
      </w:pPr>
      <w:proofErr w:type="spellStart"/>
      <w:r w:rsidRPr="008816A9">
        <w:rPr>
          <w:szCs w:val="22"/>
        </w:rPr>
        <w:t>Interreg</w:t>
      </w:r>
      <w:proofErr w:type="spellEnd"/>
      <w:r w:rsidRPr="008816A9">
        <w:rPr>
          <w:szCs w:val="22"/>
        </w:rPr>
        <w:t xml:space="preserve"> Europe programma (voorheen </w:t>
      </w:r>
      <w:proofErr w:type="spellStart"/>
      <w:r w:rsidRPr="008816A9">
        <w:rPr>
          <w:szCs w:val="22"/>
        </w:rPr>
        <w:t>Interreg</w:t>
      </w:r>
      <w:proofErr w:type="spellEnd"/>
      <w:r w:rsidRPr="008816A9">
        <w:rPr>
          <w:szCs w:val="22"/>
        </w:rPr>
        <w:t xml:space="preserve"> IVC)</w:t>
      </w:r>
    </w:p>
    <w:p w:rsidR="00925647" w:rsidRPr="008816A9" w:rsidRDefault="00925647" w:rsidP="00925647">
      <w:pPr>
        <w:pStyle w:val="StandaardSV"/>
        <w:ind w:left="360"/>
        <w:rPr>
          <w:szCs w:val="22"/>
        </w:rPr>
      </w:pPr>
      <w:proofErr w:type="spellStart"/>
      <w:r w:rsidRPr="008816A9">
        <w:rPr>
          <w:szCs w:val="22"/>
        </w:rPr>
        <w:t>Urbact</w:t>
      </w:r>
      <w:proofErr w:type="spellEnd"/>
      <w:r w:rsidRPr="008816A9">
        <w:rPr>
          <w:szCs w:val="22"/>
        </w:rPr>
        <w:t xml:space="preserve"> programma</w:t>
      </w:r>
    </w:p>
    <w:p w:rsidR="00925647" w:rsidRPr="008816A9" w:rsidRDefault="00925647" w:rsidP="00925647">
      <w:pPr>
        <w:pStyle w:val="StandaardSV"/>
        <w:ind w:left="360"/>
        <w:rPr>
          <w:szCs w:val="22"/>
        </w:rPr>
      </w:pPr>
      <w:r w:rsidRPr="008816A9">
        <w:rPr>
          <w:szCs w:val="22"/>
        </w:rPr>
        <w:t>Interact programma</w:t>
      </w:r>
    </w:p>
    <w:p w:rsidR="00925647" w:rsidRPr="008816A9" w:rsidRDefault="00925647" w:rsidP="00925647">
      <w:pPr>
        <w:pStyle w:val="StandaardSV"/>
        <w:ind w:left="360"/>
        <w:rPr>
          <w:szCs w:val="22"/>
        </w:rPr>
      </w:pPr>
    </w:p>
    <w:p w:rsidR="00925647" w:rsidRPr="008816A9" w:rsidRDefault="00925647" w:rsidP="00925647">
      <w:pPr>
        <w:pStyle w:val="StandaardSV"/>
        <w:ind w:left="360"/>
        <w:rPr>
          <w:szCs w:val="22"/>
        </w:rPr>
      </w:pPr>
      <w:r w:rsidRPr="008816A9">
        <w:rPr>
          <w:szCs w:val="22"/>
        </w:rPr>
        <w:t xml:space="preserve">De gedetailleerde gebiedsomschrijvingen zijn publiekelijk raadpleegbaar op </w:t>
      </w:r>
      <w:hyperlink r:id="rId6" w:history="1">
        <w:r w:rsidRPr="008816A9">
          <w:rPr>
            <w:rStyle w:val="Hyperlink"/>
            <w:color w:val="auto"/>
            <w:szCs w:val="22"/>
          </w:rPr>
          <w:t>www.efro.be</w:t>
        </w:r>
      </w:hyperlink>
      <w:r w:rsidRPr="008816A9">
        <w:rPr>
          <w:szCs w:val="22"/>
        </w:rPr>
        <w:t xml:space="preserve"> </w:t>
      </w:r>
    </w:p>
    <w:p w:rsidR="00925647" w:rsidRPr="008816A9" w:rsidRDefault="00925647" w:rsidP="00F54193">
      <w:pPr>
        <w:pStyle w:val="StandaardSV"/>
        <w:rPr>
          <w:szCs w:val="22"/>
        </w:rPr>
      </w:pPr>
    </w:p>
    <w:p w:rsidR="00DD5173" w:rsidRPr="008816A9" w:rsidRDefault="00925647" w:rsidP="00DD5173">
      <w:pPr>
        <w:pStyle w:val="StandaardSV"/>
        <w:numPr>
          <w:ilvl w:val="0"/>
          <w:numId w:val="1"/>
        </w:numPr>
        <w:ind w:left="360"/>
        <w:rPr>
          <w:szCs w:val="22"/>
        </w:rPr>
      </w:pPr>
      <w:r w:rsidRPr="008816A9">
        <w:rPr>
          <w:szCs w:val="22"/>
        </w:rPr>
        <w:t xml:space="preserve">De meest recente simulaties geven aan dat Vlaanderen voor participatie in de </w:t>
      </w:r>
      <w:r w:rsidR="006A31CF" w:rsidRPr="008816A9">
        <w:rPr>
          <w:szCs w:val="22"/>
        </w:rPr>
        <w:t xml:space="preserve">grensoverschrijdende en transnationale </w:t>
      </w:r>
      <w:proofErr w:type="spellStart"/>
      <w:r w:rsidRPr="008816A9">
        <w:rPr>
          <w:szCs w:val="22"/>
        </w:rPr>
        <w:t>Interreg</w:t>
      </w:r>
      <w:proofErr w:type="spellEnd"/>
      <w:r w:rsidRPr="008816A9">
        <w:rPr>
          <w:szCs w:val="22"/>
        </w:rPr>
        <w:t xml:space="preserve"> programma</w:t>
      </w:r>
      <w:r w:rsidR="006A31CF" w:rsidRPr="008816A9">
        <w:rPr>
          <w:szCs w:val="22"/>
        </w:rPr>
        <w:t>’s</w:t>
      </w:r>
      <w:r w:rsidRPr="008816A9">
        <w:rPr>
          <w:szCs w:val="22"/>
        </w:rPr>
        <w:t xml:space="preserve"> zou kunnen beschikken over een bedrag van 152.5 miljoen euro</w:t>
      </w:r>
      <w:r w:rsidR="00DD5173" w:rsidRPr="008816A9">
        <w:rPr>
          <w:szCs w:val="22"/>
        </w:rPr>
        <w:t xml:space="preserve"> uit de Europese begroting te verdelen over de 6 genoemde programma’s</w:t>
      </w:r>
      <w:r w:rsidRPr="008816A9">
        <w:rPr>
          <w:szCs w:val="22"/>
        </w:rPr>
        <w:t>.</w:t>
      </w:r>
      <w:r w:rsidR="006A31CF" w:rsidRPr="008816A9">
        <w:rPr>
          <w:szCs w:val="22"/>
        </w:rPr>
        <w:t xml:space="preserve"> </w:t>
      </w:r>
      <w:r w:rsidR="00DD5173" w:rsidRPr="008816A9">
        <w:rPr>
          <w:szCs w:val="22"/>
        </w:rPr>
        <w:t>Een ontwerp van verdeling hiervoor is nog in opmaak.</w:t>
      </w:r>
    </w:p>
    <w:p w:rsidR="006A31CF" w:rsidRPr="008816A9" w:rsidRDefault="006A31CF" w:rsidP="006A31CF">
      <w:pPr>
        <w:pStyle w:val="StandaardSV"/>
        <w:ind w:left="360"/>
        <w:rPr>
          <w:szCs w:val="22"/>
        </w:rPr>
      </w:pPr>
    </w:p>
    <w:p w:rsidR="006A31CF" w:rsidRPr="008816A9" w:rsidRDefault="006A31CF" w:rsidP="00925647">
      <w:pPr>
        <w:pStyle w:val="StandaardSV"/>
        <w:ind w:left="360"/>
        <w:rPr>
          <w:szCs w:val="22"/>
        </w:rPr>
      </w:pPr>
      <w:r w:rsidRPr="008816A9">
        <w:rPr>
          <w:szCs w:val="22"/>
        </w:rPr>
        <w:t xml:space="preserve">Het budget voor deelname aan de interregionale programma’s wordt niet op voorhand verdeeld onder de lidstaten maar rechtstreeks door de Europese Commissie (DG Regio) toegewezen aan de programma’s zelf. </w:t>
      </w:r>
    </w:p>
    <w:p w:rsidR="006A31CF" w:rsidRPr="008816A9" w:rsidRDefault="006A31CF" w:rsidP="00925647">
      <w:pPr>
        <w:pStyle w:val="StandaardSV"/>
        <w:ind w:left="360"/>
        <w:rPr>
          <w:szCs w:val="22"/>
        </w:rPr>
      </w:pPr>
    </w:p>
    <w:p w:rsidR="00925647" w:rsidRPr="008816A9" w:rsidRDefault="006A31CF" w:rsidP="00925647">
      <w:pPr>
        <w:pStyle w:val="StandaardSV"/>
        <w:ind w:left="360"/>
        <w:rPr>
          <w:szCs w:val="22"/>
        </w:rPr>
      </w:pPr>
      <w:r w:rsidRPr="008816A9">
        <w:rPr>
          <w:szCs w:val="22"/>
        </w:rPr>
        <w:t xml:space="preserve">Het genoemde </w:t>
      </w:r>
      <w:r w:rsidR="00925647" w:rsidRPr="008816A9">
        <w:rPr>
          <w:szCs w:val="22"/>
        </w:rPr>
        <w:t xml:space="preserve">bedrag </w:t>
      </w:r>
      <w:r w:rsidR="00F214D9" w:rsidRPr="008816A9">
        <w:rPr>
          <w:szCs w:val="22"/>
        </w:rPr>
        <w:t>van 152.5 miljoen euro</w:t>
      </w:r>
      <w:r w:rsidR="00DD5173" w:rsidRPr="008816A9">
        <w:rPr>
          <w:szCs w:val="22"/>
        </w:rPr>
        <w:t xml:space="preserve"> - </w:t>
      </w:r>
      <w:bookmarkStart w:id="0" w:name="_GoBack"/>
      <w:bookmarkEnd w:id="0"/>
      <w:r w:rsidR="00DD5173" w:rsidRPr="008816A9">
        <w:rPr>
          <w:szCs w:val="22"/>
        </w:rPr>
        <w:t xml:space="preserve">afgerond ongeveer 34 miljoen euro meer dan in de periode 2007-2013 - </w:t>
      </w:r>
      <w:r w:rsidR="00925647" w:rsidRPr="008816A9">
        <w:rPr>
          <w:szCs w:val="22"/>
        </w:rPr>
        <w:t xml:space="preserve">is </w:t>
      </w:r>
      <w:r w:rsidRPr="008816A9">
        <w:rPr>
          <w:szCs w:val="22"/>
        </w:rPr>
        <w:t xml:space="preserve">wel </w:t>
      </w:r>
      <w:r w:rsidR="00925647" w:rsidRPr="008816A9">
        <w:rPr>
          <w:szCs w:val="22"/>
        </w:rPr>
        <w:t xml:space="preserve">nog afhankelijk van </w:t>
      </w:r>
      <w:r w:rsidRPr="008816A9">
        <w:rPr>
          <w:szCs w:val="22"/>
        </w:rPr>
        <w:t xml:space="preserve">een </w:t>
      </w:r>
      <w:r w:rsidR="00DD5173" w:rsidRPr="008816A9">
        <w:rPr>
          <w:szCs w:val="22"/>
        </w:rPr>
        <w:t>aantal</w:t>
      </w:r>
      <w:r w:rsidRPr="008816A9">
        <w:rPr>
          <w:szCs w:val="22"/>
        </w:rPr>
        <w:t xml:space="preserve"> variabelen. Met name </w:t>
      </w:r>
      <w:r w:rsidR="00925647" w:rsidRPr="008816A9">
        <w:rPr>
          <w:szCs w:val="22"/>
        </w:rPr>
        <w:t>de uiteindelijke verdeling van Cohesie middelen tussen de Belgische gewesten</w:t>
      </w:r>
      <w:r w:rsidR="00777A17" w:rsidRPr="008816A9">
        <w:rPr>
          <w:szCs w:val="22"/>
        </w:rPr>
        <w:t xml:space="preserve">. </w:t>
      </w:r>
      <w:r w:rsidRPr="008816A9">
        <w:rPr>
          <w:szCs w:val="22"/>
        </w:rPr>
        <w:t xml:space="preserve">Alsook een actualisatie </w:t>
      </w:r>
      <w:r w:rsidR="00CB1E66" w:rsidRPr="008816A9">
        <w:rPr>
          <w:szCs w:val="22"/>
        </w:rPr>
        <w:t xml:space="preserve">van de berekeningsbasis voor Cohesie middelen door de Europese Commissie in prijzen voor </w:t>
      </w:r>
      <w:r w:rsidR="00ED3648" w:rsidRPr="008816A9">
        <w:rPr>
          <w:szCs w:val="22"/>
        </w:rPr>
        <w:t>2014</w:t>
      </w:r>
      <w:r w:rsidRPr="008816A9">
        <w:rPr>
          <w:szCs w:val="22"/>
        </w:rPr>
        <w:t>.</w:t>
      </w:r>
    </w:p>
    <w:p w:rsidR="006A31CF" w:rsidRPr="008816A9" w:rsidRDefault="006A31CF" w:rsidP="00925647">
      <w:pPr>
        <w:pStyle w:val="StandaardSV"/>
        <w:ind w:left="360"/>
        <w:rPr>
          <w:szCs w:val="22"/>
        </w:rPr>
      </w:pPr>
    </w:p>
    <w:p w:rsidR="00F214D9" w:rsidRPr="008816A9" w:rsidRDefault="00F214D9" w:rsidP="008816A9">
      <w:pPr>
        <w:pStyle w:val="StandaardSV"/>
        <w:numPr>
          <w:ilvl w:val="0"/>
          <w:numId w:val="1"/>
        </w:numPr>
        <w:ind w:left="360"/>
        <w:rPr>
          <w:szCs w:val="22"/>
        </w:rPr>
      </w:pPr>
      <w:r w:rsidRPr="008816A9">
        <w:rPr>
          <w:szCs w:val="22"/>
        </w:rPr>
        <w:t>Aan de gebiedsomschrijving van de verschillende programma’s binnen Vlaanderen wordt in feite niets gewijzigd ten opzichte van de periode 2007-2013. Wel wordt in de monitoring van de budgetuitgaven geen onderscheid gemaakt meer gemaakt tussen zogenaamde “grensgebieden” gelegen pal op de landsgrenzen en zogenaamde “aangrenzende gebieden”</w:t>
      </w:r>
      <w:r w:rsidR="00DD5173" w:rsidRPr="008816A9">
        <w:rPr>
          <w:szCs w:val="22"/>
        </w:rPr>
        <w:t xml:space="preserve"> die tegen deze laatste aanleunen</w:t>
      </w:r>
      <w:r w:rsidRPr="008816A9">
        <w:rPr>
          <w:szCs w:val="22"/>
        </w:rPr>
        <w:t>.</w:t>
      </w:r>
    </w:p>
    <w:p w:rsidR="00F214D9" w:rsidRPr="008816A9" w:rsidRDefault="00F214D9" w:rsidP="00F214D9">
      <w:pPr>
        <w:pStyle w:val="StandaardSV"/>
        <w:ind w:left="360"/>
        <w:rPr>
          <w:szCs w:val="22"/>
        </w:rPr>
      </w:pPr>
    </w:p>
    <w:p w:rsidR="00F214D9" w:rsidRPr="008816A9" w:rsidRDefault="00F214D9" w:rsidP="00F214D9">
      <w:pPr>
        <w:pStyle w:val="StandaardSV"/>
        <w:ind w:left="360"/>
        <w:rPr>
          <w:szCs w:val="22"/>
        </w:rPr>
      </w:pPr>
      <w:r w:rsidRPr="008816A9">
        <w:rPr>
          <w:szCs w:val="22"/>
        </w:rPr>
        <w:lastRenderedPageBreak/>
        <w:t>Voor de volgende programma</w:t>
      </w:r>
      <w:r w:rsidR="003E4018" w:rsidRPr="008816A9">
        <w:rPr>
          <w:szCs w:val="22"/>
        </w:rPr>
        <w:t>’</w:t>
      </w:r>
      <w:r w:rsidRPr="008816A9">
        <w:rPr>
          <w:szCs w:val="22"/>
        </w:rPr>
        <w:t xml:space="preserve">s </w:t>
      </w:r>
      <w:r w:rsidR="003E4018" w:rsidRPr="008816A9">
        <w:rPr>
          <w:szCs w:val="22"/>
        </w:rPr>
        <w:t xml:space="preserve">neemt </w:t>
      </w:r>
      <w:r w:rsidR="00CA22AD" w:rsidRPr="008816A9">
        <w:rPr>
          <w:szCs w:val="22"/>
        </w:rPr>
        <w:t xml:space="preserve">het gehele Vlaamse grondgebied </w:t>
      </w:r>
      <w:r w:rsidR="003E4018" w:rsidRPr="008816A9">
        <w:rPr>
          <w:szCs w:val="22"/>
        </w:rPr>
        <w:t xml:space="preserve">deel aan </w:t>
      </w:r>
      <w:r w:rsidR="00CA22AD" w:rsidRPr="008816A9">
        <w:rPr>
          <w:szCs w:val="22"/>
        </w:rPr>
        <w:t>het Operationeel Programma</w:t>
      </w:r>
    </w:p>
    <w:p w:rsidR="00CA22AD" w:rsidRPr="008816A9" w:rsidRDefault="003E4018" w:rsidP="00CA22AD">
      <w:pPr>
        <w:pStyle w:val="StandaardSV"/>
        <w:ind w:left="360"/>
        <w:rPr>
          <w:szCs w:val="22"/>
        </w:rPr>
      </w:pPr>
      <w:r w:rsidRPr="008816A9">
        <w:rPr>
          <w:szCs w:val="22"/>
        </w:rPr>
        <w:t xml:space="preserve">- </w:t>
      </w:r>
      <w:r w:rsidR="00CA22AD" w:rsidRPr="008816A9">
        <w:rPr>
          <w:szCs w:val="22"/>
        </w:rPr>
        <w:t>Noordwest Europa programma</w:t>
      </w:r>
    </w:p>
    <w:p w:rsidR="00CA22AD" w:rsidRPr="008816A9" w:rsidRDefault="003E4018" w:rsidP="00CA22AD">
      <w:pPr>
        <w:pStyle w:val="StandaardSV"/>
        <w:ind w:left="360"/>
        <w:rPr>
          <w:szCs w:val="22"/>
        </w:rPr>
      </w:pPr>
      <w:r w:rsidRPr="008816A9">
        <w:rPr>
          <w:szCs w:val="22"/>
        </w:rPr>
        <w:t xml:space="preserve">- </w:t>
      </w:r>
      <w:proofErr w:type="spellStart"/>
      <w:r w:rsidR="00CA22AD" w:rsidRPr="008816A9">
        <w:rPr>
          <w:szCs w:val="22"/>
        </w:rPr>
        <w:t>Interreg</w:t>
      </w:r>
      <w:proofErr w:type="spellEnd"/>
      <w:r w:rsidR="00CA22AD" w:rsidRPr="008816A9">
        <w:rPr>
          <w:szCs w:val="22"/>
        </w:rPr>
        <w:t xml:space="preserve"> Europe programma (voorheen </w:t>
      </w:r>
      <w:proofErr w:type="spellStart"/>
      <w:r w:rsidR="00CA22AD" w:rsidRPr="008816A9">
        <w:rPr>
          <w:szCs w:val="22"/>
        </w:rPr>
        <w:t>Interreg</w:t>
      </w:r>
      <w:proofErr w:type="spellEnd"/>
      <w:r w:rsidR="00CA22AD" w:rsidRPr="008816A9">
        <w:rPr>
          <w:szCs w:val="22"/>
        </w:rPr>
        <w:t xml:space="preserve"> IVC)</w:t>
      </w:r>
    </w:p>
    <w:p w:rsidR="00CA22AD" w:rsidRPr="008816A9" w:rsidRDefault="003E4018" w:rsidP="00CA22AD">
      <w:pPr>
        <w:pStyle w:val="StandaardSV"/>
        <w:ind w:left="360"/>
        <w:rPr>
          <w:szCs w:val="22"/>
        </w:rPr>
      </w:pPr>
      <w:r w:rsidRPr="008816A9">
        <w:rPr>
          <w:szCs w:val="22"/>
        </w:rPr>
        <w:t xml:space="preserve">- </w:t>
      </w:r>
      <w:proofErr w:type="spellStart"/>
      <w:r w:rsidR="00CA22AD" w:rsidRPr="008816A9">
        <w:rPr>
          <w:szCs w:val="22"/>
        </w:rPr>
        <w:t>Urbact</w:t>
      </w:r>
      <w:proofErr w:type="spellEnd"/>
      <w:r w:rsidR="00CA22AD" w:rsidRPr="008816A9">
        <w:rPr>
          <w:szCs w:val="22"/>
        </w:rPr>
        <w:t xml:space="preserve"> programma</w:t>
      </w:r>
    </w:p>
    <w:p w:rsidR="00CA22AD" w:rsidRPr="008816A9" w:rsidRDefault="003E4018" w:rsidP="00CA22AD">
      <w:pPr>
        <w:pStyle w:val="StandaardSV"/>
        <w:ind w:left="360"/>
        <w:rPr>
          <w:szCs w:val="22"/>
        </w:rPr>
      </w:pPr>
      <w:r w:rsidRPr="008816A9">
        <w:rPr>
          <w:szCs w:val="22"/>
        </w:rPr>
        <w:t xml:space="preserve">- </w:t>
      </w:r>
      <w:r w:rsidR="00CA22AD" w:rsidRPr="008816A9">
        <w:rPr>
          <w:szCs w:val="22"/>
        </w:rPr>
        <w:t>Interact programma</w:t>
      </w:r>
    </w:p>
    <w:p w:rsidR="00CA22AD" w:rsidRPr="008816A9" w:rsidRDefault="00CA22AD" w:rsidP="00F214D9">
      <w:pPr>
        <w:pStyle w:val="StandaardSV"/>
        <w:ind w:left="360"/>
        <w:rPr>
          <w:szCs w:val="22"/>
        </w:rPr>
      </w:pPr>
    </w:p>
    <w:p w:rsidR="003E4018" w:rsidRPr="008816A9" w:rsidRDefault="003E4018" w:rsidP="00F214D9">
      <w:pPr>
        <w:pStyle w:val="StandaardSV"/>
        <w:ind w:left="360"/>
        <w:rPr>
          <w:szCs w:val="22"/>
        </w:rPr>
      </w:pPr>
      <w:r w:rsidRPr="008816A9">
        <w:rPr>
          <w:szCs w:val="22"/>
        </w:rPr>
        <w:t>Voor de volgende programma’s neemt slechts een deel van het Vlaamse grondgebied deel aan het Operationeel Programma:</w:t>
      </w:r>
    </w:p>
    <w:p w:rsidR="003E4018" w:rsidRPr="008816A9" w:rsidRDefault="003E4018" w:rsidP="00F214D9">
      <w:pPr>
        <w:pStyle w:val="StandaardSV"/>
        <w:ind w:left="360"/>
        <w:rPr>
          <w:szCs w:val="22"/>
        </w:rPr>
      </w:pPr>
    </w:p>
    <w:p w:rsidR="003E4018" w:rsidRPr="008816A9" w:rsidRDefault="00ED3648" w:rsidP="00F214D9">
      <w:pPr>
        <w:pStyle w:val="StandaardSV"/>
        <w:ind w:left="360"/>
        <w:rPr>
          <w:szCs w:val="22"/>
        </w:rPr>
      </w:pPr>
      <w:r w:rsidRPr="008816A9">
        <w:rPr>
          <w:szCs w:val="22"/>
        </w:rPr>
        <w:t xml:space="preserve">- </w:t>
      </w:r>
      <w:r w:rsidR="003E4018" w:rsidRPr="008816A9">
        <w:rPr>
          <w:szCs w:val="22"/>
        </w:rPr>
        <w:t>Noordzee Regio programma en 2 Zeeën programma</w:t>
      </w:r>
    </w:p>
    <w:p w:rsidR="003E4018" w:rsidRPr="008816A9" w:rsidRDefault="003E4018" w:rsidP="00ED3648">
      <w:pPr>
        <w:pStyle w:val="StandaardSV"/>
        <w:ind w:left="360" w:firstLine="348"/>
        <w:rPr>
          <w:szCs w:val="22"/>
        </w:rPr>
      </w:pPr>
      <w:r w:rsidRPr="008816A9">
        <w:rPr>
          <w:szCs w:val="22"/>
        </w:rPr>
        <w:t>Het gehele grondgebied van de provincies West-Vlaanderen, Oost-Vlaanderen en Antwerpen</w:t>
      </w:r>
    </w:p>
    <w:p w:rsidR="003E4018" w:rsidRPr="008816A9" w:rsidRDefault="003E4018" w:rsidP="00F214D9">
      <w:pPr>
        <w:pStyle w:val="StandaardSV"/>
        <w:ind w:left="360"/>
        <w:rPr>
          <w:szCs w:val="22"/>
        </w:rPr>
      </w:pPr>
    </w:p>
    <w:p w:rsidR="003E4018" w:rsidRPr="008816A9" w:rsidRDefault="00ED3648" w:rsidP="00F214D9">
      <w:pPr>
        <w:pStyle w:val="StandaardSV"/>
        <w:ind w:left="360"/>
        <w:rPr>
          <w:szCs w:val="22"/>
        </w:rPr>
      </w:pPr>
      <w:r w:rsidRPr="008816A9">
        <w:rPr>
          <w:szCs w:val="22"/>
        </w:rPr>
        <w:t xml:space="preserve">- </w:t>
      </w:r>
      <w:r w:rsidR="003E4018" w:rsidRPr="008816A9">
        <w:rPr>
          <w:szCs w:val="22"/>
        </w:rPr>
        <w:t>Euregio Maas-Rijn programma</w:t>
      </w:r>
    </w:p>
    <w:p w:rsidR="003E4018" w:rsidRPr="008816A9" w:rsidRDefault="003E4018" w:rsidP="00ED3648">
      <w:pPr>
        <w:pStyle w:val="StandaardSV"/>
        <w:ind w:left="708"/>
        <w:rPr>
          <w:szCs w:val="22"/>
        </w:rPr>
      </w:pPr>
      <w:r w:rsidRPr="008816A9">
        <w:rPr>
          <w:szCs w:val="22"/>
        </w:rPr>
        <w:t>Het gehele grondgebied van de provincie Limburg alsook het arrondissement Leuven binnen de Provincie Vlaams-Brabant</w:t>
      </w:r>
    </w:p>
    <w:p w:rsidR="003E4018" w:rsidRPr="008816A9" w:rsidRDefault="003E4018" w:rsidP="00F214D9">
      <w:pPr>
        <w:pStyle w:val="StandaardSV"/>
        <w:ind w:left="360"/>
        <w:rPr>
          <w:szCs w:val="22"/>
        </w:rPr>
      </w:pPr>
    </w:p>
    <w:p w:rsidR="003E4018" w:rsidRPr="008816A9" w:rsidRDefault="00ED3648" w:rsidP="00F214D9">
      <w:pPr>
        <w:pStyle w:val="StandaardSV"/>
        <w:ind w:left="360"/>
        <w:rPr>
          <w:szCs w:val="22"/>
        </w:rPr>
      </w:pPr>
      <w:r w:rsidRPr="008816A9">
        <w:rPr>
          <w:szCs w:val="22"/>
        </w:rPr>
        <w:t xml:space="preserve">- </w:t>
      </w:r>
      <w:r w:rsidR="003E4018" w:rsidRPr="008816A9">
        <w:rPr>
          <w:szCs w:val="22"/>
        </w:rPr>
        <w:t>Frankrijk-Wallonië-Vlaanderen programma</w:t>
      </w:r>
    </w:p>
    <w:p w:rsidR="003E4018" w:rsidRPr="008816A9" w:rsidRDefault="003E4018" w:rsidP="00ED3648">
      <w:pPr>
        <w:pStyle w:val="StandaardSV"/>
        <w:ind w:left="360" w:firstLine="348"/>
        <w:rPr>
          <w:szCs w:val="22"/>
        </w:rPr>
      </w:pPr>
      <w:r w:rsidRPr="008816A9">
        <w:rPr>
          <w:szCs w:val="22"/>
        </w:rPr>
        <w:t>De gehele provincie West-Vlaanderen</w:t>
      </w:r>
    </w:p>
    <w:p w:rsidR="003E4018" w:rsidRPr="008816A9" w:rsidRDefault="003E4018" w:rsidP="00ED3648">
      <w:pPr>
        <w:pStyle w:val="StandaardSV"/>
        <w:ind w:left="360" w:firstLine="348"/>
        <w:rPr>
          <w:szCs w:val="22"/>
        </w:rPr>
      </w:pPr>
      <w:r w:rsidRPr="008816A9">
        <w:rPr>
          <w:szCs w:val="22"/>
        </w:rPr>
        <w:t>Delen van de provincie Oost-Vlaanderen (arrondissementen Gent en Oudenaarde)</w:t>
      </w:r>
    </w:p>
    <w:p w:rsidR="003E4018" w:rsidRPr="008816A9" w:rsidRDefault="003E4018" w:rsidP="003E4018">
      <w:pPr>
        <w:pStyle w:val="StandaardSV"/>
        <w:ind w:left="360"/>
        <w:rPr>
          <w:szCs w:val="22"/>
        </w:rPr>
      </w:pPr>
    </w:p>
    <w:p w:rsidR="003E4018" w:rsidRPr="008816A9" w:rsidRDefault="00ED3648" w:rsidP="00F214D9">
      <w:pPr>
        <w:pStyle w:val="StandaardSV"/>
        <w:ind w:left="360"/>
        <w:rPr>
          <w:szCs w:val="22"/>
        </w:rPr>
      </w:pPr>
      <w:r w:rsidRPr="008816A9">
        <w:rPr>
          <w:szCs w:val="22"/>
        </w:rPr>
        <w:t xml:space="preserve">- </w:t>
      </w:r>
      <w:r w:rsidR="003E4018" w:rsidRPr="008816A9">
        <w:rPr>
          <w:szCs w:val="22"/>
        </w:rPr>
        <w:t>Grensregio Vlaanderen-Nederland Programma</w:t>
      </w:r>
    </w:p>
    <w:p w:rsidR="003E4018" w:rsidRPr="008816A9" w:rsidRDefault="00ED3648" w:rsidP="00ED3648">
      <w:pPr>
        <w:pStyle w:val="StandaardSV"/>
        <w:ind w:left="360" w:firstLine="348"/>
        <w:rPr>
          <w:szCs w:val="22"/>
        </w:rPr>
      </w:pPr>
      <w:r w:rsidRPr="008816A9">
        <w:rPr>
          <w:szCs w:val="22"/>
        </w:rPr>
        <w:t>Het gehele grondgebied van de provincies Limburg, Antwerpen en Oost-Vlaanderen</w:t>
      </w:r>
    </w:p>
    <w:p w:rsidR="00ED3648" w:rsidRPr="008816A9" w:rsidRDefault="00ED3648" w:rsidP="00ED3648">
      <w:pPr>
        <w:pStyle w:val="StandaardSV"/>
        <w:ind w:left="360" w:firstLine="348"/>
        <w:rPr>
          <w:szCs w:val="22"/>
        </w:rPr>
      </w:pPr>
      <w:r w:rsidRPr="008816A9">
        <w:rPr>
          <w:szCs w:val="22"/>
        </w:rPr>
        <w:t>De provincie West-Vlaanderen met uitzondering van de arrondissementen Veurne en Ieper</w:t>
      </w:r>
    </w:p>
    <w:p w:rsidR="00ED3648" w:rsidRPr="008816A9" w:rsidRDefault="00ED3648" w:rsidP="00ED3648">
      <w:pPr>
        <w:pStyle w:val="StandaardSV"/>
        <w:ind w:left="360" w:firstLine="348"/>
        <w:rPr>
          <w:szCs w:val="22"/>
        </w:rPr>
      </w:pPr>
      <w:r w:rsidRPr="008816A9">
        <w:rPr>
          <w:szCs w:val="22"/>
        </w:rPr>
        <w:t>Het arrondissement Leuven binnen de provincie Vlaams-Brabant</w:t>
      </w:r>
    </w:p>
    <w:sectPr w:rsidR="00ED3648" w:rsidRPr="0088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2FAA"/>
    <w:multiLevelType w:val="hybridMultilevel"/>
    <w:tmpl w:val="B47A5A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93"/>
    <w:rsid w:val="003E4018"/>
    <w:rsid w:val="004C001B"/>
    <w:rsid w:val="004E44C3"/>
    <w:rsid w:val="006A31CF"/>
    <w:rsid w:val="00777A17"/>
    <w:rsid w:val="007A658A"/>
    <w:rsid w:val="008816A9"/>
    <w:rsid w:val="00925647"/>
    <w:rsid w:val="00C6672B"/>
    <w:rsid w:val="00CA22AD"/>
    <w:rsid w:val="00CB1E66"/>
    <w:rsid w:val="00D83218"/>
    <w:rsid w:val="00DD5173"/>
    <w:rsid w:val="00ED3648"/>
    <w:rsid w:val="00F214D9"/>
    <w:rsid w:val="00F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4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F54193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F54193"/>
    <w:pPr>
      <w:jc w:val="both"/>
    </w:pPr>
    <w:rPr>
      <w:sz w:val="22"/>
    </w:rPr>
  </w:style>
  <w:style w:type="character" w:styleId="Hyperlink">
    <w:name w:val="Hyperlink"/>
    <w:basedOn w:val="Standaardalinea-lettertype"/>
    <w:uiPriority w:val="99"/>
    <w:unhideWhenUsed/>
    <w:rsid w:val="0092564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44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4C3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4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F54193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F54193"/>
    <w:pPr>
      <w:jc w:val="both"/>
    </w:pPr>
    <w:rPr>
      <w:sz w:val="22"/>
    </w:rPr>
  </w:style>
  <w:style w:type="character" w:styleId="Hyperlink">
    <w:name w:val="Hyperlink"/>
    <w:basedOn w:val="Standaardalinea-lettertype"/>
    <w:uiPriority w:val="99"/>
    <w:unhideWhenUsed/>
    <w:rsid w:val="0092564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44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4C3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ro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Leuven, Isabel</dc:creator>
  <cp:lastModifiedBy>Nathalie De Keyzer</cp:lastModifiedBy>
  <cp:revision>3</cp:revision>
  <cp:lastPrinted>2014-01-07T09:30:00Z</cp:lastPrinted>
  <dcterms:created xsi:type="dcterms:W3CDTF">2014-01-07T09:31:00Z</dcterms:created>
  <dcterms:modified xsi:type="dcterms:W3CDTF">2014-01-08T17:57:00Z</dcterms:modified>
</cp:coreProperties>
</file>