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A0" w:rsidRPr="00A8473D" w:rsidRDefault="00B766A0" w:rsidP="00B766A0">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B766A0" w:rsidRPr="00A8473D" w:rsidRDefault="00B766A0" w:rsidP="00B766A0">
      <w:pPr>
        <w:jc w:val="both"/>
        <w:rPr>
          <w:smallCaps/>
          <w:sz w:val="22"/>
          <w:szCs w:val="22"/>
          <w:lang w:val="nl-BE"/>
        </w:rPr>
      </w:pPr>
      <w:r w:rsidRPr="00A8473D">
        <w:rPr>
          <w:smallCaps/>
          <w:sz w:val="22"/>
          <w:szCs w:val="22"/>
          <w:lang w:val="nl-BE"/>
        </w:rPr>
        <w:t xml:space="preserve">minister-president van de </w:t>
      </w:r>
      <w:proofErr w:type="spellStart"/>
      <w:r w:rsidRPr="00A8473D">
        <w:rPr>
          <w:smallCaps/>
          <w:sz w:val="22"/>
          <w:szCs w:val="22"/>
          <w:lang w:val="nl-BE"/>
        </w:rPr>
        <w:t>vlaamse</w:t>
      </w:r>
      <w:proofErr w:type="spellEnd"/>
      <w:r w:rsidRPr="00A8473D">
        <w:rPr>
          <w:smallCaps/>
          <w:sz w:val="22"/>
          <w:szCs w:val="22"/>
          <w:lang w:val="nl-BE"/>
        </w:rPr>
        <w:t xml:space="preserve"> regering, </w:t>
      </w:r>
      <w:proofErr w:type="spellStart"/>
      <w:r w:rsidRPr="00A8473D">
        <w:rPr>
          <w:smallCaps/>
          <w:sz w:val="22"/>
          <w:szCs w:val="22"/>
          <w:lang w:val="nl-BE"/>
        </w:rPr>
        <w:t>vlaams</w:t>
      </w:r>
      <w:proofErr w:type="spellEnd"/>
      <w:r w:rsidRPr="00A8473D">
        <w:rPr>
          <w:smallCaps/>
          <w:sz w:val="22"/>
          <w:szCs w:val="22"/>
          <w:lang w:val="nl-BE"/>
        </w:rPr>
        <w:t xml:space="preserve"> minister van economie, buitenlands beleid, landbouw en plattelandsbeleid</w:t>
      </w:r>
    </w:p>
    <w:p w:rsidR="00B766A0" w:rsidRPr="00DE405B" w:rsidRDefault="00B766A0" w:rsidP="00B766A0">
      <w:pPr>
        <w:pStyle w:val="StandaardSV"/>
        <w:pBdr>
          <w:bottom w:val="single" w:sz="4" w:space="1" w:color="auto"/>
        </w:pBdr>
        <w:rPr>
          <w:lang w:val="nl-BE"/>
        </w:rPr>
      </w:pPr>
    </w:p>
    <w:p w:rsidR="00B766A0" w:rsidRDefault="00B766A0" w:rsidP="00B766A0">
      <w:pPr>
        <w:jc w:val="both"/>
        <w:rPr>
          <w:sz w:val="22"/>
        </w:rPr>
      </w:pPr>
    </w:p>
    <w:p w:rsidR="006D0174" w:rsidRPr="00A8473D" w:rsidRDefault="006D0174" w:rsidP="006D0174">
      <w:pPr>
        <w:jc w:val="both"/>
        <w:outlineLvl w:val="0"/>
        <w:rPr>
          <w:rFonts w:ascii="Times New Roman Vet" w:hAnsi="Times New Roman Vet"/>
          <w:b/>
          <w:smallCaps/>
          <w:sz w:val="22"/>
          <w:szCs w:val="22"/>
          <w:lang w:val="nl-BE"/>
        </w:rPr>
      </w:pPr>
      <w:r>
        <w:rPr>
          <w:rFonts w:ascii="Times New Roman Vet" w:hAnsi="Times New Roman Vet"/>
          <w:b/>
          <w:smallCaps/>
          <w:sz w:val="22"/>
          <w:szCs w:val="22"/>
          <w:lang w:val="nl-BE"/>
        </w:rPr>
        <w:t>antwoord</w:t>
      </w:r>
    </w:p>
    <w:p w:rsidR="00B766A0" w:rsidRDefault="00FD73C7" w:rsidP="006D0174">
      <w:pPr>
        <w:jc w:val="both"/>
        <w:outlineLvl w:val="0"/>
        <w:rPr>
          <w:sz w:val="22"/>
        </w:rPr>
      </w:pPr>
      <w:r>
        <w:rPr>
          <w:sz w:val="22"/>
        </w:rPr>
        <w:t>op v</w:t>
      </w:r>
      <w:r w:rsidR="00B766A0">
        <w:rPr>
          <w:sz w:val="22"/>
        </w:rPr>
        <w:t>raag nr. 167</w:t>
      </w:r>
      <w:r w:rsidR="006D0174">
        <w:rPr>
          <w:sz w:val="22"/>
        </w:rPr>
        <w:t xml:space="preserve"> </w:t>
      </w:r>
      <w:r w:rsidR="00B766A0">
        <w:rPr>
          <w:sz w:val="22"/>
        </w:rPr>
        <w:t>van 27 november 2013</w:t>
      </w:r>
    </w:p>
    <w:p w:rsidR="00B766A0" w:rsidRDefault="00B766A0" w:rsidP="00B766A0">
      <w:pPr>
        <w:jc w:val="both"/>
        <w:rPr>
          <w:b/>
          <w:sz w:val="22"/>
        </w:rPr>
      </w:pPr>
      <w:r>
        <w:rPr>
          <w:sz w:val="22"/>
        </w:rPr>
        <w:t xml:space="preserve">van </w:t>
      </w:r>
      <w:proofErr w:type="spellStart"/>
      <w:r>
        <w:rPr>
          <w:b/>
          <w:smallCaps/>
          <w:sz w:val="22"/>
        </w:rPr>
        <w:t>jurgen</w:t>
      </w:r>
      <w:proofErr w:type="spellEnd"/>
      <w:r>
        <w:rPr>
          <w:b/>
          <w:smallCaps/>
          <w:sz w:val="22"/>
        </w:rPr>
        <w:t xml:space="preserve"> </w:t>
      </w:r>
      <w:proofErr w:type="spellStart"/>
      <w:r>
        <w:rPr>
          <w:b/>
          <w:smallCaps/>
          <w:sz w:val="22"/>
        </w:rPr>
        <w:t>vanlerberghe</w:t>
      </w:r>
      <w:proofErr w:type="spellEnd"/>
    </w:p>
    <w:p w:rsidR="00B766A0" w:rsidRDefault="00B766A0" w:rsidP="00B766A0">
      <w:pPr>
        <w:pBdr>
          <w:bottom w:val="single" w:sz="4" w:space="1" w:color="auto"/>
        </w:pBdr>
        <w:jc w:val="both"/>
        <w:rPr>
          <w:sz w:val="22"/>
        </w:rPr>
      </w:pPr>
    </w:p>
    <w:p w:rsidR="00B766A0" w:rsidRDefault="00B766A0" w:rsidP="00B766A0">
      <w:pPr>
        <w:pStyle w:val="StandaardSV"/>
      </w:pPr>
    </w:p>
    <w:p w:rsidR="00B766A0" w:rsidRDefault="00B766A0" w:rsidP="00B766A0">
      <w:pPr>
        <w:pStyle w:val="StandaardSV"/>
      </w:pPr>
    </w:p>
    <w:p w:rsidR="007F1524" w:rsidRDefault="007F1524" w:rsidP="00765A90">
      <w:pPr>
        <w:pStyle w:val="StandaardSV"/>
        <w:numPr>
          <w:ilvl w:val="0"/>
          <w:numId w:val="1"/>
        </w:numPr>
        <w:ind w:left="360"/>
      </w:pPr>
      <w:r>
        <w:t xml:space="preserve">Sinds 2009 werden 33 omschakelplannen opgemaakt.  </w:t>
      </w:r>
    </w:p>
    <w:p w:rsidR="007F1524" w:rsidRDefault="007F1524" w:rsidP="00B766A0">
      <w:pPr>
        <w:pStyle w:val="StandaardSV"/>
      </w:pPr>
    </w:p>
    <w:tbl>
      <w:tblPr>
        <w:tblStyle w:val="Tabelraster"/>
        <w:tblW w:w="0" w:type="auto"/>
        <w:tblLook w:val="04A0" w:firstRow="1" w:lastRow="0" w:firstColumn="1" w:lastColumn="0" w:noHBand="0" w:noVBand="1"/>
      </w:tblPr>
      <w:tblGrid>
        <w:gridCol w:w="796"/>
        <w:gridCol w:w="1577"/>
        <w:gridCol w:w="1643"/>
        <w:gridCol w:w="1406"/>
        <w:gridCol w:w="1638"/>
        <w:gridCol w:w="1695"/>
      </w:tblGrid>
      <w:tr w:rsidR="007F1524" w:rsidTr="007F1524">
        <w:tc>
          <w:tcPr>
            <w:tcW w:w="796" w:type="dxa"/>
          </w:tcPr>
          <w:p w:rsidR="007F1524" w:rsidRDefault="007F1524" w:rsidP="00B766A0">
            <w:pPr>
              <w:pStyle w:val="StandaardSV"/>
            </w:pPr>
          </w:p>
        </w:tc>
        <w:tc>
          <w:tcPr>
            <w:tcW w:w="1577" w:type="dxa"/>
          </w:tcPr>
          <w:p w:rsidR="007F1524" w:rsidRDefault="007F1524" w:rsidP="00B766A0">
            <w:pPr>
              <w:pStyle w:val="StandaardSV"/>
            </w:pPr>
            <w:r>
              <w:t>West Vlaanderen</w:t>
            </w:r>
          </w:p>
        </w:tc>
        <w:tc>
          <w:tcPr>
            <w:tcW w:w="1643" w:type="dxa"/>
          </w:tcPr>
          <w:p w:rsidR="007F1524" w:rsidRDefault="007F1524" w:rsidP="00B766A0">
            <w:pPr>
              <w:pStyle w:val="StandaardSV"/>
            </w:pPr>
            <w:r>
              <w:t>Oost Vlaanderen</w:t>
            </w:r>
          </w:p>
        </w:tc>
        <w:tc>
          <w:tcPr>
            <w:tcW w:w="1406" w:type="dxa"/>
          </w:tcPr>
          <w:p w:rsidR="007F1524" w:rsidRDefault="007F1524" w:rsidP="00B766A0">
            <w:pPr>
              <w:pStyle w:val="StandaardSV"/>
            </w:pPr>
            <w:r>
              <w:t>Vlaams Brabant</w:t>
            </w:r>
          </w:p>
        </w:tc>
        <w:tc>
          <w:tcPr>
            <w:tcW w:w="1638" w:type="dxa"/>
          </w:tcPr>
          <w:p w:rsidR="007F1524" w:rsidRDefault="007F1524" w:rsidP="007F1524">
            <w:pPr>
              <w:pStyle w:val="StandaardSV"/>
            </w:pPr>
            <w:r>
              <w:t>Antwerpen</w:t>
            </w:r>
          </w:p>
        </w:tc>
        <w:tc>
          <w:tcPr>
            <w:tcW w:w="1695" w:type="dxa"/>
          </w:tcPr>
          <w:p w:rsidR="007F1524" w:rsidRDefault="007F1524" w:rsidP="007F1524">
            <w:pPr>
              <w:pStyle w:val="StandaardSV"/>
            </w:pPr>
            <w:r>
              <w:t>Limburg</w:t>
            </w:r>
          </w:p>
        </w:tc>
      </w:tr>
      <w:tr w:rsidR="007F1524" w:rsidTr="007F1524">
        <w:tc>
          <w:tcPr>
            <w:tcW w:w="796" w:type="dxa"/>
          </w:tcPr>
          <w:p w:rsidR="007F1524" w:rsidRDefault="007F1524" w:rsidP="00B766A0">
            <w:pPr>
              <w:pStyle w:val="StandaardSV"/>
            </w:pPr>
            <w:r>
              <w:t>2009</w:t>
            </w:r>
          </w:p>
        </w:tc>
        <w:tc>
          <w:tcPr>
            <w:tcW w:w="1577" w:type="dxa"/>
          </w:tcPr>
          <w:p w:rsidR="007F1524" w:rsidRDefault="007F1524" w:rsidP="00B766A0">
            <w:pPr>
              <w:pStyle w:val="StandaardSV"/>
            </w:pPr>
            <w:r>
              <w:t>/</w:t>
            </w:r>
          </w:p>
        </w:tc>
        <w:tc>
          <w:tcPr>
            <w:tcW w:w="1643" w:type="dxa"/>
          </w:tcPr>
          <w:p w:rsidR="007F1524" w:rsidRDefault="007F1524" w:rsidP="00B766A0">
            <w:pPr>
              <w:pStyle w:val="StandaardSV"/>
            </w:pPr>
            <w:r>
              <w:t>2</w:t>
            </w:r>
          </w:p>
        </w:tc>
        <w:tc>
          <w:tcPr>
            <w:tcW w:w="1406" w:type="dxa"/>
          </w:tcPr>
          <w:p w:rsidR="007F1524" w:rsidRDefault="007F1524" w:rsidP="00B766A0">
            <w:pPr>
              <w:pStyle w:val="StandaardSV"/>
            </w:pPr>
            <w:r>
              <w:t>/</w:t>
            </w:r>
          </w:p>
        </w:tc>
        <w:tc>
          <w:tcPr>
            <w:tcW w:w="1638" w:type="dxa"/>
          </w:tcPr>
          <w:p w:rsidR="007F1524" w:rsidRDefault="007F1524" w:rsidP="00B766A0">
            <w:pPr>
              <w:pStyle w:val="StandaardSV"/>
            </w:pPr>
            <w:r>
              <w:t>4</w:t>
            </w:r>
          </w:p>
        </w:tc>
        <w:tc>
          <w:tcPr>
            <w:tcW w:w="1695" w:type="dxa"/>
          </w:tcPr>
          <w:p w:rsidR="007F1524" w:rsidRDefault="003C6A4E" w:rsidP="00B766A0">
            <w:pPr>
              <w:pStyle w:val="StandaardSV"/>
            </w:pPr>
            <w:r>
              <w:t>/</w:t>
            </w:r>
          </w:p>
        </w:tc>
      </w:tr>
      <w:tr w:rsidR="007F1524" w:rsidTr="007F1524">
        <w:tc>
          <w:tcPr>
            <w:tcW w:w="796" w:type="dxa"/>
          </w:tcPr>
          <w:p w:rsidR="007F1524" w:rsidRDefault="007F1524" w:rsidP="00B766A0">
            <w:pPr>
              <w:pStyle w:val="StandaardSV"/>
            </w:pPr>
            <w:r>
              <w:t>2010</w:t>
            </w:r>
          </w:p>
        </w:tc>
        <w:tc>
          <w:tcPr>
            <w:tcW w:w="1577" w:type="dxa"/>
          </w:tcPr>
          <w:p w:rsidR="007F1524" w:rsidRDefault="007F1524" w:rsidP="00B766A0">
            <w:pPr>
              <w:pStyle w:val="StandaardSV"/>
            </w:pPr>
            <w:r>
              <w:t>2</w:t>
            </w:r>
          </w:p>
        </w:tc>
        <w:tc>
          <w:tcPr>
            <w:tcW w:w="1643" w:type="dxa"/>
          </w:tcPr>
          <w:p w:rsidR="007F1524" w:rsidRDefault="003C6A4E" w:rsidP="00B766A0">
            <w:pPr>
              <w:pStyle w:val="StandaardSV"/>
            </w:pPr>
            <w:r>
              <w:t>3</w:t>
            </w:r>
          </w:p>
        </w:tc>
        <w:tc>
          <w:tcPr>
            <w:tcW w:w="1406" w:type="dxa"/>
          </w:tcPr>
          <w:p w:rsidR="007F1524" w:rsidRDefault="003C6A4E" w:rsidP="00B766A0">
            <w:pPr>
              <w:pStyle w:val="StandaardSV"/>
            </w:pPr>
            <w:r>
              <w:t>1</w:t>
            </w:r>
          </w:p>
        </w:tc>
        <w:tc>
          <w:tcPr>
            <w:tcW w:w="1638" w:type="dxa"/>
          </w:tcPr>
          <w:p w:rsidR="007F1524" w:rsidRDefault="007F1524" w:rsidP="00B766A0">
            <w:pPr>
              <w:pStyle w:val="StandaardSV"/>
            </w:pPr>
            <w:r>
              <w:t>1</w:t>
            </w:r>
          </w:p>
        </w:tc>
        <w:tc>
          <w:tcPr>
            <w:tcW w:w="1695" w:type="dxa"/>
          </w:tcPr>
          <w:p w:rsidR="007F1524" w:rsidRDefault="003C6A4E" w:rsidP="00B766A0">
            <w:pPr>
              <w:pStyle w:val="StandaardSV"/>
            </w:pPr>
            <w:r>
              <w:t>1</w:t>
            </w:r>
          </w:p>
        </w:tc>
      </w:tr>
      <w:tr w:rsidR="007F1524" w:rsidTr="007F1524">
        <w:tc>
          <w:tcPr>
            <w:tcW w:w="796" w:type="dxa"/>
          </w:tcPr>
          <w:p w:rsidR="007F1524" w:rsidRDefault="007F1524" w:rsidP="00B766A0">
            <w:pPr>
              <w:pStyle w:val="StandaardSV"/>
            </w:pPr>
            <w:r>
              <w:t>2011</w:t>
            </w:r>
          </w:p>
        </w:tc>
        <w:tc>
          <w:tcPr>
            <w:tcW w:w="1577" w:type="dxa"/>
          </w:tcPr>
          <w:p w:rsidR="007F1524" w:rsidRDefault="003C6A4E" w:rsidP="00B766A0">
            <w:pPr>
              <w:pStyle w:val="StandaardSV"/>
            </w:pPr>
            <w:r>
              <w:t>4</w:t>
            </w:r>
          </w:p>
        </w:tc>
        <w:tc>
          <w:tcPr>
            <w:tcW w:w="1643" w:type="dxa"/>
          </w:tcPr>
          <w:p w:rsidR="007F1524" w:rsidRDefault="003C6A4E" w:rsidP="00B766A0">
            <w:pPr>
              <w:pStyle w:val="StandaardSV"/>
            </w:pPr>
            <w:r>
              <w:t>/</w:t>
            </w:r>
          </w:p>
        </w:tc>
        <w:tc>
          <w:tcPr>
            <w:tcW w:w="1406" w:type="dxa"/>
          </w:tcPr>
          <w:p w:rsidR="007F1524" w:rsidRDefault="003C6A4E" w:rsidP="00B766A0">
            <w:pPr>
              <w:pStyle w:val="StandaardSV"/>
            </w:pPr>
            <w:r>
              <w:t>4</w:t>
            </w:r>
          </w:p>
        </w:tc>
        <w:tc>
          <w:tcPr>
            <w:tcW w:w="1638" w:type="dxa"/>
          </w:tcPr>
          <w:p w:rsidR="007F1524" w:rsidRDefault="003C6A4E" w:rsidP="00B766A0">
            <w:pPr>
              <w:pStyle w:val="StandaardSV"/>
            </w:pPr>
            <w:r>
              <w:t>/</w:t>
            </w:r>
          </w:p>
        </w:tc>
        <w:tc>
          <w:tcPr>
            <w:tcW w:w="1695" w:type="dxa"/>
          </w:tcPr>
          <w:p w:rsidR="007F1524" w:rsidRDefault="003C6A4E" w:rsidP="00B766A0">
            <w:pPr>
              <w:pStyle w:val="StandaardSV"/>
            </w:pPr>
            <w:r>
              <w:t>/</w:t>
            </w:r>
          </w:p>
        </w:tc>
      </w:tr>
      <w:tr w:rsidR="007F1524" w:rsidTr="007F1524">
        <w:tc>
          <w:tcPr>
            <w:tcW w:w="796" w:type="dxa"/>
          </w:tcPr>
          <w:p w:rsidR="007F1524" w:rsidRDefault="007F1524" w:rsidP="00B766A0">
            <w:pPr>
              <w:pStyle w:val="StandaardSV"/>
            </w:pPr>
            <w:r>
              <w:t>2012</w:t>
            </w:r>
          </w:p>
        </w:tc>
        <w:tc>
          <w:tcPr>
            <w:tcW w:w="1577" w:type="dxa"/>
          </w:tcPr>
          <w:p w:rsidR="007F1524" w:rsidRDefault="003C6A4E" w:rsidP="00B766A0">
            <w:pPr>
              <w:pStyle w:val="StandaardSV"/>
            </w:pPr>
            <w:r>
              <w:t>2</w:t>
            </w:r>
          </w:p>
        </w:tc>
        <w:tc>
          <w:tcPr>
            <w:tcW w:w="1643" w:type="dxa"/>
          </w:tcPr>
          <w:p w:rsidR="007F1524" w:rsidRDefault="003C6A4E" w:rsidP="00B766A0">
            <w:pPr>
              <w:pStyle w:val="StandaardSV"/>
            </w:pPr>
            <w:r>
              <w:t>2</w:t>
            </w:r>
          </w:p>
        </w:tc>
        <w:tc>
          <w:tcPr>
            <w:tcW w:w="1406" w:type="dxa"/>
          </w:tcPr>
          <w:p w:rsidR="007F1524" w:rsidRDefault="003C6A4E" w:rsidP="00B766A0">
            <w:pPr>
              <w:pStyle w:val="StandaardSV"/>
            </w:pPr>
            <w:r>
              <w:t>/</w:t>
            </w:r>
          </w:p>
        </w:tc>
        <w:tc>
          <w:tcPr>
            <w:tcW w:w="1638" w:type="dxa"/>
          </w:tcPr>
          <w:p w:rsidR="007F1524" w:rsidRDefault="003C6A4E" w:rsidP="00B766A0">
            <w:pPr>
              <w:pStyle w:val="StandaardSV"/>
            </w:pPr>
            <w:r>
              <w:t>2</w:t>
            </w:r>
          </w:p>
        </w:tc>
        <w:tc>
          <w:tcPr>
            <w:tcW w:w="1695" w:type="dxa"/>
          </w:tcPr>
          <w:p w:rsidR="007F1524" w:rsidRDefault="003C6A4E" w:rsidP="00B766A0">
            <w:pPr>
              <w:pStyle w:val="StandaardSV"/>
            </w:pPr>
            <w:r>
              <w:t>/</w:t>
            </w:r>
          </w:p>
        </w:tc>
      </w:tr>
      <w:tr w:rsidR="007F1524" w:rsidTr="007F1524">
        <w:tc>
          <w:tcPr>
            <w:tcW w:w="796" w:type="dxa"/>
          </w:tcPr>
          <w:p w:rsidR="007F1524" w:rsidRDefault="007F1524" w:rsidP="00B766A0">
            <w:pPr>
              <w:pStyle w:val="StandaardSV"/>
            </w:pPr>
            <w:r>
              <w:t>2013</w:t>
            </w:r>
          </w:p>
        </w:tc>
        <w:tc>
          <w:tcPr>
            <w:tcW w:w="1577" w:type="dxa"/>
          </w:tcPr>
          <w:p w:rsidR="007F1524" w:rsidRDefault="003C6A4E" w:rsidP="00B766A0">
            <w:pPr>
              <w:pStyle w:val="StandaardSV"/>
            </w:pPr>
            <w:r>
              <w:t>/</w:t>
            </w:r>
          </w:p>
        </w:tc>
        <w:tc>
          <w:tcPr>
            <w:tcW w:w="1643" w:type="dxa"/>
          </w:tcPr>
          <w:p w:rsidR="007F1524" w:rsidRDefault="003C6A4E" w:rsidP="00B766A0">
            <w:pPr>
              <w:pStyle w:val="StandaardSV"/>
            </w:pPr>
            <w:r>
              <w:t>2</w:t>
            </w:r>
          </w:p>
        </w:tc>
        <w:tc>
          <w:tcPr>
            <w:tcW w:w="1406" w:type="dxa"/>
          </w:tcPr>
          <w:p w:rsidR="007F1524" w:rsidRDefault="003C6A4E" w:rsidP="00B766A0">
            <w:pPr>
              <w:pStyle w:val="StandaardSV"/>
            </w:pPr>
            <w:r>
              <w:t>/</w:t>
            </w:r>
          </w:p>
        </w:tc>
        <w:tc>
          <w:tcPr>
            <w:tcW w:w="1638" w:type="dxa"/>
          </w:tcPr>
          <w:p w:rsidR="007F1524" w:rsidRDefault="003C6A4E" w:rsidP="00B766A0">
            <w:pPr>
              <w:pStyle w:val="StandaardSV"/>
            </w:pPr>
            <w:r>
              <w:t>2</w:t>
            </w:r>
          </w:p>
        </w:tc>
        <w:tc>
          <w:tcPr>
            <w:tcW w:w="1695" w:type="dxa"/>
          </w:tcPr>
          <w:p w:rsidR="007F1524" w:rsidRDefault="003C6A4E" w:rsidP="00B766A0">
            <w:pPr>
              <w:pStyle w:val="StandaardSV"/>
            </w:pPr>
            <w:r>
              <w:t>1</w:t>
            </w:r>
          </w:p>
        </w:tc>
      </w:tr>
    </w:tbl>
    <w:p w:rsidR="007F1524" w:rsidRDefault="007F1524" w:rsidP="00B766A0">
      <w:pPr>
        <w:pStyle w:val="StandaardSV"/>
      </w:pPr>
    </w:p>
    <w:p w:rsidR="00C9343C" w:rsidRDefault="00C9343C" w:rsidP="00765A90">
      <w:pPr>
        <w:pStyle w:val="StandaardSV"/>
        <w:numPr>
          <w:ilvl w:val="0"/>
          <w:numId w:val="1"/>
        </w:numPr>
        <w:ind w:left="360"/>
      </w:pPr>
      <w:r>
        <w:t>1</w:t>
      </w:r>
      <w:r w:rsidR="00FA58B5">
        <w:t>9</w:t>
      </w:r>
      <w:r>
        <w:t xml:space="preserve"> van de 33 omschakelingsplannen hebben effectief reeds geresulteerd in een omschakeling naar de biologische productie</w:t>
      </w:r>
      <w:r w:rsidR="00EF54CF">
        <w:t xml:space="preserve"> of werd</w:t>
      </w:r>
      <w:r w:rsidR="00407609">
        <w:t>en</w:t>
      </w:r>
      <w:r w:rsidR="00EF54CF">
        <w:t xml:space="preserve"> opgemaakt in de eerste 2 jaar sedert de start met de biologische productie</w:t>
      </w:r>
      <w:r>
        <w:t>.</w:t>
      </w:r>
    </w:p>
    <w:p w:rsidR="00C9343C" w:rsidRDefault="00C9343C" w:rsidP="00B766A0">
      <w:pPr>
        <w:pStyle w:val="StandaardSV"/>
      </w:pPr>
    </w:p>
    <w:tbl>
      <w:tblPr>
        <w:tblStyle w:val="Tabelraster"/>
        <w:tblW w:w="0" w:type="auto"/>
        <w:tblLook w:val="04A0" w:firstRow="1" w:lastRow="0" w:firstColumn="1" w:lastColumn="0" w:noHBand="0" w:noVBand="1"/>
      </w:tblPr>
      <w:tblGrid>
        <w:gridCol w:w="796"/>
        <w:gridCol w:w="1577"/>
        <w:gridCol w:w="1643"/>
        <w:gridCol w:w="1406"/>
        <w:gridCol w:w="1638"/>
        <w:gridCol w:w="1695"/>
      </w:tblGrid>
      <w:tr w:rsidR="003C6A4E" w:rsidTr="00C25806">
        <w:tc>
          <w:tcPr>
            <w:tcW w:w="796" w:type="dxa"/>
          </w:tcPr>
          <w:p w:rsidR="003C6A4E" w:rsidRDefault="003C6A4E" w:rsidP="00C25806">
            <w:pPr>
              <w:pStyle w:val="StandaardSV"/>
            </w:pPr>
          </w:p>
        </w:tc>
        <w:tc>
          <w:tcPr>
            <w:tcW w:w="1577" w:type="dxa"/>
          </w:tcPr>
          <w:p w:rsidR="003C6A4E" w:rsidRDefault="003C6A4E" w:rsidP="00C25806">
            <w:pPr>
              <w:pStyle w:val="StandaardSV"/>
            </w:pPr>
            <w:r>
              <w:t>West Vlaanderen</w:t>
            </w:r>
          </w:p>
        </w:tc>
        <w:tc>
          <w:tcPr>
            <w:tcW w:w="1643" w:type="dxa"/>
          </w:tcPr>
          <w:p w:rsidR="003C6A4E" w:rsidRDefault="003C6A4E" w:rsidP="00C25806">
            <w:pPr>
              <w:pStyle w:val="StandaardSV"/>
            </w:pPr>
            <w:r>
              <w:t>Oost Vlaanderen</w:t>
            </w:r>
          </w:p>
        </w:tc>
        <w:tc>
          <w:tcPr>
            <w:tcW w:w="1406" w:type="dxa"/>
          </w:tcPr>
          <w:p w:rsidR="003C6A4E" w:rsidRDefault="003C6A4E" w:rsidP="00C25806">
            <w:pPr>
              <w:pStyle w:val="StandaardSV"/>
            </w:pPr>
            <w:r>
              <w:t>Vlaams Brabant</w:t>
            </w:r>
          </w:p>
        </w:tc>
        <w:tc>
          <w:tcPr>
            <w:tcW w:w="1638" w:type="dxa"/>
          </w:tcPr>
          <w:p w:rsidR="003C6A4E" w:rsidRDefault="003C6A4E" w:rsidP="00C25806">
            <w:pPr>
              <w:pStyle w:val="StandaardSV"/>
            </w:pPr>
            <w:r>
              <w:t>Antwerpen</w:t>
            </w:r>
          </w:p>
        </w:tc>
        <w:tc>
          <w:tcPr>
            <w:tcW w:w="1695" w:type="dxa"/>
          </w:tcPr>
          <w:p w:rsidR="003C6A4E" w:rsidRDefault="003C6A4E" w:rsidP="00C25806">
            <w:pPr>
              <w:pStyle w:val="StandaardSV"/>
            </w:pPr>
            <w:r>
              <w:t>Limburg</w:t>
            </w:r>
          </w:p>
        </w:tc>
      </w:tr>
      <w:tr w:rsidR="003C6A4E" w:rsidTr="00C25806">
        <w:tc>
          <w:tcPr>
            <w:tcW w:w="796" w:type="dxa"/>
          </w:tcPr>
          <w:p w:rsidR="003C6A4E" w:rsidRDefault="003C6A4E" w:rsidP="00C25806">
            <w:pPr>
              <w:pStyle w:val="StandaardSV"/>
            </w:pPr>
            <w:r>
              <w:t>2009</w:t>
            </w:r>
          </w:p>
        </w:tc>
        <w:tc>
          <w:tcPr>
            <w:tcW w:w="1577" w:type="dxa"/>
          </w:tcPr>
          <w:p w:rsidR="003C6A4E" w:rsidRDefault="00F11FEC" w:rsidP="00C25806">
            <w:pPr>
              <w:pStyle w:val="StandaardSV"/>
            </w:pPr>
            <w:r>
              <w:t>n.v.t.</w:t>
            </w:r>
          </w:p>
        </w:tc>
        <w:tc>
          <w:tcPr>
            <w:tcW w:w="1643" w:type="dxa"/>
          </w:tcPr>
          <w:p w:rsidR="003C6A4E" w:rsidRDefault="00C9343C" w:rsidP="00C9343C">
            <w:pPr>
              <w:pStyle w:val="StandaardSV"/>
            </w:pPr>
            <w:r>
              <w:t>2</w:t>
            </w:r>
            <w:r w:rsidR="00F11FEC">
              <w:t>/2</w:t>
            </w:r>
          </w:p>
        </w:tc>
        <w:tc>
          <w:tcPr>
            <w:tcW w:w="1406" w:type="dxa"/>
          </w:tcPr>
          <w:p w:rsidR="003C6A4E" w:rsidRDefault="00F11FEC" w:rsidP="00C25806">
            <w:pPr>
              <w:pStyle w:val="StandaardSV"/>
            </w:pPr>
            <w:r>
              <w:t>n.v.t.</w:t>
            </w:r>
          </w:p>
        </w:tc>
        <w:tc>
          <w:tcPr>
            <w:tcW w:w="1638" w:type="dxa"/>
          </w:tcPr>
          <w:p w:rsidR="003C6A4E" w:rsidRDefault="00FA58B5" w:rsidP="00FA58B5">
            <w:pPr>
              <w:pStyle w:val="StandaardSV"/>
            </w:pPr>
            <w:r>
              <w:t>3/4</w:t>
            </w:r>
          </w:p>
        </w:tc>
        <w:tc>
          <w:tcPr>
            <w:tcW w:w="1695" w:type="dxa"/>
          </w:tcPr>
          <w:p w:rsidR="003C6A4E" w:rsidRDefault="00F11FEC" w:rsidP="00C25806">
            <w:pPr>
              <w:pStyle w:val="StandaardSV"/>
            </w:pPr>
            <w:r>
              <w:t>n.v.t.</w:t>
            </w:r>
          </w:p>
        </w:tc>
      </w:tr>
      <w:tr w:rsidR="003C6A4E" w:rsidTr="00C25806">
        <w:tc>
          <w:tcPr>
            <w:tcW w:w="796" w:type="dxa"/>
          </w:tcPr>
          <w:p w:rsidR="003C6A4E" w:rsidRDefault="003C6A4E" w:rsidP="00C25806">
            <w:pPr>
              <w:pStyle w:val="StandaardSV"/>
            </w:pPr>
            <w:r>
              <w:t>2010</w:t>
            </w:r>
          </w:p>
        </w:tc>
        <w:tc>
          <w:tcPr>
            <w:tcW w:w="1577" w:type="dxa"/>
          </w:tcPr>
          <w:p w:rsidR="003C6A4E" w:rsidRDefault="00C9343C" w:rsidP="00C9343C">
            <w:pPr>
              <w:pStyle w:val="StandaardSV"/>
            </w:pPr>
            <w:r>
              <w:t>1/2</w:t>
            </w:r>
          </w:p>
        </w:tc>
        <w:tc>
          <w:tcPr>
            <w:tcW w:w="1643" w:type="dxa"/>
          </w:tcPr>
          <w:p w:rsidR="003C6A4E" w:rsidRDefault="00FA58B5" w:rsidP="00FA58B5">
            <w:pPr>
              <w:pStyle w:val="StandaardSV"/>
            </w:pPr>
            <w:r>
              <w:t>1</w:t>
            </w:r>
            <w:r w:rsidR="00C9343C">
              <w:t>/3</w:t>
            </w:r>
          </w:p>
        </w:tc>
        <w:tc>
          <w:tcPr>
            <w:tcW w:w="1406" w:type="dxa"/>
          </w:tcPr>
          <w:p w:rsidR="003C6A4E" w:rsidRDefault="00F11FEC" w:rsidP="00C25806">
            <w:pPr>
              <w:pStyle w:val="StandaardSV"/>
            </w:pPr>
            <w:r>
              <w:t>1/1</w:t>
            </w:r>
          </w:p>
        </w:tc>
        <w:tc>
          <w:tcPr>
            <w:tcW w:w="1638" w:type="dxa"/>
          </w:tcPr>
          <w:p w:rsidR="003C6A4E" w:rsidRDefault="00C9343C" w:rsidP="00C25806">
            <w:pPr>
              <w:pStyle w:val="StandaardSV"/>
            </w:pPr>
            <w:r>
              <w:t>0/1</w:t>
            </w:r>
          </w:p>
        </w:tc>
        <w:tc>
          <w:tcPr>
            <w:tcW w:w="1695" w:type="dxa"/>
          </w:tcPr>
          <w:p w:rsidR="003C6A4E" w:rsidRDefault="00F11FEC" w:rsidP="00C25806">
            <w:pPr>
              <w:pStyle w:val="StandaardSV"/>
            </w:pPr>
            <w:r>
              <w:t>1/1</w:t>
            </w:r>
          </w:p>
        </w:tc>
      </w:tr>
      <w:tr w:rsidR="003C6A4E" w:rsidTr="00C25806">
        <w:tc>
          <w:tcPr>
            <w:tcW w:w="796" w:type="dxa"/>
          </w:tcPr>
          <w:p w:rsidR="003C6A4E" w:rsidRDefault="003C6A4E" w:rsidP="00C25806">
            <w:pPr>
              <w:pStyle w:val="StandaardSV"/>
            </w:pPr>
            <w:r>
              <w:t>2011</w:t>
            </w:r>
          </w:p>
        </w:tc>
        <w:tc>
          <w:tcPr>
            <w:tcW w:w="1577" w:type="dxa"/>
          </w:tcPr>
          <w:p w:rsidR="003C6A4E" w:rsidRDefault="00C9343C" w:rsidP="00C9343C">
            <w:pPr>
              <w:pStyle w:val="StandaardSV"/>
            </w:pPr>
            <w:r>
              <w:t>3/4</w:t>
            </w:r>
          </w:p>
        </w:tc>
        <w:tc>
          <w:tcPr>
            <w:tcW w:w="1643" w:type="dxa"/>
          </w:tcPr>
          <w:p w:rsidR="003C6A4E" w:rsidRDefault="00F11FEC" w:rsidP="00C25806">
            <w:pPr>
              <w:pStyle w:val="StandaardSV"/>
            </w:pPr>
            <w:r>
              <w:t>n.v.t.</w:t>
            </w:r>
          </w:p>
        </w:tc>
        <w:tc>
          <w:tcPr>
            <w:tcW w:w="1406" w:type="dxa"/>
          </w:tcPr>
          <w:p w:rsidR="003C6A4E" w:rsidRDefault="00C9343C" w:rsidP="00C25806">
            <w:pPr>
              <w:pStyle w:val="StandaardSV"/>
            </w:pPr>
            <w:r>
              <w:t>2/4</w:t>
            </w:r>
          </w:p>
        </w:tc>
        <w:tc>
          <w:tcPr>
            <w:tcW w:w="1638" w:type="dxa"/>
          </w:tcPr>
          <w:p w:rsidR="003C6A4E" w:rsidRDefault="00F11FEC" w:rsidP="00C25806">
            <w:pPr>
              <w:pStyle w:val="StandaardSV"/>
            </w:pPr>
            <w:r>
              <w:t>n.v.t.</w:t>
            </w:r>
          </w:p>
        </w:tc>
        <w:tc>
          <w:tcPr>
            <w:tcW w:w="1695" w:type="dxa"/>
          </w:tcPr>
          <w:p w:rsidR="003C6A4E" w:rsidRDefault="00F11FEC" w:rsidP="00C25806">
            <w:pPr>
              <w:pStyle w:val="StandaardSV"/>
            </w:pPr>
            <w:r>
              <w:t>n.v.t.</w:t>
            </w:r>
          </w:p>
        </w:tc>
      </w:tr>
      <w:tr w:rsidR="003C6A4E" w:rsidTr="00C25806">
        <w:tc>
          <w:tcPr>
            <w:tcW w:w="796" w:type="dxa"/>
          </w:tcPr>
          <w:p w:rsidR="003C6A4E" w:rsidRDefault="003C6A4E" w:rsidP="00C25806">
            <w:pPr>
              <w:pStyle w:val="StandaardSV"/>
            </w:pPr>
            <w:r>
              <w:t>2012</w:t>
            </w:r>
          </w:p>
        </w:tc>
        <w:tc>
          <w:tcPr>
            <w:tcW w:w="1577" w:type="dxa"/>
          </w:tcPr>
          <w:p w:rsidR="003C6A4E" w:rsidRDefault="00F11FEC" w:rsidP="00C25806">
            <w:pPr>
              <w:pStyle w:val="StandaardSV"/>
            </w:pPr>
            <w:r>
              <w:t>0/2</w:t>
            </w:r>
          </w:p>
        </w:tc>
        <w:tc>
          <w:tcPr>
            <w:tcW w:w="1643" w:type="dxa"/>
          </w:tcPr>
          <w:p w:rsidR="003C6A4E" w:rsidRDefault="00F11FEC" w:rsidP="00C25806">
            <w:pPr>
              <w:pStyle w:val="StandaardSV"/>
            </w:pPr>
            <w:r>
              <w:t>2/2</w:t>
            </w:r>
          </w:p>
        </w:tc>
        <w:tc>
          <w:tcPr>
            <w:tcW w:w="1406" w:type="dxa"/>
          </w:tcPr>
          <w:p w:rsidR="003C6A4E" w:rsidRDefault="00F11FEC" w:rsidP="00C25806">
            <w:pPr>
              <w:pStyle w:val="StandaardSV"/>
            </w:pPr>
            <w:r>
              <w:t>n.v.t.</w:t>
            </w:r>
          </w:p>
        </w:tc>
        <w:tc>
          <w:tcPr>
            <w:tcW w:w="1638" w:type="dxa"/>
          </w:tcPr>
          <w:p w:rsidR="003C6A4E" w:rsidRDefault="00FA58B5" w:rsidP="00FA58B5">
            <w:pPr>
              <w:pStyle w:val="StandaardSV"/>
            </w:pPr>
            <w:r>
              <w:t>1/2</w:t>
            </w:r>
          </w:p>
        </w:tc>
        <w:tc>
          <w:tcPr>
            <w:tcW w:w="1695" w:type="dxa"/>
          </w:tcPr>
          <w:p w:rsidR="003C6A4E" w:rsidRDefault="00F11FEC" w:rsidP="00C25806">
            <w:pPr>
              <w:pStyle w:val="StandaardSV"/>
            </w:pPr>
            <w:r>
              <w:t>n.v.t.</w:t>
            </w:r>
          </w:p>
        </w:tc>
      </w:tr>
      <w:tr w:rsidR="003C6A4E" w:rsidTr="00C25806">
        <w:tc>
          <w:tcPr>
            <w:tcW w:w="796" w:type="dxa"/>
          </w:tcPr>
          <w:p w:rsidR="003C6A4E" w:rsidRDefault="003C6A4E" w:rsidP="00C25806">
            <w:pPr>
              <w:pStyle w:val="StandaardSV"/>
            </w:pPr>
            <w:r>
              <w:t>2013</w:t>
            </w:r>
          </w:p>
        </w:tc>
        <w:tc>
          <w:tcPr>
            <w:tcW w:w="1577" w:type="dxa"/>
          </w:tcPr>
          <w:p w:rsidR="003C6A4E" w:rsidRDefault="00C9343C" w:rsidP="00C25806">
            <w:pPr>
              <w:pStyle w:val="StandaardSV"/>
            </w:pPr>
            <w:r>
              <w:t>n.v.t.</w:t>
            </w:r>
          </w:p>
        </w:tc>
        <w:tc>
          <w:tcPr>
            <w:tcW w:w="1643" w:type="dxa"/>
          </w:tcPr>
          <w:p w:rsidR="003C6A4E" w:rsidRDefault="00C9343C" w:rsidP="00C25806">
            <w:pPr>
              <w:pStyle w:val="StandaardSV"/>
            </w:pPr>
            <w:r>
              <w:t>0/2</w:t>
            </w:r>
          </w:p>
        </w:tc>
        <w:tc>
          <w:tcPr>
            <w:tcW w:w="1406" w:type="dxa"/>
          </w:tcPr>
          <w:p w:rsidR="003C6A4E" w:rsidRDefault="00C9343C" w:rsidP="00C25806">
            <w:pPr>
              <w:pStyle w:val="StandaardSV"/>
            </w:pPr>
            <w:r>
              <w:t>n.v.t.</w:t>
            </w:r>
          </w:p>
        </w:tc>
        <w:tc>
          <w:tcPr>
            <w:tcW w:w="1638" w:type="dxa"/>
          </w:tcPr>
          <w:p w:rsidR="003C6A4E" w:rsidRDefault="00FA58B5" w:rsidP="00FA58B5">
            <w:pPr>
              <w:pStyle w:val="StandaardSV"/>
            </w:pPr>
            <w:r>
              <w:t>1/2</w:t>
            </w:r>
          </w:p>
        </w:tc>
        <w:tc>
          <w:tcPr>
            <w:tcW w:w="1695" w:type="dxa"/>
          </w:tcPr>
          <w:p w:rsidR="003C6A4E" w:rsidRDefault="00FA58B5" w:rsidP="00FA58B5">
            <w:pPr>
              <w:pStyle w:val="StandaardSV"/>
            </w:pPr>
            <w:r>
              <w:t>1</w:t>
            </w:r>
            <w:r w:rsidR="00C9343C">
              <w:t>/1</w:t>
            </w:r>
          </w:p>
        </w:tc>
      </w:tr>
    </w:tbl>
    <w:p w:rsidR="007A0416" w:rsidRDefault="007A0416" w:rsidP="00B766A0">
      <w:pPr>
        <w:pStyle w:val="StandaardSV"/>
      </w:pPr>
    </w:p>
    <w:p w:rsidR="007343A0" w:rsidRDefault="00B22EC7" w:rsidP="00765A90">
      <w:pPr>
        <w:pStyle w:val="StandaardSV"/>
        <w:numPr>
          <w:ilvl w:val="0"/>
          <w:numId w:val="1"/>
        </w:numPr>
        <w:ind w:left="360"/>
      </w:pPr>
      <w:r>
        <w:t xml:space="preserve">Van 2009 tot 2012 is er een netto-groei geweest van 56 biologische landbouwbedrijven. Het betreft een </w:t>
      </w:r>
      <w:proofErr w:type="spellStart"/>
      <w:r>
        <w:t>nettogroei</w:t>
      </w:r>
      <w:proofErr w:type="spellEnd"/>
      <w:r>
        <w:t xml:space="preserve"> in 2010, 2011 en 2012 van respectievelijk 14, 26 en 16 biologische landbouwbedrijven.</w:t>
      </w:r>
    </w:p>
    <w:p w:rsidR="00B22EC7" w:rsidRDefault="00B22EC7" w:rsidP="00B766A0">
      <w:pPr>
        <w:pStyle w:val="StandaardSV"/>
      </w:pPr>
    </w:p>
    <w:p w:rsidR="00703876" w:rsidRDefault="00B22EC7" w:rsidP="00765A90">
      <w:pPr>
        <w:pStyle w:val="StandaardSV"/>
        <w:ind w:left="360"/>
      </w:pPr>
      <w:r>
        <w:t>Welke factoren er precies een rol spelen bij de beslissing om al dan niet om te schakelen</w:t>
      </w:r>
      <w:r w:rsidR="007149A5">
        <w:t xml:space="preserve"> </w:t>
      </w:r>
      <w:r w:rsidR="00407609">
        <w:t>is</w:t>
      </w:r>
      <w:r w:rsidR="007149A5">
        <w:t xml:space="preserve"> </w:t>
      </w:r>
      <w:r w:rsidR="00EF1523">
        <w:t xml:space="preserve">niet </w:t>
      </w:r>
      <w:r w:rsidR="00703876">
        <w:t xml:space="preserve">altijd </w:t>
      </w:r>
      <w:r w:rsidR="00EF1523">
        <w:t>eenduidig</w:t>
      </w:r>
      <w:r w:rsidR="007149A5">
        <w:t xml:space="preserve"> te achterhalen en z</w:t>
      </w:r>
      <w:r w:rsidR="00407609">
        <w:t>al</w:t>
      </w:r>
      <w:r w:rsidR="007149A5">
        <w:t xml:space="preserve"> niet enkel afhangen van het resultaat dat voorgelegd wordt in het omschakelplan. </w:t>
      </w:r>
      <w:r w:rsidR="007343A0">
        <w:t xml:space="preserve">Of een landbouwer er uiteindelijk voor kiest om te schakelen, </w:t>
      </w:r>
      <w:r w:rsidR="007149A5">
        <w:t xml:space="preserve">kan </w:t>
      </w:r>
      <w:r w:rsidR="00EF1523">
        <w:t xml:space="preserve">ook </w:t>
      </w:r>
      <w:r w:rsidR="007149A5">
        <w:t>af</w:t>
      </w:r>
      <w:r w:rsidR="007343A0">
        <w:t>hang</w:t>
      </w:r>
      <w:r w:rsidR="007149A5">
        <w:t>en</w:t>
      </w:r>
      <w:r w:rsidR="007343A0">
        <w:t xml:space="preserve"> </w:t>
      </w:r>
      <w:r w:rsidR="001A77C0">
        <w:t xml:space="preserve">van </w:t>
      </w:r>
      <w:r w:rsidR="0093739C">
        <w:t xml:space="preserve">de </w:t>
      </w:r>
      <w:r w:rsidR="001A77C0">
        <w:t xml:space="preserve">randvoorwaarden die meegegeven worden in het omschakelplan </w:t>
      </w:r>
      <w:r w:rsidR="00EE35B1">
        <w:t>(</w:t>
      </w:r>
      <w:r w:rsidR="001A77C0">
        <w:t>dat per sector verschillend is</w:t>
      </w:r>
      <w:r w:rsidR="00EE35B1">
        <w:t>)</w:t>
      </w:r>
      <w:r w:rsidR="00EE35B1" w:rsidRPr="00EE35B1">
        <w:t xml:space="preserve"> </w:t>
      </w:r>
      <w:r w:rsidR="00EE35B1">
        <w:t>en</w:t>
      </w:r>
      <w:r w:rsidR="00EE35B1" w:rsidRPr="00EE35B1">
        <w:t xml:space="preserve"> </w:t>
      </w:r>
      <w:r w:rsidR="00EE35B1">
        <w:t>de situatie van het betrokken landbouwbedrijf waarvan vertrokken wordt</w:t>
      </w:r>
      <w:r w:rsidR="001A77C0">
        <w:t>.</w:t>
      </w:r>
      <w:r w:rsidR="0093739C">
        <w:t xml:space="preserve"> </w:t>
      </w:r>
      <w:r w:rsidR="00EE35B1">
        <w:t xml:space="preserve">Is er een bestaande stal? Zijn er voldoende gronden, en in hoeverre zijn aanpassingen, investeringen nodig om te kunnen starten met </w:t>
      </w:r>
      <w:r w:rsidR="00703876">
        <w:t xml:space="preserve">de biologische productie? </w:t>
      </w:r>
    </w:p>
    <w:p w:rsidR="00703876" w:rsidRDefault="00703876" w:rsidP="00B766A0">
      <w:pPr>
        <w:pStyle w:val="StandaardSV"/>
      </w:pPr>
    </w:p>
    <w:p w:rsidR="007F5E76" w:rsidRDefault="00703876" w:rsidP="00765A90">
      <w:pPr>
        <w:pStyle w:val="StandaardSV"/>
        <w:ind w:left="360"/>
      </w:pPr>
      <w:r>
        <w:t>Anderzijds is er o</w:t>
      </w:r>
      <w:r w:rsidR="007343A0">
        <w:t>ver</w:t>
      </w:r>
      <w:r w:rsidR="0093739C">
        <w:t xml:space="preserve"> het algemeen </w:t>
      </w:r>
      <w:r>
        <w:t>wel</w:t>
      </w:r>
      <w:r w:rsidR="00EE35B1">
        <w:t xml:space="preserve"> </w:t>
      </w:r>
      <w:r w:rsidR="0093739C">
        <w:t xml:space="preserve">een </w:t>
      </w:r>
      <w:r w:rsidR="00EC587F">
        <w:t>relatie</w:t>
      </w:r>
      <w:r w:rsidR="0093739C">
        <w:t xml:space="preserve"> tussen het resultaat van het omschakelplan en het al dan niet </w:t>
      </w:r>
      <w:r w:rsidR="00EC587F">
        <w:t xml:space="preserve">omschakelen </w:t>
      </w:r>
      <w:r w:rsidR="00EF1523">
        <w:t>naar de biologische productie.</w:t>
      </w:r>
    </w:p>
    <w:p w:rsidR="005B76AD" w:rsidRDefault="005B76AD" w:rsidP="00B766A0">
      <w:pPr>
        <w:pStyle w:val="StandaardSV"/>
      </w:pPr>
    </w:p>
    <w:p w:rsidR="007F5E76" w:rsidRDefault="00EC587F" w:rsidP="00765A90">
      <w:pPr>
        <w:pStyle w:val="StandaardSV"/>
        <w:ind w:left="360"/>
      </w:pPr>
      <w:r>
        <w:t>Uit de omschakelplannen blijkt dat d</w:t>
      </w:r>
      <w:r w:rsidR="007F5E76">
        <w:t>e rundveesector het</w:t>
      </w:r>
      <w:r w:rsidR="001A77C0">
        <w:t xml:space="preserve"> </w:t>
      </w:r>
      <w:proofErr w:type="spellStart"/>
      <w:r w:rsidR="001A77C0">
        <w:t>het</w:t>
      </w:r>
      <w:proofErr w:type="spellEnd"/>
      <w:r w:rsidR="001A77C0">
        <w:t xml:space="preserve"> </w:t>
      </w:r>
      <w:r w:rsidR="007F5E76">
        <w:t xml:space="preserve">moeilijkst </w:t>
      </w:r>
      <w:r>
        <w:t>heeft</w:t>
      </w:r>
      <w:r w:rsidR="007F5E76">
        <w:t xml:space="preserve"> om te renderen. Randvoorwaarden voor het slagen als biologisch bedrijf </w:t>
      </w:r>
      <w:r w:rsidR="007343A0">
        <w:t xml:space="preserve">zijn </w:t>
      </w:r>
      <w:r w:rsidR="007F5E76">
        <w:t xml:space="preserve">de </w:t>
      </w:r>
      <w:r>
        <w:t>(garantie van</w:t>
      </w:r>
      <w:r w:rsidR="007343A0">
        <w:t>)</w:t>
      </w:r>
      <w:r>
        <w:t xml:space="preserve"> </w:t>
      </w:r>
      <w:r w:rsidR="007F5E76">
        <w:t>afzet binnen de bio-markt. En er werd aangegeven dat de markt hiervan weinig gestructureerd is. Een degelijk rendement zou in sommige gevallen pas mogelijk zijn na minstens 3 jaar.</w:t>
      </w:r>
      <w:r w:rsidR="00161425">
        <w:t xml:space="preserve"> </w:t>
      </w:r>
      <w:r w:rsidR="00407609">
        <w:t>Het b</w:t>
      </w:r>
      <w:r w:rsidR="00161425">
        <w:t xml:space="preserve">lijkt dat </w:t>
      </w:r>
      <w:r w:rsidR="00407609">
        <w:t>rundveebedrijven</w:t>
      </w:r>
      <w:r w:rsidR="00161425">
        <w:t xml:space="preserve"> dan </w:t>
      </w:r>
      <w:r w:rsidR="00407609">
        <w:t xml:space="preserve">dikwijls niet de stap zetten om </w:t>
      </w:r>
      <w:proofErr w:type="spellStart"/>
      <w:r w:rsidR="00407609">
        <w:t>om</w:t>
      </w:r>
      <w:proofErr w:type="spellEnd"/>
      <w:r w:rsidR="00407609">
        <w:t xml:space="preserve"> te schakelen naar de biologische productie,</w:t>
      </w:r>
      <w:r w:rsidR="00161425">
        <w:t xml:space="preserve"> </w:t>
      </w:r>
      <w:r w:rsidR="00EE35B1">
        <w:t>behalve als</w:t>
      </w:r>
      <w:r w:rsidR="005B76AD">
        <w:t xml:space="preserve"> ze dit kunnen combineren met een </w:t>
      </w:r>
      <w:r w:rsidR="00161425">
        <w:t>ander</w:t>
      </w:r>
      <w:r w:rsidR="005B76AD">
        <w:t>e dierlijke productie of teelt</w:t>
      </w:r>
      <w:r w:rsidR="00161425">
        <w:t>.</w:t>
      </w:r>
    </w:p>
    <w:p w:rsidR="00161425" w:rsidRDefault="00161425" w:rsidP="00B766A0">
      <w:pPr>
        <w:pStyle w:val="StandaardSV"/>
      </w:pPr>
    </w:p>
    <w:p w:rsidR="00161425" w:rsidRDefault="00161425" w:rsidP="00765A90">
      <w:pPr>
        <w:pStyle w:val="StandaardSV"/>
        <w:ind w:left="360"/>
      </w:pPr>
      <w:r>
        <w:t xml:space="preserve">De omschakelplannen voor varkens geven aan dat er een mooi resultaat kan gehaald worden. </w:t>
      </w:r>
      <w:r w:rsidR="00EC587F">
        <w:t>Een onzekere</w:t>
      </w:r>
      <w:r>
        <w:t xml:space="preserve"> factor is </w:t>
      </w:r>
      <w:r w:rsidR="00407609">
        <w:t xml:space="preserve">evenwel </w:t>
      </w:r>
      <w:r>
        <w:t xml:space="preserve"> de investering die moet gedaan worden om een bestaande stal te herinrichten of uit te bouwen en </w:t>
      </w:r>
      <w:r w:rsidR="00407609">
        <w:t>om</w:t>
      </w:r>
      <w:r>
        <w:t xml:space="preserve"> </w:t>
      </w:r>
      <w:proofErr w:type="spellStart"/>
      <w:r>
        <w:t>NER</w:t>
      </w:r>
      <w:r w:rsidR="00407609">
        <w:t>’</w:t>
      </w:r>
      <w:r>
        <w:t>s</w:t>
      </w:r>
      <w:proofErr w:type="spellEnd"/>
      <w:r w:rsidR="00407609">
        <w:t xml:space="preserve"> aan te schaffen</w:t>
      </w:r>
      <w:r>
        <w:t xml:space="preserve">.  Er wordt aangegeven dat er een positieve evolutie is van de markt voor biologisch varkensvlees, maar de onzekerheid van de investeringskost belet blijkbaar om </w:t>
      </w:r>
      <w:proofErr w:type="spellStart"/>
      <w:r>
        <w:t>om</w:t>
      </w:r>
      <w:proofErr w:type="spellEnd"/>
      <w:r>
        <w:t xml:space="preserve"> te schakelen naar de biologische productie. Binnen het project Bio zoekt Boer en Bio zoekt Keten werd in 2013 een studie uitgevoerd teneinde een voorstel te hebben van een geschikt stalconcept van een biologische varkensstal voor 50 zeugen en het afmesten van alle bijhorende biggen, alsook het berekenen van de kostprijs voor deze stal.</w:t>
      </w:r>
    </w:p>
    <w:p w:rsidR="003C6A4E" w:rsidRDefault="003C6A4E" w:rsidP="00B766A0">
      <w:pPr>
        <w:pStyle w:val="StandaardSV"/>
      </w:pPr>
    </w:p>
    <w:p w:rsidR="007F5E76" w:rsidRDefault="00EE35B1" w:rsidP="00765A90">
      <w:pPr>
        <w:pStyle w:val="StandaardSV"/>
        <w:ind w:left="360"/>
      </w:pPr>
      <w:r>
        <w:t>Omschakeling van</w:t>
      </w:r>
      <w:r w:rsidR="0062625D">
        <w:t xml:space="preserve"> </w:t>
      </w:r>
      <w:r>
        <w:t>m</w:t>
      </w:r>
      <w:r w:rsidR="007F5E76">
        <w:t xml:space="preserve">elkvee </w:t>
      </w:r>
      <w:r>
        <w:t xml:space="preserve">realiseert een </w:t>
      </w:r>
      <w:r w:rsidR="007F5E76">
        <w:t>positief</w:t>
      </w:r>
      <w:r>
        <w:t xml:space="preserve"> rendement</w:t>
      </w:r>
      <w:r w:rsidR="007F5E76">
        <w:t xml:space="preserve">. </w:t>
      </w:r>
      <w:r w:rsidR="005B76AD">
        <w:t xml:space="preserve">Uit de analyse blijkt dat deze landbouwers ook effectief omschakelen naar de biologische productie. </w:t>
      </w:r>
      <w:r w:rsidR="00407609">
        <w:t>De v</w:t>
      </w:r>
      <w:r w:rsidR="005B76AD">
        <w:t>oederprijs is hierbij zeker een aandachtspunt.</w:t>
      </w:r>
    </w:p>
    <w:p w:rsidR="00CC306F" w:rsidRDefault="00CC306F" w:rsidP="00B766A0">
      <w:pPr>
        <w:pStyle w:val="StandaardSV"/>
      </w:pPr>
    </w:p>
    <w:p w:rsidR="005B76AD" w:rsidRDefault="005B76AD" w:rsidP="00765A90">
      <w:pPr>
        <w:pStyle w:val="StandaardSV"/>
        <w:ind w:left="360"/>
      </w:pPr>
      <w:r>
        <w:t>Bij de kippen (legkippen en vleeskippen)</w:t>
      </w:r>
      <w:r w:rsidR="00407609">
        <w:t xml:space="preserve"> </w:t>
      </w:r>
      <w:r>
        <w:t xml:space="preserve">gaven de omschakelplannen aan dat het zeker haalbaar is. </w:t>
      </w:r>
      <w:r w:rsidR="00407609">
        <w:t>Het</w:t>
      </w:r>
      <w:r>
        <w:t xml:space="preserve"> inkomen is uiteraard mee afhankelijk van de eierpri</w:t>
      </w:r>
      <w:r w:rsidR="00141759">
        <w:t>j</w:t>
      </w:r>
      <w:r>
        <w:t xml:space="preserve">s. Bij vleeskippen komt het element van </w:t>
      </w:r>
      <w:r w:rsidR="00141759">
        <w:t xml:space="preserve">de </w:t>
      </w:r>
      <w:r>
        <w:t xml:space="preserve">investering aan bod, wat </w:t>
      </w:r>
      <w:bookmarkStart w:id="0" w:name="_GoBack"/>
      <w:bookmarkEnd w:id="0"/>
      <w:r>
        <w:t>voor een drempel zorgt.</w:t>
      </w:r>
    </w:p>
    <w:p w:rsidR="005B76AD" w:rsidRDefault="005B76AD" w:rsidP="00B766A0">
      <w:pPr>
        <w:pStyle w:val="StandaardSV"/>
      </w:pPr>
    </w:p>
    <w:p w:rsidR="005B76AD" w:rsidRDefault="005B76AD" w:rsidP="00765A90">
      <w:pPr>
        <w:pStyle w:val="StandaardSV"/>
        <w:ind w:left="360"/>
      </w:pPr>
      <w:r>
        <w:t xml:space="preserve">Binnen de fruitteelt betreffen de omschakelplannen in hoofdzaak </w:t>
      </w:r>
      <w:proofErr w:type="spellStart"/>
      <w:r>
        <w:t>kleinfruit</w:t>
      </w:r>
      <w:proofErr w:type="spellEnd"/>
      <w:r>
        <w:t xml:space="preserve">. Uit de omschakelplannen blijkt dat er zeker perspectieven zijn voor dit </w:t>
      </w:r>
      <w:proofErr w:type="spellStart"/>
      <w:r>
        <w:t>kleinfruit</w:t>
      </w:r>
      <w:proofErr w:type="spellEnd"/>
      <w:r>
        <w:t>. De meesten star</w:t>
      </w:r>
      <w:r w:rsidR="00141759">
        <w:t>t</w:t>
      </w:r>
      <w:r>
        <w:t>ten hier ook met de biologische productie.</w:t>
      </w:r>
    </w:p>
    <w:p w:rsidR="005B76AD" w:rsidRDefault="005B76AD" w:rsidP="00B766A0">
      <w:pPr>
        <w:pStyle w:val="StandaardSV"/>
      </w:pPr>
    </w:p>
    <w:p w:rsidR="007A0416" w:rsidRDefault="005B76AD" w:rsidP="006D0174">
      <w:pPr>
        <w:pStyle w:val="StandaardSV"/>
        <w:ind w:left="360"/>
      </w:pPr>
      <w:r>
        <w:t>Bij de groe</w:t>
      </w:r>
      <w:r w:rsidR="002E3215">
        <w:t>nten</w:t>
      </w:r>
      <w:r>
        <w:t xml:space="preserve"> </w:t>
      </w:r>
      <w:r w:rsidR="00141759">
        <w:t>zijn de resultaten</w:t>
      </w:r>
      <w:r>
        <w:t xml:space="preserve"> uiteenlopend. Dit hangt mede af van de specifieke uitkomst van het omschakelingsplan.</w:t>
      </w:r>
      <w:r w:rsidR="00281F2A">
        <w:t xml:space="preserve"> De financiële inschatting kan niet steeds in voldoende concrete mate gemaakt worden en veel hangt af van de </w:t>
      </w:r>
      <w:r w:rsidR="005E37A4">
        <w:t xml:space="preserve">mogelijke </w:t>
      </w:r>
      <w:r w:rsidR="00281F2A">
        <w:t xml:space="preserve">afzet eens de omschakeling </w:t>
      </w:r>
      <w:r w:rsidR="005E37A4">
        <w:t>achter de rug is</w:t>
      </w:r>
      <w:r w:rsidR="006D0174">
        <w:t>.</w:t>
      </w:r>
    </w:p>
    <w:p w:rsidR="007A0416" w:rsidRDefault="007A0416" w:rsidP="00B766A0">
      <w:pPr>
        <w:pStyle w:val="StandaardSV"/>
      </w:pPr>
    </w:p>
    <w:p w:rsidR="00523950" w:rsidRDefault="00715492" w:rsidP="00FD73C7">
      <w:pPr>
        <w:pStyle w:val="StandaardSV"/>
        <w:numPr>
          <w:ilvl w:val="0"/>
          <w:numId w:val="1"/>
        </w:numPr>
        <w:ind w:left="360"/>
      </w:pPr>
      <w:r>
        <w:t xml:space="preserve">Sinds 2009 zijn er </w:t>
      </w:r>
      <w:r w:rsidR="00EC587F">
        <w:t>70</w:t>
      </w:r>
      <w:r>
        <w:t xml:space="preserve"> </w:t>
      </w:r>
      <w:r w:rsidR="00141759">
        <w:t xml:space="preserve">gesubsidieerde </w:t>
      </w:r>
      <w:r>
        <w:t>bedrijfsadviezen uitgevoerd.</w:t>
      </w:r>
    </w:p>
    <w:p w:rsidR="00FD73C7" w:rsidRDefault="00FD73C7" w:rsidP="00FD73C7">
      <w:pPr>
        <w:pStyle w:val="StandaardSV"/>
        <w:ind w:left="360"/>
      </w:pPr>
    </w:p>
    <w:tbl>
      <w:tblPr>
        <w:tblStyle w:val="Tabelraster"/>
        <w:tblW w:w="0" w:type="auto"/>
        <w:tblLook w:val="04A0" w:firstRow="1" w:lastRow="0" w:firstColumn="1" w:lastColumn="0" w:noHBand="0" w:noVBand="1"/>
      </w:tblPr>
      <w:tblGrid>
        <w:gridCol w:w="796"/>
        <w:gridCol w:w="1577"/>
        <w:gridCol w:w="1643"/>
        <w:gridCol w:w="1406"/>
        <w:gridCol w:w="1638"/>
        <w:gridCol w:w="1695"/>
      </w:tblGrid>
      <w:tr w:rsidR="00523950" w:rsidTr="00C25806">
        <w:tc>
          <w:tcPr>
            <w:tcW w:w="796" w:type="dxa"/>
          </w:tcPr>
          <w:p w:rsidR="00523950" w:rsidRDefault="00523950" w:rsidP="00C25806">
            <w:pPr>
              <w:pStyle w:val="StandaardSV"/>
            </w:pPr>
          </w:p>
        </w:tc>
        <w:tc>
          <w:tcPr>
            <w:tcW w:w="1577" w:type="dxa"/>
          </w:tcPr>
          <w:p w:rsidR="00523950" w:rsidRDefault="00523950" w:rsidP="00C25806">
            <w:pPr>
              <w:pStyle w:val="StandaardSV"/>
            </w:pPr>
            <w:r>
              <w:t>West Vlaanderen</w:t>
            </w:r>
          </w:p>
        </w:tc>
        <w:tc>
          <w:tcPr>
            <w:tcW w:w="1643" w:type="dxa"/>
          </w:tcPr>
          <w:p w:rsidR="00523950" w:rsidRDefault="00523950" w:rsidP="00C25806">
            <w:pPr>
              <w:pStyle w:val="StandaardSV"/>
            </w:pPr>
            <w:r>
              <w:t>Oost Vlaanderen</w:t>
            </w:r>
          </w:p>
        </w:tc>
        <w:tc>
          <w:tcPr>
            <w:tcW w:w="1406" w:type="dxa"/>
          </w:tcPr>
          <w:p w:rsidR="00523950" w:rsidRDefault="00523950" w:rsidP="00C25806">
            <w:pPr>
              <w:pStyle w:val="StandaardSV"/>
            </w:pPr>
            <w:r>
              <w:t>Vlaams Brabant</w:t>
            </w:r>
          </w:p>
        </w:tc>
        <w:tc>
          <w:tcPr>
            <w:tcW w:w="1638" w:type="dxa"/>
          </w:tcPr>
          <w:p w:rsidR="00523950" w:rsidRDefault="00523950" w:rsidP="00C25806">
            <w:pPr>
              <w:pStyle w:val="StandaardSV"/>
            </w:pPr>
            <w:r>
              <w:t>Antwerpen</w:t>
            </w:r>
          </w:p>
        </w:tc>
        <w:tc>
          <w:tcPr>
            <w:tcW w:w="1695" w:type="dxa"/>
          </w:tcPr>
          <w:p w:rsidR="00523950" w:rsidRDefault="00523950" w:rsidP="00C25806">
            <w:pPr>
              <w:pStyle w:val="StandaardSV"/>
            </w:pPr>
            <w:r>
              <w:t>Limburg</w:t>
            </w:r>
          </w:p>
        </w:tc>
      </w:tr>
      <w:tr w:rsidR="00523950" w:rsidTr="00C25806">
        <w:tc>
          <w:tcPr>
            <w:tcW w:w="796" w:type="dxa"/>
          </w:tcPr>
          <w:p w:rsidR="00523950" w:rsidRDefault="00523950" w:rsidP="00C25806">
            <w:pPr>
              <w:pStyle w:val="StandaardSV"/>
            </w:pPr>
            <w:r>
              <w:t>2009</w:t>
            </w:r>
          </w:p>
        </w:tc>
        <w:tc>
          <w:tcPr>
            <w:tcW w:w="1577" w:type="dxa"/>
          </w:tcPr>
          <w:p w:rsidR="00523950" w:rsidRDefault="00523950" w:rsidP="00C25806">
            <w:pPr>
              <w:pStyle w:val="StandaardSV"/>
            </w:pPr>
            <w:r>
              <w:t>3</w:t>
            </w:r>
          </w:p>
        </w:tc>
        <w:tc>
          <w:tcPr>
            <w:tcW w:w="1643" w:type="dxa"/>
          </w:tcPr>
          <w:p w:rsidR="00523950" w:rsidRDefault="00523950" w:rsidP="00C25806">
            <w:pPr>
              <w:pStyle w:val="StandaardSV"/>
            </w:pPr>
            <w:r>
              <w:t>7</w:t>
            </w:r>
          </w:p>
        </w:tc>
        <w:tc>
          <w:tcPr>
            <w:tcW w:w="1406" w:type="dxa"/>
          </w:tcPr>
          <w:p w:rsidR="00523950" w:rsidRDefault="00523950" w:rsidP="00C25806">
            <w:pPr>
              <w:pStyle w:val="StandaardSV"/>
            </w:pPr>
            <w:r>
              <w:t>4</w:t>
            </w:r>
          </w:p>
        </w:tc>
        <w:tc>
          <w:tcPr>
            <w:tcW w:w="1638" w:type="dxa"/>
          </w:tcPr>
          <w:p w:rsidR="00523950" w:rsidRDefault="00523950" w:rsidP="00C25806">
            <w:pPr>
              <w:pStyle w:val="StandaardSV"/>
            </w:pPr>
            <w:r>
              <w:t>4</w:t>
            </w:r>
          </w:p>
        </w:tc>
        <w:tc>
          <w:tcPr>
            <w:tcW w:w="1695" w:type="dxa"/>
          </w:tcPr>
          <w:p w:rsidR="00523950" w:rsidRDefault="00523950" w:rsidP="00C25806">
            <w:pPr>
              <w:pStyle w:val="StandaardSV"/>
            </w:pPr>
            <w:r>
              <w:t>2</w:t>
            </w:r>
          </w:p>
        </w:tc>
      </w:tr>
      <w:tr w:rsidR="00523950" w:rsidTr="00C25806">
        <w:tc>
          <w:tcPr>
            <w:tcW w:w="796" w:type="dxa"/>
          </w:tcPr>
          <w:p w:rsidR="00523950" w:rsidRDefault="00523950" w:rsidP="00C25806">
            <w:pPr>
              <w:pStyle w:val="StandaardSV"/>
            </w:pPr>
            <w:r>
              <w:t>2010</w:t>
            </w:r>
          </w:p>
        </w:tc>
        <w:tc>
          <w:tcPr>
            <w:tcW w:w="1577" w:type="dxa"/>
          </w:tcPr>
          <w:p w:rsidR="00523950" w:rsidRDefault="00715492" w:rsidP="00C25806">
            <w:pPr>
              <w:pStyle w:val="StandaardSV"/>
            </w:pPr>
            <w:r>
              <w:t>7</w:t>
            </w:r>
          </w:p>
        </w:tc>
        <w:tc>
          <w:tcPr>
            <w:tcW w:w="1643" w:type="dxa"/>
          </w:tcPr>
          <w:p w:rsidR="00523950" w:rsidRDefault="00715492" w:rsidP="00C25806">
            <w:pPr>
              <w:pStyle w:val="StandaardSV"/>
            </w:pPr>
            <w:r>
              <w:t>3</w:t>
            </w:r>
          </w:p>
        </w:tc>
        <w:tc>
          <w:tcPr>
            <w:tcW w:w="1406" w:type="dxa"/>
          </w:tcPr>
          <w:p w:rsidR="00523950" w:rsidRDefault="00715492" w:rsidP="00C25806">
            <w:pPr>
              <w:pStyle w:val="StandaardSV"/>
            </w:pPr>
            <w:r>
              <w:t>3</w:t>
            </w:r>
          </w:p>
        </w:tc>
        <w:tc>
          <w:tcPr>
            <w:tcW w:w="1638" w:type="dxa"/>
          </w:tcPr>
          <w:p w:rsidR="00523950" w:rsidRDefault="00715492" w:rsidP="00C25806">
            <w:pPr>
              <w:pStyle w:val="StandaardSV"/>
            </w:pPr>
            <w:r>
              <w:t>5</w:t>
            </w:r>
          </w:p>
        </w:tc>
        <w:tc>
          <w:tcPr>
            <w:tcW w:w="1695" w:type="dxa"/>
          </w:tcPr>
          <w:p w:rsidR="00523950" w:rsidRDefault="00715492" w:rsidP="00C25806">
            <w:pPr>
              <w:pStyle w:val="StandaardSV"/>
            </w:pPr>
            <w:r>
              <w:t>1</w:t>
            </w:r>
          </w:p>
        </w:tc>
      </w:tr>
      <w:tr w:rsidR="00523950" w:rsidTr="00C25806">
        <w:tc>
          <w:tcPr>
            <w:tcW w:w="796" w:type="dxa"/>
          </w:tcPr>
          <w:p w:rsidR="00523950" w:rsidRDefault="00523950" w:rsidP="00C25806">
            <w:pPr>
              <w:pStyle w:val="StandaardSV"/>
            </w:pPr>
            <w:r>
              <w:t>2011</w:t>
            </w:r>
          </w:p>
        </w:tc>
        <w:tc>
          <w:tcPr>
            <w:tcW w:w="1577" w:type="dxa"/>
          </w:tcPr>
          <w:p w:rsidR="00523950" w:rsidRDefault="00715492" w:rsidP="00C25806">
            <w:pPr>
              <w:pStyle w:val="StandaardSV"/>
            </w:pPr>
            <w:r>
              <w:t>3</w:t>
            </w:r>
          </w:p>
        </w:tc>
        <w:tc>
          <w:tcPr>
            <w:tcW w:w="1643" w:type="dxa"/>
          </w:tcPr>
          <w:p w:rsidR="00523950" w:rsidRDefault="00715492" w:rsidP="00C25806">
            <w:pPr>
              <w:pStyle w:val="StandaardSV"/>
            </w:pPr>
            <w:r>
              <w:t>2</w:t>
            </w:r>
          </w:p>
        </w:tc>
        <w:tc>
          <w:tcPr>
            <w:tcW w:w="1406" w:type="dxa"/>
          </w:tcPr>
          <w:p w:rsidR="00523950" w:rsidRDefault="00715492" w:rsidP="00C25806">
            <w:pPr>
              <w:pStyle w:val="StandaardSV"/>
            </w:pPr>
            <w:r>
              <w:t>1</w:t>
            </w:r>
          </w:p>
        </w:tc>
        <w:tc>
          <w:tcPr>
            <w:tcW w:w="1638" w:type="dxa"/>
          </w:tcPr>
          <w:p w:rsidR="00523950" w:rsidRDefault="00715492" w:rsidP="00C25806">
            <w:pPr>
              <w:pStyle w:val="StandaardSV"/>
            </w:pPr>
            <w:r>
              <w:t>3</w:t>
            </w:r>
          </w:p>
        </w:tc>
        <w:tc>
          <w:tcPr>
            <w:tcW w:w="1695" w:type="dxa"/>
          </w:tcPr>
          <w:p w:rsidR="00523950" w:rsidRDefault="00715492" w:rsidP="00C25806">
            <w:pPr>
              <w:pStyle w:val="StandaardSV"/>
            </w:pPr>
            <w:r>
              <w:t>/</w:t>
            </w:r>
          </w:p>
        </w:tc>
      </w:tr>
      <w:tr w:rsidR="00523950" w:rsidTr="00C25806">
        <w:tc>
          <w:tcPr>
            <w:tcW w:w="796" w:type="dxa"/>
          </w:tcPr>
          <w:p w:rsidR="00523950" w:rsidRDefault="00523950" w:rsidP="00C25806">
            <w:pPr>
              <w:pStyle w:val="StandaardSV"/>
            </w:pPr>
            <w:r>
              <w:t>2012</w:t>
            </w:r>
          </w:p>
        </w:tc>
        <w:tc>
          <w:tcPr>
            <w:tcW w:w="1577" w:type="dxa"/>
          </w:tcPr>
          <w:p w:rsidR="00523950" w:rsidRDefault="00715492" w:rsidP="00C25806">
            <w:pPr>
              <w:pStyle w:val="StandaardSV"/>
            </w:pPr>
            <w:r>
              <w:t>1</w:t>
            </w:r>
          </w:p>
        </w:tc>
        <w:tc>
          <w:tcPr>
            <w:tcW w:w="1643" w:type="dxa"/>
          </w:tcPr>
          <w:p w:rsidR="00523950" w:rsidRDefault="00715492" w:rsidP="00C25806">
            <w:pPr>
              <w:pStyle w:val="StandaardSV"/>
            </w:pPr>
            <w:r>
              <w:t>5</w:t>
            </w:r>
          </w:p>
        </w:tc>
        <w:tc>
          <w:tcPr>
            <w:tcW w:w="1406" w:type="dxa"/>
          </w:tcPr>
          <w:p w:rsidR="00523950" w:rsidRDefault="00715492" w:rsidP="00C25806">
            <w:pPr>
              <w:pStyle w:val="StandaardSV"/>
            </w:pPr>
            <w:r>
              <w:t>2</w:t>
            </w:r>
          </w:p>
        </w:tc>
        <w:tc>
          <w:tcPr>
            <w:tcW w:w="1638" w:type="dxa"/>
          </w:tcPr>
          <w:p w:rsidR="00523950" w:rsidRDefault="00715492" w:rsidP="00C25806">
            <w:pPr>
              <w:pStyle w:val="StandaardSV"/>
            </w:pPr>
            <w:r>
              <w:t>1</w:t>
            </w:r>
          </w:p>
        </w:tc>
        <w:tc>
          <w:tcPr>
            <w:tcW w:w="1695" w:type="dxa"/>
          </w:tcPr>
          <w:p w:rsidR="00523950" w:rsidRDefault="00715492" w:rsidP="00C25806">
            <w:pPr>
              <w:pStyle w:val="StandaardSV"/>
            </w:pPr>
            <w:r>
              <w:t>2</w:t>
            </w:r>
          </w:p>
        </w:tc>
      </w:tr>
      <w:tr w:rsidR="00523950" w:rsidTr="00C25806">
        <w:tc>
          <w:tcPr>
            <w:tcW w:w="796" w:type="dxa"/>
          </w:tcPr>
          <w:p w:rsidR="00523950" w:rsidRDefault="00523950" w:rsidP="00C25806">
            <w:pPr>
              <w:pStyle w:val="StandaardSV"/>
            </w:pPr>
            <w:r>
              <w:t>2013</w:t>
            </w:r>
          </w:p>
        </w:tc>
        <w:tc>
          <w:tcPr>
            <w:tcW w:w="1577" w:type="dxa"/>
          </w:tcPr>
          <w:p w:rsidR="00523950" w:rsidRDefault="00715492" w:rsidP="00C25806">
            <w:pPr>
              <w:pStyle w:val="StandaardSV"/>
            </w:pPr>
            <w:r>
              <w:t>/</w:t>
            </w:r>
          </w:p>
        </w:tc>
        <w:tc>
          <w:tcPr>
            <w:tcW w:w="1643" w:type="dxa"/>
          </w:tcPr>
          <w:p w:rsidR="00523950" w:rsidRDefault="00715492" w:rsidP="00C25806">
            <w:pPr>
              <w:pStyle w:val="StandaardSV"/>
            </w:pPr>
            <w:r>
              <w:t>5</w:t>
            </w:r>
          </w:p>
        </w:tc>
        <w:tc>
          <w:tcPr>
            <w:tcW w:w="1406" w:type="dxa"/>
          </w:tcPr>
          <w:p w:rsidR="00523950" w:rsidRDefault="00715492" w:rsidP="00C25806">
            <w:pPr>
              <w:pStyle w:val="StandaardSV"/>
            </w:pPr>
            <w:r>
              <w:t>1</w:t>
            </w:r>
          </w:p>
        </w:tc>
        <w:tc>
          <w:tcPr>
            <w:tcW w:w="1638" w:type="dxa"/>
          </w:tcPr>
          <w:p w:rsidR="00523950" w:rsidRDefault="00715492" w:rsidP="00C25806">
            <w:pPr>
              <w:pStyle w:val="StandaardSV"/>
            </w:pPr>
            <w:r>
              <w:t>3</w:t>
            </w:r>
          </w:p>
        </w:tc>
        <w:tc>
          <w:tcPr>
            <w:tcW w:w="1695" w:type="dxa"/>
          </w:tcPr>
          <w:p w:rsidR="00523950" w:rsidRDefault="00715492" w:rsidP="00C25806">
            <w:pPr>
              <w:pStyle w:val="StandaardSV"/>
            </w:pPr>
            <w:r>
              <w:t>2</w:t>
            </w:r>
          </w:p>
        </w:tc>
      </w:tr>
    </w:tbl>
    <w:p w:rsidR="00523950" w:rsidRDefault="00523950" w:rsidP="00B766A0"/>
    <w:sectPr w:rsidR="00523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963D5"/>
    <w:multiLevelType w:val="hybridMultilevel"/>
    <w:tmpl w:val="477E428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A0"/>
    <w:rsid w:val="00141759"/>
    <w:rsid w:val="00160D79"/>
    <w:rsid w:val="00161425"/>
    <w:rsid w:val="001A77C0"/>
    <w:rsid w:val="001D3D2E"/>
    <w:rsid w:val="00204064"/>
    <w:rsid w:val="00281F2A"/>
    <w:rsid w:val="002A5BCB"/>
    <w:rsid w:val="002E3215"/>
    <w:rsid w:val="003C6A4E"/>
    <w:rsid w:val="00407609"/>
    <w:rsid w:val="00426A34"/>
    <w:rsid w:val="00523950"/>
    <w:rsid w:val="00553076"/>
    <w:rsid w:val="005B76AD"/>
    <w:rsid w:val="005E37A4"/>
    <w:rsid w:val="0062625D"/>
    <w:rsid w:val="006D0174"/>
    <w:rsid w:val="00703876"/>
    <w:rsid w:val="007149A5"/>
    <w:rsid w:val="00715492"/>
    <w:rsid w:val="007343A0"/>
    <w:rsid w:val="00765A90"/>
    <w:rsid w:val="007A0416"/>
    <w:rsid w:val="007F1524"/>
    <w:rsid w:val="007F5E76"/>
    <w:rsid w:val="008A481C"/>
    <w:rsid w:val="0093739C"/>
    <w:rsid w:val="009D5BA4"/>
    <w:rsid w:val="00B22EC7"/>
    <w:rsid w:val="00B766A0"/>
    <w:rsid w:val="00C31CE1"/>
    <w:rsid w:val="00C67EE4"/>
    <w:rsid w:val="00C9343C"/>
    <w:rsid w:val="00CC306F"/>
    <w:rsid w:val="00D26E20"/>
    <w:rsid w:val="00D36481"/>
    <w:rsid w:val="00DF2CB9"/>
    <w:rsid w:val="00EA6E85"/>
    <w:rsid w:val="00EC587F"/>
    <w:rsid w:val="00EE35B1"/>
    <w:rsid w:val="00EF1523"/>
    <w:rsid w:val="00EF54CF"/>
    <w:rsid w:val="00F11FEC"/>
    <w:rsid w:val="00FA58B5"/>
    <w:rsid w:val="00FD73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0174"/>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B766A0"/>
    <w:pPr>
      <w:jc w:val="both"/>
    </w:pPr>
    <w:rPr>
      <w:b/>
      <w:smallCaps/>
      <w:sz w:val="22"/>
    </w:rPr>
  </w:style>
  <w:style w:type="paragraph" w:customStyle="1" w:styleId="StandaardSV">
    <w:name w:val="Standaard SV"/>
    <w:basedOn w:val="Standaard"/>
    <w:rsid w:val="00B766A0"/>
    <w:pPr>
      <w:jc w:val="both"/>
    </w:pPr>
    <w:rPr>
      <w:sz w:val="22"/>
    </w:rPr>
  </w:style>
  <w:style w:type="table" w:styleId="Tabelraster">
    <w:name w:val="Table Grid"/>
    <w:basedOn w:val="Standaardtabel"/>
    <w:uiPriority w:val="59"/>
    <w:rsid w:val="007F1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7343A0"/>
    <w:rPr>
      <w:rFonts w:ascii="Tahoma" w:hAnsi="Tahoma" w:cs="Tahoma"/>
      <w:sz w:val="16"/>
      <w:szCs w:val="16"/>
    </w:rPr>
  </w:style>
  <w:style w:type="character" w:customStyle="1" w:styleId="BallontekstChar">
    <w:name w:val="Ballontekst Char"/>
    <w:basedOn w:val="Standaardalinea-lettertype"/>
    <w:link w:val="Ballontekst"/>
    <w:uiPriority w:val="99"/>
    <w:semiHidden/>
    <w:rsid w:val="007343A0"/>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0174"/>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B766A0"/>
    <w:pPr>
      <w:jc w:val="both"/>
    </w:pPr>
    <w:rPr>
      <w:b/>
      <w:smallCaps/>
      <w:sz w:val="22"/>
    </w:rPr>
  </w:style>
  <w:style w:type="paragraph" w:customStyle="1" w:styleId="StandaardSV">
    <w:name w:val="Standaard SV"/>
    <w:basedOn w:val="Standaard"/>
    <w:rsid w:val="00B766A0"/>
    <w:pPr>
      <w:jc w:val="both"/>
    </w:pPr>
    <w:rPr>
      <w:sz w:val="22"/>
    </w:rPr>
  </w:style>
  <w:style w:type="table" w:styleId="Tabelraster">
    <w:name w:val="Table Grid"/>
    <w:basedOn w:val="Standaardtabel"/>
    <w:uiPriority w:val="59"/>
    <w:rsid w:val="007F1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7343A0"/>
    <w:rPr>
      <w:rFonts w:ascii="Tahoma" w:hAnsi="Tahoma" w:cs="Tahoma"/>
      <w:sz w:val="16"/>
      <w:szCs w:val="16"/>
    </w:rPr>
  </w:style>
  <w:style w:type="character" w:customStyle="1" w:styleId="BallontekstChar">
    <w:name w:val="Ballontekst Char"/>
    <w:basedOn w:val="Standaardalinea-lettertype"/>
    <w:link w:val="Ballontekst"/>
    <w:uiPriority w:val="99"/>
    <w:semiHidden/>
    <w:rsid w:val="007343A0"/>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27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Leuven, Isabel</dc:creator>
  <cp:lastModifiedBy>Nathalie De Keyzer</cp:lastModifiedBy>
  <cp:revision>3</cp:revision>
  <cp:lastPrinted>2014-01-07T08:45:00Z</cp:lastPrinted>
  <dcterms:created xsi:type="dcterms:W3CDTF">2014-01-07T08:45:00Z</dcterms:created>
  <dcterms:modified xsi:type="dcterms:W3CDTF">2014-01-08T17:42:00Z</dcterms:modified>
</cp:coreProperties>
</file>