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787964">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9E72BD">
        <w:rPr>
          <w:noProof/>
          <w:szCs w:val="22"/>
        </w:rPr>
        <w:t>philippe muyters</w:t>
      </w:r>
      <w:r>
        <w:rPr>
          <w:szCs w:val="22"/>
        </w:rPr>
        <w:fldChar w:fldCharType="end"/>
      </w:r>
      <w:bookmarkEnd w:id="0"/>
    </w:p>
    <w:bookmarkStart w:id="1" w:name="Text2"/>
    <w:p w:rsidR="000976E9" w:rsidRPr="00015BF7" w:rsidRDefault="00D71D99" w:rsidP="00CE1141">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9E72BD">
        <w:t>vlaams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787964">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244800">
        <w:rPr>
          <w:b w:val="0"/>
        </w:rPr>
        <w:t>176</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244800">
        <w:rPr>
          <w:b w:val="0"/>
        </w:rPr>
        <w:t>14</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2B653D">
        <w:rPr>
          <w:b w:val="0"/>
        </w:rPr>
      </w:r>
      <w:r w:rsidR="002B653D">
        <w:rPr>
          <w:b w:val="0"/>
        </w:rPr>
        <w:fldChar w:fldCharType="separate"/>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2B653D">
        <w:rPr>
          <w:b w:val="0"/>
        </w:rPr>
      </w:r>
      <w:r w:rsidR="002B653D">
        <w:rPr>
          <w:b w:val="0"/>
        </w:rPr>
        <w:fldChar w:fldCharType="separate"/>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244800">
        <w:rPr>
          <w:rStyle w:val="AntwoordNaamMinisterChar"/>
        </w:rPr>
        <w:t>gwenny de vroe</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CC06DC" w:rsidRPr="002B653D" w:rsidRDefault="00554D89" w:rsidP="002B653D">
      <w:pPr>
        <w:pStyle w:val="Plattetekst"/>
        <w:spacing w:before="0" w:after="0"/>
        <w:ind w:right="70"/>
        <w:rPr>
          <w:rFonts w:ascii="Times New Roman" w:hAnsi="Times New Roman"/>
          <w:szCs w:val="22"/>
          <w:lang w:val="nl-NL"/>
        </w:rPr>
      </w:pPr>
      <w:r w:rsidRPr="002B653D">
        <w:rPr>
          <w:rFonts w:ascii="Times New Roman" w:hAnsi="Times New Roman"/>
          <w:szCs w:val="22"/>
          <w:lang w:val="nl-NL"/>
        </w:rPr>
        <w:lastRenderedPageBreak/>
        <w:t xml:space="preserve">De </w:t>
      </w:r>
      <w:proofErr w:type="spellStart"/>
      <w:r w:rsidRPr="002B653D">
        <w:rPr>
          <w:rFonts w:ascii="Times New Roman" w:hAnsi="Times New Roman"/>
          <w:szCs w:val="22"/>
          <w:lang w:val="nl-NL"/>
        </w:rPr>
        <w:t>RUP’s</w:t>
      </w:r>
      <w:proofErr w:type="spellEnd"/>
      <w:r w:rsidRPr="002B653D">
        <w:rPr>
          <w:rFonts w:ascii="Times New Roman" w:hAnsi="Times New Roman"/>
          <w:szCs w:val="22"/>
          <w:lang w:val="nl-NL"/>
        </w:rPr>
        <w:t xml:space="preserve"> die met toepassing van het integratiespoor zijn tot stand gekomen zijn ten gevolge van arrest nr. 114/2013 van het Grondwettelijk Hof alléén, nog niet on(grond)wettig bevonden. Zij blijven onverminderd deel uitmaken van het rechtsverkeer totdat zij door de Raad van State worden vernietigd en/of door de (gewone of administratieve) rechtscolleges buiten toepassing worden gelaten, met toepassing van artikel 159 van de Grondwet. Hetzelfde geldt voor de vergunningen die hun rechtsgrond vinden in de bedoelde </w:t>
      </w:r>
      <w:proofErr w:type="spellStart"/>
      <w:r w:rsidRPr="002B653D">
        <w:rPr>
          <w:rFonts w:ascii="Times New Roman" w:hAnsi="Times New Roman"/>
          <w:szCs w:val="22"/>
          <w:lang w:val="nl-NL"/>
        </w:rPr>
        <w:t>RUP’s</w:t>
      </w:r>
      <w:proofErr w:type="spellEnd"/>
      <w:r w:rsidRPr="002B653D">
        <w:rPr>
          <w:rFonts w:ascii="Times New Roman" w:hAnsi="Times New Roman"/>
          <w:szCs w:val="22"/>
          <w:lang w:val="nl-NL"/>
        </w:rPr>
        <w:t>.</w:t>
      </w:r>
    </w:p>
    <w:p w:rsidR="002F54DF" w:rsidRPr="002B653D" w:rsidRDefault="002F54DF" w:rsidP="002B653D">
      <w:pPr>
        <w:autoSpaceDE w:val="0"/>
        <w:autoSpaceDN w:val="0"/>
        <w:adjustRightInd w:val="0"/>
        <w:jc w:val="both"/>
        <w:rPr>
          <w:szCs w:val="22"/>
        </w:rPr>
      </w:pPr>
      <w:r w:rsidRPr="002B653D">
        <w:rPr>
          <w:szCs w:val="22"/>
        </w:rPr>
        <w:t xml:space="preserve">De procedure </w:t>
      </w:r>
      <w:r w:rsidR="00554D89" w:rsidRPr="002B653D">
        <w:rPr>
          <w:szCs w:val="22"/>
        </w:rPr>
        <w:t xml:space="preserve">tot vernietiging van het RUP is </w:t>
      </w:r>
      <w:r w:rsidRPr="002B653D">
        <w:rPr>
          <w:szCs w:val="22"/>
        </w:rPr>
        <w:t xml:space="preserve">nog steeds lopende. De provincie Vlaams-Brabant stelt </w:t>
      </w:r>
      <w:r w:rsidR="00554D89" w:rsidRPr="002B653D">
        <w:rPr>
          <w:szCs w:val="22"/>
        </w:rPr>
        <w:t xml:space="preserve">terecht </w:t>
      </w:r>
      <w:r w:rsidRPr="002B653D">
        <w:rPr>
          <w:szCs w:val="22"/>
        </w:rPr>
        <w:t xml:space="preserve">dat het ruimtelijk uitvoeringsplan derhalve nog steeds van kracht is en basis is voor de afweging van stedenbouwkundige aanvragen in het plangebied. Een eventuele onwettigheid van het uitvoeringsplan is geen basis op zich om te besluiten tot vergunnen of weigeren.  </w:t>
      </w:r>
    </w:p>
    <w:p w:rsidR="002F54DF" w:rsidRPr="002B653D" w:rsidRDefault="002F54DF" w:rsidP="002B653D">
      <w:pPr>
        <w:autoSpaceDE w:val="0"/>
        <w:autoSpaceDN w:val="0"/>
        <w:adjustRightInd w:val="0"/>
        <w:jc w:val="both"/>
        <w:rPr>
          <w:szCs w:val="22"/>
        </w:rPr>
      </w:pPr>
    </w:p>
    <w:p w:rsidR="00E53E17" w:rsidRPr="002B653D" w:rsidRDefault="00105FDC" w:rsidP="002B653D">
      <w:pPr>
        <w:autoSpaceDE w:val="0"/>
        <w:autoSpaceDN w:val="0"/>
        <w:adjustRightInd w:val="0"/>
        <w:jc w:val="both"/>
        <w:rPr>
          <w:szCs w:val="22"/>
        </w:rPr>
      </w:pPr>
      <w:r w:rsidRPr="002B653D">
        <w:rPr>
          <w:szCs w:val="22"/>
        </w:rPr>
        <w:t>De vernietiging van het provinciaal ruimtelijk uitvoeringsplan heeft als gevolg dat de provinciale keuzes niet mee</w:t>
      </w:r>
      <w:r w:rsidR="00CC06DC" w:rsidRPr="002B653D">
        <w:rPr>
          <w:szCs w:val="22"/>
        </w:rPr>
        <w:t>r rechtstreeks afdwingbaar zijn</w:t>
      </w:r>
      <w:r w:rsidRPr="002B653D">
        <w:rPr>
          <w:szCs w:val="22"/>
        </w:rPr>
        <w:t xml:space="preserve"> op basis van een </w:t>
      </w:r>
      <w:r w:rsidR="00CC06DC" w:rsidRPr="002B653D">
        <w:rPr>
          <w:szCs w:val="22"/>
        </w:rPr>
        <w:t xml:space="preserve">verordenend </w:t>
      </w:r>
      <w:r w:rsidRPr="002B653D">
        <w:rPr>
          <w:szCs w:val="22"/>
        </w:rPr>
        <w:t xml:space="preserve">stedenbouwkundig voorschrift. Een stedenbouwkundige aanvraag zal </w:t>
      </w:r>
      <w:r w:rsidR="00CC06DC" w:rsidRPr="002B653D">
        <w:rPr>
          <w:szCs w:val="22"/>
        </w:rPr>
        <w:t xml:space="preserve">in </w:t>
      </w:r>
      <w:proofErr w:type="spellStart"/>
      <w:r w:rsidR="00CC06DC" w:rsidRPr="002B653D">
        <w:rPr>
          <w:szCs w:val="22"/>
        </w:rPr>
        <w:t>casu</w:t>
      </w:r>
      <w:proofErr w:type="spellEnd"/>
      <w:r w:rsidRPr="002B653D">
        <w:rPr>
          <w:szCs w:val="22"/>
        </w:rPr>
        <w:t xml:space="preserve"> beoordeeld worden op basis van de stedenbouwkundige voorschriften die het gewestplan van toepassing maakt en de </w:t>
      </w:r>
      <w:r w:rsidR="00DA09FB" w:rsidRPr="002B653D">
        <w:rPr>
          <w:szCs w:val="22"/>
        </w:rPr>
        <w:t>goede ruimtelijke ordening</w:t>
      </w:r>
      <w:r w:rsidR="008C20D7" w:rsidRPr="002B653D">
        <w:rPr>
          <w:szCs w:val="22"/>
        </w:rPr>
        <w:t xml:space="preserve"> (vb. geldende openbare erfdienstbaarheden, waaronder verordeningen e.d., de bestaanbaarheid met de bestaande activiteiten in de omgeving…</w:t>
      </w:r>
      <w:proofErr w:type="spellStart"/>
      <w:r w:rsidR="008C20D7" w:rsidRPr="002B653D">
        <w:rPr>
          <w:szCs w:val="22"/>
        </w:rPr>
        <w:t>enz</w:t>
      </w:r>
      <w:proofErr w:type="spellEnd"/>
      <w:r w:rsidR="008C20D7" w:rsidRPr="002B653D">
        <w:rPr>
          <w:szCs w:val="22"/>
        </w:rPr>
        <w:t>). Daarnaast is de stedenbouwkundige vergunning  gekoppeld aan een milieuvergunning waarin de milieuaspecten van de aanvraag bekeken worden.</w:t>
      </w:r>
    </w:p>
    <w:p w:rsidR="00E53E17" w:rsidRPr="002B653D" w:rsidRDefault="00E53E17" w:rsidP="002B653D">
      <w:pPr>
        <w:autoSpaceDE w:val="0"/>
        <w:autoSpaceDN w:val="0"/>
        <w:adjustRightInd w:val="0"/>
        <w:jc w:val="both"/>
        <w:rPr>
          <w:szCs w:val="22"/>
        </w:rPr>
      </w:pPr>
      <w:r w:rsidRPr="002B653D">
        <w:rPr>
          <w:szCs w:val="22"/>
        </w:rPr>
        <w:t>Een stedenbouwkundige aanvraag tot het bouwen van een verbrandingsoven is nu lopende. De adviezen zijn ontvangen evenals de stukken van het openbaar onderzoek. Een beslissing zal genomen worden ten laatste op 27 januari 2014.</w:t>
      </w:r>
    </w:p>
    <w:p w:rsidR="002F54DF" w:rsidRPr="002B653D" w:rsidRDefault="002F54DF" w:rsidP="002B653D">
      <w:pPr>
        <w:autoSpaceDE w:val="0"/>
        <w:autoSpaceDN w:val="0"/>
        <w:adjustRightInd w:val="0"/>
        <w:jc w:val="both"/>
        <w:rPr>
          <w:szCs w:val="22"/>
        </w:rPr>
      </w:pPr>
    </w:p>
    <w:p w:rsidR="002F54DF" w:rsidRPr="002B653D" w:rsidRDefault="00554D89" w:rsidP="002B653D">
      <w:pPr>
        <w:pStyle w:val="Lijstalinea"/>
        <w:ind w:left="0"/>
        <w:jc w:val="both"/>
        <w:rPr>
          <w:rFonts w:ascii="Times New Roman" w:hAnsi="Times New Roman" w:cs="Times New Roman"/>
          <w:color w:val="000000" w:themeColor="text1"/>
        </w:rPr>
      </w:pPr>
      <w:r w:rsidRPr="002B653D">
        <w:rPr>
          <w:rFonts w:ascii="Times New Roman" w:hAnsi="Times New Roman" w:cs="Times New Roman"/>
          <w:color w:val="000000" w:themeColor="text1"/>
        </w:rPr>
        <w:t xml:space="preserve">Ten gevolge van het arrest van het grondwettelijk hof van 31 juli 2013 en in functie van het herstel van de </w:t>
      </w:r>
      <w:proofErr w:type="spellStart"/>
      <w:r w:rsidRPr="002B653D">
        <w:rPr>
          <w:rFonts w:ascii="Times New Roman" w:hAnsi="Times New Roman" w:cs="Times New Roman"/>
          <w:color w:val="000000" w:themeColor="text1"/>
        </w:rPr>
        <w:t>rechtzekerheid</w:t>
      </w:r>
      <w:proofErr w:type="spellEnd"/>
      <w:r w:rsidRPr="002B653D">
        <w:rPr>
          <w:rFonts w:ascii="Times New Roman" w:hAnsi="Times New Roman" w:cs="Times New Roman"/>
          <w:color w:val="000000" w:themeColor="text1"/>
        </w:rPr>
        <w:t xml:space="preserve"> besliste de</w:t>
      </w:r>
      <w:r w:rsidR="002F54DF" w:rsidRPr="002B653D">
        <w:rPr>
          <w:rFonts w:ascii="Times New Roman" w:hAnsi="Times New Roman" w:cs="Times New Roman"/>
          <w:color w:val="000000" w:themeColor="text1"/>
        </w:rPr>
        <w:t xml:space="preserve"> deputatie van de provincie Vlaams-Brabant op 3 oktober 2013 om de volledige procedure voor dit planproces te hernemen. Ook de procedure van de </w:t>
      </w:r>
      <w:proofErr w:type="spellStart"/>
      <w:r w:rsidR="002F54DF" w:rsidRPr="002B653D">
        <w:rPr>
          <w:rFonts w:ascii="Times New Roman" w:hAnsi="Times New Roman" w:cs="Times New Roman"/>
          <w:color w:val="000000" w:themeColor="text1"/>
        </w:rPr>
        <w:t>planMER</w:t>
      </w:r>
      <w:proofErr w:type="spellEnd"/>
      <w:r w:rsidR="002F54DF" w:rsidRPr="002B653D">
        <w:rPr>
          <w:rFonts w:ascii="Times New Roman" w:hAnsi="Times New Roman" w:cs="Times New Roman"/>
          <w:color w:val="000000" w:themeColor="text1"/>
        </w:rPr>
        <w:t xml:space="preserve"> wordt dus volledig opnie</w:t>
      </w:r>
      <w:r w:rsidR="0086415D" w:rsidRPr="002B653D">
        <w:rPr>
          <w:rFonts w:ascii="Times New Roman" w:hAnsi="Times New Roman" w:cs="Times New Roman"/>
          <w:color w:val="000000" w:themeColor="text1"/>
        </w:rPr>
        <w:t>uw doorlopen, maar deze</w:t>
      </w:r>
      <w:r w:rsidR="002F54DF" w:rsidRPr="002B653D">
        <w:rPr>
          <w:rFonts w:ascii="Times New Roman" w:hAnsi="Times New Roman" w:cs="Times New Roman"/>
          <w:color w:val="000000" w:themeColor="text1"/>
        </w:rPr>
        <w:t xml:space="preserve"> kee</w:t>
      </w:r>
      <w:r w:rsidR="002B653D">
        <w:rPr>
          <w:rFonts w:ascii="Times New Roman" w:hAnsi="Times New Roman" w:cs="Times New Roman"/>
          <w:color w:val="000000" w:themeColor="text1"/>
        </w:rPr>
        <w:t xml:space="preserve">r volgens het generieke spoor. </w:t>
      </w:r>
      <w:r w:rsidR="002F54DF" w:rsidRPr="002B653D">
        <w:rPr>
          <w:rFonts w:ascii="Times New Roman" w:hAnsi="Times New Roman" w:cs="Times New Roman"/>
          <w:color w:val="000000" w:themeColor="text1"/>
        </w:rPr>
        <w:t xml:space="preserve">Na de goedkeuring van de nieuwe </w:t>
      </w:r>
      <w:proofErr w:type="spellStart"/>
      <w:r w:rsidR="002F54DF" w:rsidRPr="002B653D">
        <w:rPr>
          <w:rFonts w:ascii="Times New Roman" w:hAnsi="Times New Roman" w:cs="Times New Roman"/>
          <w:color w:val="000000" w:themeColor="text1"/>
        </w:rPr>
        <w:t>planMER</w:t>
      </w:r>
      <w:proofErr w:type="spellEnd"/>
      <w:r w:rsidR="002F54DF" w:rsidRPr="002B653D">
        <w:rPr>
          <w:rFonts w:ascii="Times New Roman" w:hAnsi="Times New Roman" w:cs="Times New Roman"/>
          <w:color w:val="000000" w:themeColor="text1"/>
        </w:rPr>
        <w:t xml:space="preserve">, zal ook </w:t>
      </w:r>
      <w:r w:rsidR="0086415D" w:rsidRPr="002B653D">
        <w:rPr>
          <w:rFonts w:ascii="Times New Roman" w:hAnsi="Times New Roman" w:cs="Times New Roman"/>
          <w:color w:val="000000" w:themeColor="text1"/>
        </w:rPr>
        <w:t>de</w:t>
      </w:r>
      <w:bookmarkStart w:id="6" w:name="_GoBack"/>
      <w:bookmarkEnd w:id="6"/>
      <w:r w:rsidR="002F54DF" w:rsidRPr="002B653D">
        <w:rPr>
          <w:rFonts w:ascii="Times New Roman" w:hAnsi="Times New Roman" w:cs="Times New Roman"/>
          <w:color w:val="000000" w:themeColor="text1"/>
        </w:rPr>
        <w:t xml:space="preserve"> procedure voor </w:t>
      </w:r>
      <w:r w:rsidR="0086415D" w:rsidRPr="002B653D">
        <w:rPr>
          <w:rFonts w:ascii="Times New Roman" w:hAnsi="Times New Roman" w:cs="Times New Roman"/>
          <w:color w:val="000000" w:themeColor="text1"/>
        </w:rPr>
        <w:t>het</w:t>
      </w:r>
      <w:r w:rsidR="002F54DF" w:rsidRPr="002B653D">
        <w:rPr>
          <w:rFonts w:ascii="Times New Roman" w:hAnsi="Times New Roman" w:cs="Times New Roman"/>
          <w:color w:val="000000" w:themeColor="text1"/>
        </w:rPr>
        <w:t xml:space="preserve"> provinciaal ruimtelijk uitvoeringsplan </w:t>
      </w:r>
      <w:r w:rsidRPr="002B653D">
        <w:rPr>
          <w:rFonts w:ascii="Times New Roman" w:hAnsi="Times New Roman" w:cs="Times New Roman"/>
          <w:color w:val="000000" w:themeColor="text1"/>
        </w:rPr>
        <w:t>doorlopen worden</w:t>
      </w:r>
      <w:r w:rsidR="002F54DF" w:rsidRPr="002B653D">
        <w:rPr>
          <w:rFonts w:ascii="Times New Roman" w:hAnsi="Times New Roman" w:cs="Times New Roman"/>
          <w:color w:val="000000" w:themeColor="text1"/>
        </w:rPr>
        <w:t>. De provincie nam deze beslissing om de rechtszekerheid over het juridisch-planologisch kader te kunnen garanderen.</w:t>
      </w:r>
      <w:r w:rsidR="00C074E4" w:rsidRPr="002B653D">
        <w:rPr>
          <w:rFonts w:ascii="Times New Roman" w:hAnsi="Times New Roman" w:cs="Times New Roman"/>
          <w:color w:val="000000" w:themeColor="text1"/>
        </w:rPr>
        <w:t xml:space="preserve"> </w:t>
      </w:r>
    </w:p>
    <w:p w:rsidR="00B760AF" w:rsidRPr="002B653D" w:rsidRDefault="008C20D7" w:rsidP="002B653D">
      <w:pPr>
        <w:pStyle w:val="Kop1"/>
        <w:spacing w:before="0" w:after="0"/>
        <w:jc w:val="both"/>
        <w:rPr>
          <w:rFonts w:ascii="Times New Roman" w:hAnsi="Times New Roman" w:cs="Times New Roman"/>
          <w:b w:val="0"/>
          <w:color w:val="000000"/>
          <w:spacing w:val="-3"/>
          <w:sz w:val="22"/>
          <w:szCs w:val="22"/>
        </w:rPr>
      </w:pPr>
      <w:r w:rsidRPr="002B653D">
        <w:rPr>
          <w:rFonts w:ascii="Times New Roman" w:hAnsi="Times New Roman" w:cs="Times New Roman"/>
          <w:b w:val="0"/>
          <w:color w:val="000000" w:themeColor="text1"/>
          <w:sz w:val="22"/>
          <w:szCs w:val="22"/>
        </w:rPr>
        <w:t xml:space="preserve">Vervolledigend wil ik erop wijzen dat </w:t>
      </w:r>
      <w:r w:rsidR="00DA09FB" w:rsidRPr="002B653D">
        <w:rPr>
          <w:rFonts w:ascii="Times New Roman" w:hAnsi="Times New Roman" w:cs="Times New Roman"/>
          <w:b w:val="0"/>
          <w:color w:val="000000" w:themeColor="text1"/>
          <w:sz w:val="22"/>
          <w:szCs w:val="22"/>
        </w:rPr>
        <w:t>op 7 november 2013 een voorstel van hersteldecreet ingediend</w:t>
      </w:r>
      <w:r w:rsidRPr="002B653D">
        <w:rPr>
          <w:rFonts w:ascii="Times New Roman" w:hAnsi="Times New Roman" w:cs="Times New Roman"/>
          <w:b w:val="0"/>
          <w:color w:val="000000"/>
          <w:spacing w:val="-3"/>
          <w:sz w:val="22"/>
          <w:szCs w:val="22"/>
        </w:rPr>
        <w:t xml:space="preserve"> werd </w:t>
      </w:r>
      <w:r w:rsidR="00B760AF" w:rsidRPr="002B653D">
        <w:rPr>
          <w:rFonts w:ascii="Times New Roman" w:hAnsi="Times New Roman" w:cs="Times New Roman"/>
          <w:b w:val="0"/>
          <w:color w:val="000000"/>
          <w:spacing w:val="-3"/>
          <w:sz w:val="22"/>
          <w:szCs w:val="22"/>
        </w:rPr>
        <w:t xml:space="preserve">betreffende het rechtsherstel van ruimtelijke uitvoeringsplannen waarvan de plan-Mer werd opgemaakt via het integratiespoorbesluit. </w:t>
      </w:r>
    </w:p>
    <w:p w:rsidR="00DA09FB" w:rsidRPr="002B653D" w:rsidRDefault="00DA09FB" w:rsidP="002B653D">
      <w:pPr>
        <w:jc w:val="both"/>
        <w:rPr>
          <w:szCs w:val="22"/>
        </w:rPr>
      </w:pPr>
      <w:r w:rsidRPr="002B653D">
        <w:rPr>
          <w:color w:val="000000" w:themeColor="text1"/>
          <w:szCs w:val="22"/>
        </w:rPr>
        <w:t>Hierin wordt voorzien dat om</w:t>
      </w:r>
      <w:r w:rsidRPr="002B653D">
        <w:rPr>
          <w:szCs w:val="22"/>
        </w:rPr>
        <w:t xml:space="preserve"> de ten gevolge van het arrest van het Grondwettelijk Hof opnieuw gerezen rechtsonzekerheid voor de eigenaars binnen het plangebied te herstellen, de </w:t>
      </w:r>
      <w:proofErr w:type="spellStart"/>
      <w:r w:rsidRPr="002B653D">
        <w:rPr>
          <w:szCs w:val="22"/>
        </w:rPr>
        <w:t>RUP’s</w:t>
      </w:r>
      <w:proofErr w:type="spellEnd"/>
      <w:r w:rsidRPr="002B653D">
        <w:rPr>
          <w:szCs w:val="22"/>
        </w:rPr>
        <w:t xml:space="preserve"> die met toepassing van het integratiespoor zijn tot stand gekomen voorlopig </w:t>
      </w:r>
      <w:r w:rsidR="00B760AF" w:rsidRPr="002B653D">
        <w:rPr>
          <w:szCs w:val="22"/>
        </w:rPr>
        <w:t xml:space="preserve">en voor een beperkte termijn </w:t>
      </w:r>
      <w:r w:rsidRPr="002B653D">
        <w:rPr>
          <w:szCs w:val="22"/>
        </w:rPr>
        <w:t>geldig worden verklaard in afwachting van hun reparatie</w:t>
      </w:r>
      <w:r w:rsidR="00B760AF" w:rsidRPr="002B653D">
        <w:rPr>
          <w:szCs w:val="22"/>
        </w:rPr>
        <w:t xml:space="preserve"> </w:t>
      </w:r>
      <w:r w:rsidR="008C20D7" w:rsidRPr="002B653D">
        <w:rPr>
          <w:szCs w:val="22"/>
        </w:rPr>
        <w:t>(nieuwe inspraak organiseren)</w:t>
      </w:r>
      <w:r w:rsidRPr="002B653D">
        <w:rPr>
          <w:szCs w:val="22"/>
        </w:rPr>
        <w:t xml:space="preserve">. </w:t>
      </w:r>
    </w:p>
    <w:p w:rsidR="003C5BB2" w:rsidRPr="002B653D" w:rsidRDefault="00B760AF" w:rsidP="002B653D">
      <w:pPr>
        <w:tabs>
          <w:tab w:val="left" w:pos="284"/>
          <w:tab w:val="left" w:pos="567"/>
          <w:tab w:val="left" w:pos="851"/>
          <w:tab w:val="center" w:pos="4394"/>
          <w:tab w:val="right" w:pos="8789"/>
        </w:tabs>
        <w:jc w:val="both"/>
        <w:rPr>
          <w:szCs w:val="22"/>
        </w:rPr>
      </w:pPr>
      <w:r w:rsidRPr="002B653D">
        <w:rPr>
          <w:szCs w:val="22"/>
        </w:rPr>
        <w:t>D</w:t>
      </w:r>
      <w:r w:rsidR="00DA09FB" w:rsidRPr="002B653D">
        <w:rPr>
          <w:szCs w:val="22"/>
        </w:rPr>
        <w:t xml:space="preserve">eze geldigverklaring </w:t>
      </w:r>
      <w:r w:rsidRPr="002B653D">
        <w:rPr>
          <w:szCs w:val="22"/>
        </w:rPr>
        <w:t xml:space="preserve">blijft </w:t>
      </w:r>
      <w:r w:rsidR="00DA09FB" w:rsidRPr="002B653D">
        <w:rPr>
          <w:szCs w:val="22"/>
        </w:rPr>
        <w:t>beperkt tot één en dezelfde (zuiver internrechtelijke) onwettigheid, zodat die geldigverklaring niet belet dat tegen dit RUP andere gronden van beweerde onwettigheid worden aangevoerd</w:t>
      </w:r>
      <w:r w:rsidRPr="002B653D">
        <w:rPr>
          <w:szCs w:val="22"/>
        </w:rPr>
        <w:t xml:space="preserve">. Deze regeling is uiteraard pas van kracht van zodra het decreet in werking treedt. </w:t>
      </w:r>
    </w:p>
    <w:sectPr w:rsidR="003C5BB2" w:rsidRPr="002B653D"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104A5BE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F523A6"/>
    <w:multiLevelType w:val="hybridMultilevel"/>
    <w:tmpl w:val="87983D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2C877052"/>
    <w:multiLevelType w:val="hybridMultilevel"/>
    <w:tmpl w:val="9A3A48B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2CC766B"/>
    <w:multiLevelType w:val="hybridMultilevel"/>
    <w:tmpl w:val="F1EA295C"/>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385667D8"/>
    <w:multiLevelType w:val="hybridMultilevel"/>
    <w:tmpl w:val="1FD6C5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CBD3C06"/>
    <w:multiLevelType w:val="hybridMultilevel"/>
    <w:tmpl w:val="F46A44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4E2403CC"/>
    <w:multiLevelType w:val="hybridMultilevel"/>
    <w:tmpl w:val="C856166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E932226"/>
    <w:multiLevelType w:val="hybridMultilevel"/>
    <w:tmpl w:val="8136687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51032C68"/>
    <w:multiLevelType w:val="hybridMultilevel"/>
    <w:tmpl w:val="4692B23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55624B64"/>
    <w:multiLevelType w:val="hybridMultilevel"/>
    <w:tmpl w:val="18EC9612"/>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1">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3"/>
  </w:num>
  <w:num w:numId="4">
    <w:abstractNumId w:val="8"/>
  </w:num>
  <w:num w:numId="5">
    <w:abstractNumId w:val="11"/>
  </w:num>
  <w:num w:numId="6">
    <w:abstractNumId w:val="0"/>
  </w:num>
  <w:num w:numId="7">
    <w:abstractNumId w:val="2"/>
  </w:num>
  <w:num w:numId="8">
    <w:abstractNumId w:val="9"/>
  </w:num>
  <w:num w:numId="9">
    <w:abstractNumId w:val="5"/>
  </w:num>
  <w:num w:numId="10">
    <w:abstractNumId w:val="1"/>
  </w:num>
  <w:num w:numId="11">
    <w:abstractNumId w:val="4"/>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B2"/>
    <w:rsid w:val="0008172E"/>
    <w:rsid w:val="000976E9"/>
    <w:rsid w:val="000C4E8C"/>
    <w:rsid w:val="000F3532"/>
    <w:rsid w:val="00105FDC"/>
    <w:rsid w:val="00174464"/>
    <w:rsid w:val="001764EC"/>
    <w:rsid w:val="00210C07"/>
    <w:rsid w:val="00244800"/>
    <w:rsid w:val="00266E3B"/>
    <w:rsid w:val="002B653D"/>
    <w:rsid w:val="002F54DF"/>
    <w:rsid w:val="00326A58"/>
    <w:rsid w:val="00336BBF"/>
    <w:rsid w:val="003C5BB2"/>
    <w:rsid w:val="003D2B5B"/>
    <w:rsid w:val="003F22BB"/>
    <w:rsid w:val="005208D5"/>
    <w:rsid w:val="00554D89"/>
    <w:rsid w:val="0055751A"/>
    <w:rsid w:val="005E38CA"/>
    <w:rsid w:val="006548DD"/>
    <w:rsid w:val="006F20B5"/>
    <w:rsid w:val="0071248C"/>
    <w:rsid w:val="007252C7"/>
    <w:rsid w:val="00735E21"/>
    <w:rsid w:val="00787964"/>
    <w:rsid w:val="007A1490"/>
    <w:rsid w:val="007A5EA9"/>
    <w:rsid w:val="0086415D"/>
    <w:rsid w:val="008A713D"/>
    <w:rsid w:val="008C20D7"/>
    <w:rsid w:val="008D5DB4"/>
    <w:rsid w:val="00924D85"/>
    <w:rsid w:val="009347E0"/>
    <w:rsid w:val="00992C1B"/>
    <w:rsid w:val="009D7043"/>
    <w:rsid w:val="009E72BD"/>
    <w:rsid w:val="00AF64E1"/>
    <w:rsid w:val="00B45EB2"/>
    <w:rsid w:val="00B760AF"/>
    <w:rsid w:val="00B87443"/>
    <w:rsid w:val="00BB7612"/>
    <w:rsid w:val="00BE425A"/>
    <w:rsid w:val="00C074E4"/>
    <w:rsid w:val="00C15BA8"/>
    <w:rsid w:val="00C3358B"/>
    <w:rsid w:val="00CC06DC"/>
    <w:rsid w:val="00CE1141"/>
    <w:rsid w:val="00D71D99"/>
    <w:rsid w:val="00D754F2"/>
    <w:rsid w:val="00DA0370"/>
    <w:rsid w:val="00DA09FB"/>
    <w:rsid w:val="00DB41C0"/>
    <w:rsid w:val="00DC00E1"/>
    <w:rsid w:val="00DC4DB6"/>
    <w:rsid w:val="00E53E17"/>
    <w:rsid w:val="00E55200"/>
    <w:rsid w:val="00F10CD5"/>
    <w:rsid w:val="00F31EBD"/>
    <w:rsid w:val="00FA29D6"/>
    <w:rsid w:val="00FD5BF4"/>
    <w:rsid w:val="00FD6279"/>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styleId="Lijstalinea">
    <w:name w:val="List Paragraph"/>
    <w:basedOn w:val="Standaard"/>
    <w:uiPriority w:val="34"/>
    <w:qFormat/>
    <w:rsid w:val="003C5BB2"/>
    <w:pPr>
      <w:ind w:left="720"/>
    </w:pPr>
    <w:rPr>
      <w:rFonts w:ascii="Calibri" w:eastAsia="Calibri" w:hAnsi="Calibri" w:cs="Calibri"/>
      <w:szCs w:val="22"/>
      <w:lang w:val="nl-BE" w:eastAsia="en-US"/>
    </w:rPr>
  </w:style>
  <w:style w:type="paragraph" w:styleId="Plattetekst">
    <w:name w:val="Body Text"/>
    <w:basedOn w:val="Standaard"/>
    <w:link w:val="PlattetekstChar"/>
    <w:rsid w:val="00554D89"/>
    <w:pPr>
      <w:tabs>
        <w:tab w:val="right" w:pos="-1440"/>
        <w:tab w:val="left" w:pos="-720"/>
        <w:tab w:val="left" w:pos="0"/>
      </w:tabs>
      <w:spacing w:before="60" w:after="60"/>
      <w:jc w:val="both"/>
    </w:pPr>
    <w:rPr>
      <w:rFonts w:ascii="Garamond" w:hAnsi="Garamond"/>
      <w:szCs w:val="20"/>
      <w:lang w:val="nl"/>
    </w:rPr>
  </w:style>
  <w:style w:type="character" w:customStyle="1" w:styleId="PlattetekstChar">
    <w:name w:val="Platte tekst Char"/>
    <w:basedOn w:val="Standaardalinea-lettertype"/>
    <w:link w:val="Plattetekst"/>
    <w:rsid w:val="00554D89"/>
    <w:rPr>
      <w:rFonts w:ascii="Garamond" w:hAnsi="Garamond"/>
      <w:sz w:val="22"/>
      <w:lang w:va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styleId="Lijstalinea">
    <w:name w:val="List Paragraph"/>
    <w:basedOn w:val="Standaard"/>
    <w:uiPriority w:val="34"/>
    <w:qFormat/>
    <w:rsid w:val="003C5BB2"/>
    <w:pPr>
      <w:ind w:left="720"/>
    </w:pPr>
    <w:rPr>
      <w:rFonts w:ascii="Calibri" w:eastAsia="Calibri" w:hAnsi="Calibri" w:cs="Calibri"/>
      <w:szCs w:val="22"/>
      <w:lang w:val="nl-BE" w:eastAsia="en-US"/>
    </w:rPr>
  </w:style>
  <w:style w:type="paragraph" w:styleId="Plattetekst">
    <w:name w:val="Body Text"/>
    <w:basedOn w:val="Standaard"/>
    <w:link w:val="PlattetekstChar"/>
    <w:rsid w:val="00554D89"/>
    <w:pPr>
      <w:tabs>
        <w:tab w:val="right" w:pos="-1440"/>
        <w:tab w:val="left" w:pos="-720"/>
        <w:tab w:val="left" w:pos="0"/>
      </w:tabs>
      <w:spacing w:before="60" w:after="60"/>
      <w:jc w:val="both"/>
    </w:pPr>
    <w:rPr>
      <w:rFonts w:ascii="Garamond" w:hAnsi="Garamond"/>
      <w:szCs w:val="20"/>
      <w:lang w:val="nl"/>
    </w:rPr>
  </w:style>
  <w:style w:type="character" w:customStyle="1" w:styleId="PlattetekstChar">
    <w:name w:val="Platte tekst Char"/>
    <w:basedOn w:val="Standaardalinea-lettertype"/>
    <w:link w:val="Plattetekst"/>
    <w:rsid w:val="00554D89"/>
    <w:rPr>
      <w:rFonts w:ascii="Garamond" w:hAnsi="Garamond"/>
      <w:sz w:val="22"/>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0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495</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LEHOUCK, Luc</dc:creator>
  <cp:lastModifiedBy>Nathalie De Keyzer</cp:lastModifiedBy>
  <cp:revision>8</cp:revision>
  <cp:lastPrinted>2013-12-09T12:50:00Z</cp:lastPrinted>
  <dcterms:created xsi:type="dcterms:W3CDTF">2013-12-09T13:05:00Z</dcterms:created>
  <dcterms:modified xsi:type="dcterms:W3CDTF">2013-12-16T09:29:00Z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Antwoord schriftelijke vraag - Muyters</vt:lpwstr>
  </property>
  <property fmtid="{D5CDD505-2E9C-101B-9397-08002B2CF9AE}" pid="3" name="ContentTypeId">
    <vt:lpwstr>0x0101009488E854BFFCF9489C88BFB59DE882FD0102</vt:lpwstr>
  </property>
</Properties>
</file>