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67E6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167E62"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67E6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67E62" w:rsidRPr="00326A58">
        <w:rPr>
          <w:b w:val="0"/>
        </w:rPr>
      </w:r>
      <w:r w:rsidR="00167E62" w:rsidRPr="00326A58">
        <w:rPr>
          <w:b w:val="0"/>
        </w:rPr>
        <w:fldChar w:fldCharType="separate"/>
      </w:r>
      <w:r w:rsidR="00A10040">
        <w:rPr>
          <w:b w:val="0"/>
          <w:noProof/>
        </w:rPr>
        <w:t>88</w:t>
      </w:r>
      <w:r w:rsidR="00167E62"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67E6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67E62">
        <w:rPr>
          <w:b w:val="0"/>
        </w:rPr>
      </w:r>
      <w:r w:rsidR="00167E62">
        <w:rPr>
          <w:b w:val="0"/>
        </w:rPr>
        <w:fldChar w:fldCharType="separate"/>
      </w:r>
      <w:r w:rsidR="00002270">
        <w:rPr>
          <w:b w:val="0"/>
          <w:noProof/>
        </w:rPr>
        <w:t>7</w:t>
      </w:r>
      <w:r w:rsidR="00167E62">
        <w:rPr>
          <w:b w:val="0"/>
        </w:rPr>
        <w:fldChar w:fldCharType="end"/>
      </w:r>
      <w:bookmarkEnd w:id="3"/>
      <w:r w:rsidRPr="00326A58">
        <w:rPr>
          <w:b w:val="0"/>
        </w:rPr>
        <w:t xml:space="preserve"> </w:t>
      </w:r>
      <w:bookmarkStart w:id="4" w:name="Dropdown2"/>
      <w:r w:rsidR="00167E62">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E6916">
        <w:rPr>
          <w:b w:val="0"/>
        </w:rPr>
      </w:r>
      <w:r w:rsidR="00DE6916">
        <w:rPr>
          <w:b w:val="0"/>
        </w:rPr>
        <w:fldChar w:fldCharType="separate"/>
      </w:r>
      <w:r w:rsidR="00167E62">
        <w:rPr>
          <w:b w:val="0"/>
        </w:rPr>
        <w:fldChar w:fldCharType="end"/>
      </w:r>
      <w:bookmarkEnd w:id="4"/>
      <w:r w:rsidRPr="00326A58">
        <w:rPr>
          <w:b w:val="0"/>
        </w:rPr>
        <w:t xml:space="preserve"> </w:t>
      </w:r>
      <w:bookmarkStart w:id="5" w:name="Dropdown3"/>
      <w:r w:rsidR="00167E62">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E6916">
        <w:rPr>
          <w:b w:val="0"/>
        </w:rPr>
      </w:r>
      <w:r w:rsidR="00DE6916">
        <w:rPr>
          <w:b w:val="0"/>
        </w:rPr>
        <w:fldChar w:fldCharType="separate"/>
      </w:r>
      <w:r w:rsidR="00167E62">
        <w:rPr>
          <w:b w:val="0"/>
        </w:rPr>
        <w:fldChar w:fldCharType="end"/>
      </w:r>
      <w:bookmarkEnd w:id="5"/>
    </w:p>
    <w:p w:rsidR="000976E9" w:rsidRDefault="000976E9" w:rsidP="000976E9">
      <w:pPr>
        <w:rPr>
          <w:szCs w:val="22"/>
        </w:rPr>
      </w:pPr>
      <w:r>
        <w:rPr>
          <w:szCs w:val="22"/>
        </w:rPr>
        <w:t xml:space="preserve">van </w:t>
      </w:r>
      <w:r w:rsidR="00167E6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67E62" w:rsidRPr="009D7043">
        <w:rPr>
          <w:rStyle w:val="AntwoordNaamMinisterChar"/>
        </w:rPr>
      </w:r>
      <w:r w:rsidR="00167E62" w:rsidRPr="009D7043">
        <w:rPr>
          <w:rStyle w:val="AntwoordNaamMinisterChar"/>
        </w:rPr>
        <w:fldChar w:fldCharType="separate"/>
      </w:r>
      <w:r w:rsidR="00A10040">
        <w:rPr>
          <w:rStyle w:val="AntwoordNaamMinisterChar"/>
        </w:rPr>
        <w:t>gwenny de vroe</w:t>
      </w:r>
      <w:r w:rsidR="00167E6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10040" w:rsidRDefault="00A10040" w:rsidP="00A10040">
      <w:pPr>
        <w:numPr>
          <w:ilvl w:val="0"/>
          <w:numId w:val="15"/>
        </w:numPr>
        <w:ind w:left="284" w:hanging="284"/>
        <w:jc w:val="both"/>
        <w:rPr>
          <w:szCs w:val="22"/>
        </w:rPr>
      </w:pPr>
      <w:r>
        <w:rPr>
          <w:szCs w:val="22"/>
        </w:rPr>
        <w:lastRenderedPageBreak/>
        <w:t xml:space="preserve">In bijlage 1 vindt u het aantal uitgevoerde controles per jaar sinds de start van de aanwezigheidscontroles in 2009 en het aantal wooneenheden die bij de initiële controle niet over een EPC beschikte. </w:t>
      </w:r>
    </w:p>
    <w:p w:rsidR="00A10040" w:rsidRDefault="00A10040" w:rsidP="00A10040">
      <w:pPr>
        <w:ind w:left="284" w:hanging="284"/>
        <w:jc w:val="both"/>
        <w:rPr>
          <w:szCs w:val="22"/>
        </w:rPr>
      </w:pPr>
    </w:p>
    <w:p w:rsidR="00A10040" w:rsidRDefault="00A10040" w:rsidP="00A10040">
      <w:pPr>
        <w:numPr>
          <w:ilvl w:val="0"/>
          <w:numId w:val="15"/>
        </w:numPr>
        <w:ind w:left="284" w:hanging="284"/>
        <w:jc w:val="both"/>
        <w:rPr>
          <w:szCs w:val="22"/>
        </w:rPr>
      </w:pPr>
      <w:r>
        <w:rPr>
          <w:szCs w:val="22"/>
        </w:rPr>
        <w:t xml:space="preserve">In bijlage 1 vindt u het aantal dossiers, waarvoor de handhavingsprocedure werd opgestart en waarvoor na het behandelen van de tegenargumenten geen boete werd opgelegd. </w:t>
      </w:r>
    </w:p>
    <w:p w:rsidR="00A10040" w:rsidRPr="00A10040" w:rsidRDefault="00A10040" w:rsidP="00A10040">
      <w:pPr>
        <w:ind w:left="284"/>
        <w:jc w:val="both"/>
        <w:rPr>
          <w:szCs w:val="22"/>
        </w:rPr>
      </w:pPr>
      <w:r w:rsidRPr="00A10040">
        <w:rPr>
          <w:szCs w:val="22"/>
        </w:rPr>
        <w:t xml:space="preserve">Het is belangrijk om hierbij op te merken dat 1434 controles geannuleerd werden omdat:  </w:t>
      </w:r>
    </w:p>
    <w:p w:rsidR="00A10040" w:rsidRDefault="00A10040" w:rsidP="00A10040">
      <w:pPr>
        <w:ind w:left="284"/>
        <w:jc w:val="both"/>
        <w:rPr>
          <w:szCs w:val="22"/>
        </w:rPr>
      </w:pPr>
      <w:r>
        <w:rPr>
          <w:szCs w:val="22"/>
        </w:rPr>
        <w:t>- de adresgegevens op de advertentie niet correct bleken;</w:t>
      </w:r>
    </w:p>
    <w:p w:rsidR="00A10040" w:rsidRDefault="00A10040" w:rsidP="00A10040">
      <w:pPr>
        <w:ind w:left="284"/>
        <w:jc w:val="both"/>
        <w:rPr>
          <w:szCs w:val="22"/>
        </w:rPr>
      </w:pPr>
      <w:r>
        <w:rPr>
          <w:szCs w:val="22"/>
        </w:rPr>
        <w:t>- de eigenaarsgegevens niet kunnen aangeleverd worden door het kadaster;</w:t>
      </w:r>
    </w:p>
    <w:p w:rsidR="00A10040" w:rsidRDefault="00A10040" w:rsidP="00A10040">
      <w:pPr>
        <w:ind w:left="284"/>
        <w:jc w:val="both"/>
        <w:rPr>
          <w:szCs w:val="22"/>
        </w:rPr>
      </w:pPr>
      <w:r>
        <w:rPr>
          <w:szCs w:val="22"/>
        </w:rPr>
        <w:t>- een fout in de controle is geslopen;</w:t>
      </w:r>
    </w:p>
    <w:p w:rsidR="00A10040" w:rsidRDefault="00A10040" w:rsidP="00A10040">
      <w:pPr>
        <w:ind w:left="284"/>
        <w:jc w:val="both"/>
        <w:rPr>
          <w:szCs w:val="22"/>
        </w:rPr>
      </w:pPr>
      <w:r>
        <w:rPr>
          <w:szCs w:val="22"/>
        </w:rPr>
        <w:t xml:space="preserve">- voor eigenaars waarvoor meerdere controles voor verschillende wooneenheden gebeurden slechts voor één woning een handhavingsprocedure werd opgesteld. </w:t>
      </w:r>
    </w:p>
    <w:p w:rsidR="00A10040" w:rsidRDefault="00A10040" w:rsidP="00A10040">
      <w:pPr>
        <w:ind w:left="284"/>
        <w:jc w:val="both"/>
        <w:rPr>
          <w:szCs w:val="22"/>
          <w:lang w:val="nl-BE"/>
        </w:rPr>
      </w:pPr>
      <w:r>
        <w:rPr>
          <w:szCs w:val="22"/>
          <w:lang w:val="nl-BE"/>
        </w:rPr>
        <w:t xml:space="preserve">Voor de controles uitgevoerd in 2013 moet de handhavingsprocedure nog worden opgestart. </w:t>
      </w:r>
    </w:p>
    <w:p w:rsidR="00A10040" w:rsidRDefault="00A10040" w:rsidP="00A10040">
      <w:pPr>
        <w:ind w:left="284" w:hanging="284"/>
        <w:jc w:val="both"/>
        <w:rPr>
          <w:szCs w:val="22"/>
        </w:rPr>
      </w:pPr>
    </w:p>
    <w:p w:rsidR="00A10040" w:rsidRDefault="00A10040" w:rsidP="00A10040">
      <w:pPr>
        <w:numPr>
          <w:ilvl w:val="0"/>
          <w:numId w:val="15"/>
        </w:numPr>
        <w:ind w:left="284" w:hanging="284"/>
        <w:jc w:val="both"/>
        <w:rPr>
          <w:szCs w:val="22"/>
        </w:rPr>
      </w:pPr>
      <w:r>
        <w:rPr>
          <w:szCs w:val="22"/>
        </w:rPr>
        <w:t xml:space="preserve">Het aantal opgelegde boetes per jaar vindt u in bijlage 1. Hierbij moet worden opgemerkt dat een aantal boetes die werden opgelegd in een bepaald jaar kunnen voortvloeien uit controles die het jaar voordien werden uitgevoerd. </w:t>
      </w:r>
    </w:p>
    <w:p w:rsidR="00A10040" w:rsidRDefault="00A10040" w:rsidP="00A10040">
      <w:pPr>
        <w:ind w:left="284" w:hanging="284"/>
        <w:jc w:val="both"/>
        <w:rPr>
          <w:szCs w:val="22"/>
        </w:rPr>
      </w:pPr>
    </w:p>
    <w:p w:rsidR="00A10040" w:rsidRDefault="00A10040" w:rsidP="00A10040">
      <w:pPr>
        <w:numPr>
          <w:ilvl w:val="0"/>
          <w:numId w:val="15"/>
        </w:numPr>
        <w:ind w:left="284" w:hanging="284"/>
        <w:jc w:val="both"/>
        <w:rPr>
          <w:szCs w:val="22"/>
        </w:rPr>
      </w:pPr>
      <w:r>
        <w:rPr>
          <w:szCs w:val="22"/>
        </w:rPr>
        <w:t xml:space="preserve">Er kan een administratieve geldboete van 500 tot 5000 euro worden opgelegd. </w:t>
      </w:r>
    </w:p>
    <w:p w:rsidR="00A10040" w:rsidRDefault="00A10040" w:rsidP="00A10040">
      <w:pPr>
        <w:pStyle w:val="Lijstalinea"/>
        <w:ind w:left="284" w:hanging="284"/>
      </w:pPr>
    </w:p>
    <w:p w:rsidR="00A10040" w:rsidRDefault="00A10040" w:rsidP="00DE6916">
      <w:pPr>
        <w:numPr>
          <w:ilvl w:val="0"/>
          <w:numId w:val="15"/>
        </w:numPr>
        <w:tabs>
          <w:tab w:val="left" w:pos="426"/>
        </w:tabs>
        <w:ind w:left="709" w:hanging="709"/>
        <w:jc w:val="both"/>
        <w:rPr>
          <w:szCs w:val="22"/>
        </w:rPr>
      </w:pPr>
      <w:r>
        <w:t>a)</w:t>
      </w:r>
      <w:r w:rsidR="00DE6916">
        <w:rPr>
          <w:szCs w:val="22"/>
        </w:rPr>
        <w:tab/>
      </w:r>
      <w:r>
        <w:t xml:space="preserve">Sinds 2011,  het jaar dat gestart werd met handhaving, werden in totaal 74 klachtendossiers ontvankelijk verklaard. In 2011 waren er 24 klachtendossiers,  in 2012 37, en in 2013 (tot 12/11) 13. Het is hierbij belangrijk om op te merken dat er geen onderscheid wordt gemaakt tussen klachten over de correctheid van het EPC en klachten over onbekwame energiedeskundigen. </w:t>
      </w:r>
    </w:p>
    <w:p w:rsidR="00A10040" w:rsidRDefault="00A10040" w:rsidP="00A10040">
      <w:pPr>
        <w:pStyle w:val="Lijstalinea"/>
        <w:ind w:left="284" w:hanging="284"/>
      </w:pPr>
    </w:p>
    <w:p w:rsidR="00A10040" w:rsidRDefault="00DE6916" w:rsidP="00DE6916">
      <w:pPr>
        <w:ind w:left="709" w:hanging="283"/>
        <w:jc w:val="both"/>
      </w:pPr>
      <w:r>
        <w:t>b)</w:t>
      </w:r>
      <w:r>
        <w:tab/>
      </w:r>
      <w:r w:rsidR="00A10040">
        <w:t xml:space="preserve">Tot nu werden 33 klachten beoordeeld als gegrond. In 8 gevallen is de handhavingsprocedure nog niet afgerond. </w:t>
      </w:r>
    </w:p>
    <w:p w:rsidR="00A10040" w:rsidRDefault="00A10040" w:rsidP="00A10040">
      <w:pPr>
        <w:ind w:left="284" w:hanging="284"/>
        <w:jc w:val="both"/>
      </w:pPr>
    </w:p>
    <w:p w:rsidR="00A10040" w:rsidRDefault="00DE6916" w:rsidP="00DE6916">
      <w:pPr>
        <w:tabs>
          <w:tab w:val="left" w:pos="709"/>
        </w:tabs>
        <w:ind w:left="709" w:hanging="283"/>
      </w:pPr>
      <w:r>
        <w:t>c)</w:t>
      </w:r>
      <w:r>
        <w:tab/>
      </w:r>
      <w:r w:rsidR="00A10040">
        <w:t>De belangrijkste reden voor de klachten zijn:</w:t>
      </w:r>
    </w:p>
    <w:p w:rsidR="00A10040" w:rsidRPr="00A10040" w:rsidRDefault="00A10040" w:rsidP="00DE6916">
      <w:pPr>
        <w:pStyle w:val="Lijstalinea"/>
        <w:numPr>
          <w:ilvl w:val="0"/>
          <w:numId w:val="16"/>
        </w:numPr>
        <w:tabs>
          <w:tab w:val="left" w:pos="993"/>
        </w:tabs>
        <w:ind w:left="993" w:hanging="285"/>
        <w:contextualSpacing/>
        <w:rPr>
          <w:rFonts w:ascii="Times New Roman" w:hAnsi="Times New Roman"/>
        </w:rPr>
      </w:pPr>
      <w:r w:rsidRPr="00A10040">
        <w:rPr>
          <w:rFonts w:ascii="Times New Roman" w:hAnsi="Times New Roman"/>
        </w:rPr>
        <w:t>Een verkeerd kengetal (te laag of te hoog).</w:t>
      </w:r>
    </w:p>
    <w:p w:rsidR="00A10040" w:rsidRPr="00A10040" w:rsidRDefault="00A10040" w:rsidP="00DE6916">
      <w:pPr>
        <w:pStyle w:val="Lijstalinea"/>
        <w:numPr>
          <w:ilvl w:val="0"/>
          <w:numId w:val="16"/>
        </w:numPr>
        <w:tabs>
          <w:tab w:val="left" w:pos="993"/>
        </w:tabs>
        <w:ind w:left="993" w:hanging="285"/>
        <w:contextualSpacing/>
        <w:rPr>
          <w:rFonts w:ascii="Times New Roman" w:hAnsi="Times New Roman"/>
        </w:rPr>
      </w:pPr>
      <w:r w:rsidRPr="00A10040">
        <w:rPr>
          <w:rFonts w:ascii="Times New Roman" w:hAnsi="Times New Roman"/>
        </w:rPr>
        <w:t>Foutieve aanbevelingen.</w:t>
      </w:r>
    </w:p>
    <w:p w:rsidR="00A10040" w:rsidRPr="00A10040" w:rsidRDefault="00A10040" w:rsidP="00DE6916">
      <w:pPr>
        <w:pStyle w:val="Lijstalinea"/>
        <w:numPr>
          <w:ilvl w:val="0"/>
          <w:numId w:val="16"/>
        </w:numPr>
        <w:tabs>
          <w:tab w:val="left" w:pos="993"/>
        </w:tabs>
        <w:ind w:left="993" w:hanging="285"/>
        <w:contextualSpacing/>
        <w:rPr>
          <w:rFonts w:ascii="Times New Roman" w:hAnsi="Times New Roman"/>
        </w:rPr>
      </w:pPr>
      <w:r w:rsidRPr="00A10040">
        <w:rPr>
          <w:rFonts w:ascii="Times New Roman" w:hAnsi="Times New Roman"/>
        </w:rPr>
        <w:t xml:space="preserve">Een aanzienlijk verschil tussen het werkelijk en het berekend energieverbruik. </w:t>
      </w:r>
    </w:p>
    <w:p w:rsidR="00A10040" w:rsidRDefault="00A10040" w:rsidP="00A10040">
      <w:pPr>
        <w:pStyle w:val="Lijstalinea"/>
        <w:tabs>
          <w:tab w:val="left" w:pos="567"/>
        </w:tabs>
        <w:ind w:left="284"/>
        <w:contextualSpacing/>
      </w:pPr>
    </w:p>
    <w:p w:rsidR="00A10040" w:rsidRDefault="00DE6916" w:rsidP="00DE6916">
      <w:pPr>
        <w:tabs>
          <w:tab w:val="left" w:pos="709"/>
        </w:tabs>
        <w:ind w:left="709" w:hanging="283"/>
        <w:jc w:val="both"/>
      </w:pPr>
      <w:r>
        <w:t>d)</w:t>
      </w:r>
      <w:r>
        <w:tab/>
      </w:r>
      <w:r w:rsidR="00A10040">
        <w:t xml:space="preserve">Het is niet mogelijk om in te schatten of de fouten die door de energiedeskundigen worden gemaakt, te wijten zijn aan incompetentie, vergissingen zijn of bewust worden gemaakt, al dan niet onder druk van de eigenaars om over een beter EPC te beschikken. </w:t>
      </w:r>
    </w:p>
    <w:p w:rsidR="00A10040" w:rsidRDefault="00A10040" w:rsidP="00A10040">
      <w:pPr>
        <w:tabs>
          <w:tab w:val="left" w:pos="567"/>
        </w:tabs>
        <w:ind w:left="284" w:hanging="284"/>
      </w:pPr>
    </w:p>
    <w:p w:rsidR="00A10040" w:rsidRDefault="00A10040" w:rsidP="00DE6916">
      <w:pPr>
        <w:numPr>
          <w:ilvl w:val="0"/>
          <w:numId w:val="15"/>
        </w:numPr>
        <w:tabs>
          <w:tab w:val="left" w:pos="567"/>
        </w:tabs>
        <w:ind w:left="284" w:hanging="284"/>
        <w:jc w:val="both"/>
      </w:pPr>
      <w:r>
        <w:t xml:space="preserve">Sinds 15 september 2012 moet een kandidaat energiedeskundige een erkende opleiding volgen én slagen in het centraal examen voor energiedeskundige type A. Ook in geval van schorsing omwille van onbekwaamheid is de energiedeskundige verplicht om het centraal examen met succes af te leggen, anders blijft de schorsing lopen. </w:t>
      </w:r>
    </w:p>
    <w:p w:rsidR="00A10040" w:rsidRDefault="00A10040" w:rsidP="00A10040">
      <w:pPr>
        <w:tabs>
          <w:tab w:val="left" w:pos="567"/>
        </w:tabs>
        <w:ind w:left="284" w:hanging="284"/>
      </w:pPr>
    </w:p>
    <w:p w:rsidR="00A10040" w:rsidRDefault="00A10040" w:rsidP="00A10040">
      <w:pPr>
        <w:ind w:left="284"/>
        <w:jc w:val="both"/>
      </w:pPr>
      <w:r>
        <w:lastRenderedPageBreak/>
        <w:t>In januari 2013 werd een nieuwe softwareversie met een aangepast inspectieprotocol gelanceerd. In de maanden september en oktober werden door het VEA train-de-</w:t>
      </w:r>
      <w:proofErr w:type="spellStart"/>
      <w:r>
        <w:t>trainersessies</w:t>
      </w:r>
      <w:proofErr w:type="spellEnd"/>
      <w:r>
        <w:t xml:space="preserve"> georganiseerd, zodat de opleidingsinstellingen de nodige bijscholingen konden organiseren voor energiedeskundigen. </w:t>
      </w:r>
    </w:p>
    <w:p w:rsidR="00A10040" w:rsidRDefault="00A10040" w:rsidP="00A10040">
      <w:pPr>
        <w:ind w:left="284"/>
        <w:jc w:val="both"/>
      </w:pPr>
    </w:p>
    <w:p w:rsidR="00A10040" w:rsidRDefault="00A10040" w:rsidP="00A10040">
      <w:pPr>
        <w:ind w:left="284"/>
        <w:jc w:val="both"/>
      </w:pPr>
      <w:r>
        <w:t xml:space="preserve">Jaarlijks wordt door het Vlaams Energieagentschap (VEA) een lijst van veelgemaakte fouten opgesteld en verspreid naar alle energiedeskundigen en opleidingsinstellingen. </w:t>
      </w:r>
    </w:p>
    <w:p w:rsidR="00A10040" w:rsidRDefault="00A10040" w:rsidP="00A10040">
      <w:pPr>
        <w:ind w:left="284" w:hanging="284"/>
        <w:jc w:val="both"/>
      </w:pPr>
    </w:p>
    <w:p w:rsidR="00A10040" w:rsidRDefault="00DE6916" w:rsidP="00DE6916">
      <w:pPr>
        <w:tabs>
          <w:tab w:val="left" w:pos="567"/>
        </w:tabs>
        <w:ind w:left="284" w:hanging="284"/>
        <w:jc w:val="both"/>
      </w:pPr>
      <w:r>
        <w:t>7.</w:t>
      </w:r>
      <w:r>
        <w:tab/>
      </w:r>
      <w:r w:rsidR="00A10040">
        <w:t xml:space="preserve">Er zijn verschillende sancties voorzien. Ofwel wordt aan de energiedeskundigen die een EPC opstellen dat niet overeenstemt met de werkelijkheid een administratieve geldboete opgelegd tussen 500 en 5000 euro. Ofwel kan de erkenning van de energiedeskundigen geschorst of ingetrokken worden. </w:t>
      </w:r>
    </w:p>
    <w:p w:rsidR="00917B6B" w:rsidRDefault="00917B6B" w:rsidP="006E195D">
      <w:pPr>
        <w:jc w:val="both"/>
      </w:pPr>
    </w:p>
    <w:p w:rsidR="00DE6916" w:rsidRDefault="00DE6916" w:rsidP="006E195D">
      <w:pPr>
        <w:jc w:val="both"/>
      </w:pPr>
    </w:p>
    <w:p w:rsidR="00DE6916" w:rsidRPr="00DE6916" w:rsidRDefault="00DE6916" w:rsidP="006E195D">
      <w:pPr>
        <w:jc w:val="both"/>
        <w:rPr>
          <w:b/>
          <w:smallCaps/>
          <w:color w:val="FF0000"/>
          <w:u w:val="single"/>
        </w:rPr>
      </w:pPr>
      <w:r>
        <w:rPr>
          <w:b/>
          <w:smallCaps/>
          <w:color w:val="FF0000"/>
          <w:u w:val="single"/>
        </w:rPr>
        <w:t>bijlage</w:t>
      </w:r>
    </w:p>
    <w:p w:rsidR="00DE6916" w:rsidRDefault="00DE6916" w:rsidP="006E195D">
      <w:pPr>
        <w:jc w:val="both"/>
      </w:pPr>
    </w:p>
    <w:p w:rsidR="00DE6916" w:rsidRPr="00E93523" w:rsidRDefault="00DE6916" w:rsidP="006E195D">
      <w:pPr>
        <w:jc w:val="both"/>
      </w:pPr>
      <w:r>
        <w:t>Aan</w:t>
      </w:r>
      <w:bookmarkStart w:id="6" w:name="_GoBack"/>
      <w:bookmarkEnd w:id="6"/>
      <w:r>
        <w:t xml:space="preserve">tal afwezige </w:t>
      </w:r>
      <w:proofErr w:type="spellStart"/>
      <w:r>
        <w:t>EPC’s</w:t>
      </w:r>
      <w:proofErr w:type="spellEnd"/>
      <w:r>
        <w:t xml:space="preserve"> na controle, aantal gewettigde afwezigheden en aantal opgelegde boetes per jaar</w:t>
      </w:r>
    </w:p>
    <w:sectPr w:rsidR="00DE6916" w:rsidRPr="00E9352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6B"/>
    <w:multiLevelType w:val="hybridMultilevel"/>
    <w:tmpl w:val="254C5FF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135004EB"/>
    <w:multiLevelType w:val="hybridMultilevel"/>
    <w:tmpl w:val="2DA0B8D6"/>
    <w:lvl w:ilvl="0" w:tplc="072694DA">
      <w:start w:val="1"/>
      <w:numFmt w:val="decimal"/>
      <w:lvlText w:val="%1."/>
      <w:lvlJc w:val="left"/>
      <w:pPr>
        <w:ind w:left="425" w:hanging="425"/>
      </w:pPr>
    </w:lvl>
    <w:lvl w:ilvl="1" w:tplc="19C28C06">
      <w:start w:val="1"/>
      <w:numFmt w:val="bullet"/>
      <w:lvlText w:val="­"/>
      <w:lvlJc w:val="left"/>
      <w:pPr>
        <w:ind w:left="1276" w:hanging="851"/>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13914553"/>
    <w:multiLevelType w:val="hybridMultilevel"/>
    <w:tmpl w:val="A24CE346"/>
    <w:lvl w:ilvl="0" w:tplc="C64CCBC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8813ED0"/>
    <w:multiLevelType w:val="hybridMultilevel"/>
    <w:tmpl w:val="D86663E2"/>
    <w:lvl w:ilvl="0" w:tplc="0813000F">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EC358B2"/>
    <w:multiLevelType w:val="hybridMultilevel"/>
    <w:tmpl w:val="BF7A2F82"/>
    <w:lvl w:ilvl="0" w:tplc="3346752A">
      <w:start w:val="3"/>
      <w:numFmt w:val="bullet"/>
      <w:lvlText w:val="-"/>
      <w:lvlJc w:val="left"/>
      <w:pPr>
        <w:ind w:left="1068" w:hanging="360"/>
      </w:pPr>
      <w:rPr>
        <w:rFonts w:ascii="Arial" w:eastAsia="Calibri"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
    <w:nsid w:val="39390747"/>
    <w:multiLevelType w:val="hybridMultilevel"/>
    <w:tmpl w:val="BE2C537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472D4F8C"/>
    <w:multiLevelType w:val="hybridMultilevel"/>
    <w:tmpl w:val="96CEF0CA"/>
    <w:lvl w:ilvl="0" w:tplc="BE184B0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4F967EBB"/>
    <w:multiLevelType w:val="hybridMultilevel"/>
    <w:tmpl w:val="8794AA2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5E0B05CE"/>
    <w:multiLevelType w:val="hybridMultilevel"/>
    <w:tmpl w:val="C0A40D4E"/>
    <w:lvl w:ilvl="0" w:tplc="0813000F">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nsid w:val="63465219"/>
    <w:multiLevelType w:val="hybridMultilevel"/>
    <w:tmpl w:val="C61838E2"/>
    <w:lvl w:ilvl="0" w:tplc="9B580172">
      <w:start w:val="2"/>
      <w:numFmt w:val="bullet"/>
      <w:lvlText w:val="-"/>
      <w:lvlJc w:val="left"/>
      <w:pPr>
        <w:ind w:left="1211" w:hanging="360"/>
      </w:pPr>
      <w:rPr>
        <w:rFonts w:ascii="Times New Roman" w:eastAsia="Times New Roman" w:hAnsi="Times New Roman" w:cs="Times New Roman"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start w:val="1"/>
      <w:numFmt w:val="bullet"/>
      <w:lvlText w:val=""/>
      <w:lvlJc w:val="left"/>
      <w:pPr>
        <w:ind w:left="3371" w:hanging="360"/>
      </w:pPr>
      <w:rPr>
        <w:rFonts w:ascii="Symbol" w:hAnsi="Symbol" w:hint="default"/>
      </w:rPr>
    </w:lvl>
    <w:lvl w:ilvl="4" w:tplc="08130003">
      <w:start w:val="1"/>
      <w:numFmt w:val="bullet"/>
      <w:lvlText w:val="o"/>
      <w:lvlJc w:val="left"/>
      <w:pPr>
        <w:ind w:left="4091" w:hanging="360"/>
      </w:pPr>
      <w:rPr>
        <w:rFonts w:ascii="Courier New" w:hAnsi="Courier New" w:cs="Courier New" w:hint="default"/>
      </w:rPr>
    </w:lvl>
    <w:lvl w:ilvl="5" w:tplc="08130005">
      <w:start w:val="1"/>
      <w:numFmt w:val="bullet"/>
      <w:lvlText w:val=""/>
      <w:lvlJc w:val="left"/>
      <w:pPr>
        <w:ind w:left="4811" w:hanging="360"/>
      </w:pPr>
      <w:rPr>
        <w:rFonts w:ascii="Wingdings" w:hAnsi="Wingdings" w:hint="default"/>
      </w:rPr>
    </w:lvl>
    <w:lvl w:ilvl="6" w:tplc="08130001">
      <w:start w:val="1"/>
      <w:numFmt w:val="bullet"/>
      <w:lvlText w:val=""/>
      <w:lvlJc w:val="left"/>
      <w:pPr>
        <w:ind w:left="5531" w:hanging="360"/>
      </w:pPr>
      <w:rPr>
        <w:rFonts w:ascii="Symbol" w:hAnsi="Symbol" w:hint="default"/>
      </w:rPr>
    </w:lvl>
    <w:lvl w:ilvl="7" w:tplc="08130003">
      <w:start w:val="1"/>
      <w:numFmt w:val="bullet"/>
      <w:lvlText w:val="o"/>
      <w:lvlJc w:val="left"/>
      <w:pPr>
        <w:ind w:left="6251" w:hanging="360"/>
      </w:pPr>
      <w:rPr>
        <w:rFonts w:ascii="Courier New" w:hAnsi="Courier New" w:cs="Courier New" w:hint="default"/>
      </w:rPr>
    </w:lvl>
    <w:lvl w:ilvl="8" w:tplc="08130005">
      <w:start w:val="1"/>
      <w:numFmt w:val="bullet"/>
      <w:lvlText w:val=""/>
      <w:lvlJc w:val="left"/>
      <w:pPr>
        <w:ind w:left="6971" w:hanging="360"/>
      </w:pPr>
      <w:rPr>
        <w:rFonts w:ascii="Wingdings" w:hAnsi="Wingdings" w:hint="default"/>
      </w:rPr>
    </w:lvl>
  </w:abstractNum>
  <w:abstractNum w:abstractNumId="11">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2">
    <w:nsid w:val="6B3C2D5D"/>
    <w:multiLevelType w:val="hybridMultilevel"/>
    <w:tmpl w:val="ACCC90BA"/>
    <w:lvl w:ilvl="0" w:tplc="50AC5C62">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1ED6184"/>
    <w:multiLevelType w:val="hybridMultilevel"/>
    <w:tmpl w:val="5F8AB494"/>
    <w:lvl w:ilvl="0" w:tplc="0813000F">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78907C5B"/>
    <w:multiLevelType w:val="hybridMultilevel"/>
    <w:tmpl w:val="8E3C17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9"/>
  </w:num>
  <w:num w:numId="2">
    <w:abstractNumId w:val="9"/>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270"/>
    <w:rsid w:val="000976E9"/>
    <w:rsid w:val="000C4E8C"/>
    <w:rsid w:val="000F3532"/>
    <w:rsid w:val="00167E62"/>
    <w:rsid w:val="00210C07"/>
    <w:rsid w:val="00326A58"/>
    <w:rsid w:val="003A470F"/>
    <w:rsid w:val="005E38CA"/>
    <w:rsid w:val="00650442"/>
    <w:rsid w:val="006563FB"/>
    <w:rsid w:val="006E195D"/>
    <w:rsid w:val="0070731D"/>
    <w:rsid w:val="0071248C"/>
    <w:rsid w:val="007252C7"/>
    <w:rsid w:val="00893D6A"/>
    <w:rsid w:val="008D1BFB"/>
    <w:rsid w:val="008D5DB4"/>
    <w:rsid w:val="008E1973"/>
    <w:rsid w:val="00917B6B"/>
    <w:rsid w:val="009347E0"/>
    <w:rsid w:val="009D7043"/>
    <w:rsid w:val="00A10040"/>
    <w:rsid w:val="00B153B6"/>
    <w:rsid w:val="00B45EB2"/>
    <w:rsid w:val="00BE425A"/>
    <w:rsid w:val="00C91441"/>
    <w:rsid w:val="00D71D99"/>
    <w:rsid w:val="00D754F2"/>
    <w:rsid w:val="00DB41C0"/>
    <w:rsid w:val="00DC4DB6"/>
    <w:rsid w:val="00DE6916"/>
    <w:rsid w:val="00E55200"/>
    <w:rsid w:val="00E85C8D"/>
    <w:rsid w:val="00E93523"/>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70731D"/>
    <w:pPr>
      <w:ind w:left="720"/>
    </w:pPr>
    <w:rPr>
      <w:rFonts w:ascii="Calibri" w:eastAsiaTheme="minorHAnsi" w:hAnsi="Calibri"/>
      <w:szCs w:val="22"/>
      <w:lang w:val="nl-BE" w:eastAsia="en-US"/>
    </w:rPr>
  </w:style>
  <w:style w:type="character" w:styleId="Hyperlink">
    <w:name w:val="Hyperlink"/>
    <w:uiPriority w:val="99"/>
    <w:unhideWhenUsed/>
    <w:rsid w:val="00893D6A"/>
    <w:rPr>
      <w:color w:val="0000FF"/>
      <w:u w:val="single"/>
    </w:rPr>
  </w:style>
  <w:style w:type="paragraph" w:customStyle="1" w:styleId="StandaardSV">
    <w:name w:val="Standaard SV"/>
    <w:basedOn w:val="Standaard"/>
    <w:rsid w:val="00893D6A"/>
    <w:pPr>
      <w:jc w:val="both"/>
    </w:pPr>
    <w:rPr>
      <w:szCs w:val="20"/>
    </w:rPr>
  </w:style>
  <w:style w:type="paragraph" w:customStyle="1" w:styleId="SVTitel">
    <w:name w:val="SV Titel"/>
    <w:basedOn w:val="Standaard"/>
    <w:rsid w:val="00893D6A"/>
    <w:pPr>
      <w:jc w:val="both"/>
    </w:pPr>
    <w:rPr>
      <w:i/>
      <w:szCs w:val="20"/>
    </w:rPr>
  </w:style>
  <w:style w:type="paragraph" w:styleId="Titel">
    <w:name w:val="Title"/>
    <w:basedOn w:val="Standaard"/>
    <w:link w:val="TitelChar"/>
    <w:qFormat/>
    <w:rsid w:val="006E195D"/>
    <w:pPr>
      <w:jc w:val="center"/>
    </w:pPr>
    <w:rPr>
      <w:b/>
      <w:sz w:val="20"/>
      <w:szCs w:val="20"/>
    </w:rPr>
  </w:style>
  <w:style w:type="character" w:customStyle="1" w:styleId="TitelChar">
    <w:name w:val="Titel Char"/>
    <w:basedOn w:val="Standaardalinea-lettertype"/>
    <w:link w:val="Titel"/>
    <w:rsid w:val="006E195D"/>
    <w:rPr>
      <w:b/>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70731D"/>
    <w:pPr>
      <w:ind w:left="720"/>
    </w:pPr>
    <w:rPr>
      <w:rFonts w:ascii="Calibri" w:eastAsiaTheme="minorHAnsi" w:hAnsi="Calibri"/>
      <w:szCs w:val="22"/>
      <w:lang w:val="nl-BE" w:eastAsia="en-US"/>
    </w:rPr>
  </w:style>
  <w:style w:type="character" w:styleId="Hyperlink">
    <w:name w:val="Hyperlink"/>
    <w:uiPriority w:val="99"/>
    <w:unhideWhenUsed/>
    <w:rsid w:val="00893D6A"/>
    <w:rPr>
      <w:color w:val="0000FF"/>
      <w:u w:val="single"/>
    </w:rPr>
  </w:style>
  <w:style w:type="paragraph" w:customStyle="1" w:styleId="StandaardSV">
    <w:name w:val="Standaard SV"/>
    <w:basedOn w:val="Standaard"/>
    <w:rsid w:val="00893D6A"/>
    <w:pPr>
      <w:jc w:val="both"/>
    </w:pPr>
    <w:rPr>
      <w:szCs w:val="20"/>
    </w:rPr>
  </w:style>
  <w:style w:type="paragraph" w:customStyle="1" w:styleId="SVTitel">
    <w:name w:val="SV Titel"/>
    <w:basedOn w:val="Standaard"/>
    <w:rsid w:val="00893D6A"/>
    <w:pPr>
      <w:jc w:val="both"/>
    </w:pPr>
    <w:rPr>
      <w:i/>
      <w:szCs w:val="20"/>
    </w:rPr>
  </w:style>
  <w:style w:type="paragraph" w:styleId="Titel">
    <w:name w:val="Title"/>
    <w:basedOn w:val="Standaard"/>
    <w:link w:val="TitelChar"/>
    <w:qFormat/>
    <w:rsid w:val="006E195D"/>
    <w:pPr>
      <w:jc w:val="center"/>
    </w:pPr>
    <w:rPr>
      <w:b/>
      <w:sz w:val="20"/>
      <w:szCs w:val="20"/>
    </w:rPr>
  </w:style>
  <w:style w:type="character" w:customStyle="1" w:styleId="TitelChar">
    <w:name w:val="Titel Char"/>
    <w:basedOn w:val="Standaardalinea-lettertype"/>
    <w:link w:val="Titel"/>
    <w:rsid w:val="006E195D"/>
    <w:rPr>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3884">
      <w:bodyDiv w:val="1"/>
      <w:marLeft w:val="0"/>
      <w:marRight w:val="0"/>
      <w:marTop w:val="0"/>
      <w:marBottom w:val="0"/>
      <w:divBdr>
        <w:top w:val="none" w:sz="0" w:space="0" w:color="auto"/>
        <w:left w:val="none" w:sz="0" w:space="0" w:color="auto"/>
        <w:bottom w:val="none" w:sz="0" w:space="0" w:color="auto"/>
        <w:right w:val="none" w:sz="0" w:space="0" w:color="auto"/>
      </w:divBdr>
    </w:div>
    <w:div w:id="677539289">
      <w:bodyDiv w:val="1"/>
      <w:marLeft w:val="0"/>
      <w:marRight w:val="0"/>
      <w:marTop w:val="0"/>
      <w:marBottom w:val="0"/>
      <w:divBdr>
        <w:top w:val="none" w:sz="0" w:space="0" w:color="auto"/>
        <w:left w:val="none" w:sz="0" w:space="0" w:color="auto"/>
        <w:bottom w:val="none" w:sz="0" w:space="0" w:color="auto"/>
        <w:right w:val="none" w:sz="0" w:space="0" w:color="auto"/>
      </w:divBdr>
    </w:div>
    <w:div w:id="769280697">
      <w:bodyDiv w:val="1"/>
      <w:marLeft w:val="0"/>
      <w:marRight w:val="0"/>
      <w:marTop w:val="0"/>
      <w:marBottom w:val="0"/>
      <w:divBdr>
        <w:top w:val="none" w:sz="0" w:space="0" w:color="auto"/>
        <w:left w:val="none" w:sz="0" w:space="0" w:color="auto"/>
        <w:bottom w:val="none" w:sz="0" w:space="0" w:color="auto"/>
        <w:right w:val="none" w:sz="0" w:space="0" w:color="auto"/>
      </w:divBdr>
    </w:div>
    <w:div w:id="1261450009">
      <w:bodyDiv w:val="1"/>
      <w:marLeft w:val="0"/>
      <w:marRight w:val="0"/>
      <w:marTop w:val="0"/>
      <w:marBottom w:val="0"/>
      <w:divBdr>
        <w:top w:val="none" w:sz="0" w:space="0" w:color="auto"/>
        <w:left w:val="none" w:sz="0" w:space="0" w:color="auto"/>
        <w:bottom w:val="none" w:sz="0" w:space="0" w:color="auto"/>
        <w:right w:val="none" w:sz="0" w:space="0" w:color="auto"/>
      </w:divBdr>
    </w:div>
    <w:div w:id="1606764710">
      <w:bodyDiv w:val="1"/>
      <w:marLeft w:val="0"/>
      <w:marRight w:val="0"/>
      <w:marTop w:val="0"/>
      <w:marBottom w:val="0"/>
      <w:divBdr>
        <w:top w:val="none" w:sz="0" w:space="0" w:color="auto"/>
        <w:left w:val="none" w:sz="0" w:space="0" w:color="auto"/>
        <w:bottom w:val="none" w:sz="0" w:space="0" w:color="auto"/>
        <w:right w:val="none" w:sz="0" w:space="0" w:color="auto"/>
      </w:divBdr>
    </w:div>
    <w:div w:id="1780369696">
      <w:bodyDiv w:val="1"/>
      <w:marLeft w:val="0"/>
      <w:marRight w:val="0"/>
      <w:marTop w:val="0"/>
      <w:marBottom w:val="0"/>
      <w:divBdr>
        <w:top w:val="none" w:sz="0" w:space="0" w:color="auto"/>
        <w:left w:val="none" w:sz="0" w:space="0" w:color="auto"/>
        <w:bottom w:val="none" w:sz="0" w:space="0" w:color="auto"/>
        <w:right w:val="none" w:sz="0" w:space="0" w:color="auto"/>
      </w:divBdr>
    </w:div>
    <w:div w:id="19739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1900-12-31T23:00:00Z</cp:lastPrinted>
  <dcterms:created xsi:type="dcterms:W3CDTF">2013-11-27T09:20:00Z</dcterms:created>
  <dcterms:modified xsi:type="dcterms:W3CDTF">2013-12-10T10:58:00Z</dcterms:modified>
</cp:coreProperties>
</file>