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6116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16116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6116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61166" w:rsidRPr="00326A58">
        <w:rPr>
          <w:b w:val="0"/>
        </w:rPr>
      </w:r>
      <w:r w:rsidR="00161166" w:rsidRPr="00326A58">
        <w:rPr>
          <w:b w:val="0"/>
        </w:rPr>
        <w:fldChar w:fldCharType="separate"/>
      </w:r>
      <w:r w:rsidR="0033690A">
        <w:rPr>
          <w:b w:val="0"/>
        </w:rPr>
        <w:t>60</w:t>
      </w:r>
      <w:r w:rsidR="0016116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6116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61166">
        <w:rPr>
          <w:b w:val="0"/>
        </w:rPr>
      </w:r>
      <w:r w:rsidR="00161166">
        <w:rPr>
          <w:b w:val="0"/>
        </w:rPr>
        <w:fldChar w:fldCharType="separate"/>
      </w:r>
      <w:r w:rsidR="00FF6A4A">
        <w:rPr>
          <w:b w:val="0"/>
        </w:rPr>
        <w:t>25</w:t>
      </w:r>
      <w:r w:rsidR="00161166">
        <w:rPr>
          <w:b w:val="0"/>
        </w:rPr>
        <w:fldChar w:fldCharType="end"/>
      </w:r>
      <w:bookmarkEnd w:id="3"/>
      <w:r w:rsidRPr="00326A58">
        <w:rPr>
          <w:b w:val="0"/>
        </w:rPr>
        <w:t xml:space="preserve"> </w:t>
      </w:r>
      <w:bookmarkStart w:id="4" w:name="Dropdown2"/>
      <w:r w:rsidR="00161166">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E503E">
        <w:rPr>
          <w:b w:val="0"/>
        </w:rPr>
      </w:r>
      <w:r w:rsidR="00FE503E">
        <w:rPr>
          <w:b w:val="0"/>
        </w:rPr>
        <w:fldChar w:fldCharType="separate"/>
      </w:r>
      <w:r w:rsidR="00161166">
        <w:rPr>
          <w:b w:val="0"/>
        </w:rPr>
        <w:fldChar w:fldCharType="end"/>
      </w:r>
      <w:bookmarkEnd w:id="4"/>
      <w:r w:rsidRPr="00326A58">
        <w:rPr>
          <w:b w:val="0"/>
        </w:rPr>
        <w:t xml:space="preserve"> </w:t>
      </w:r>
      <w:bookmarkStart w:id="5" w:name="Dropdown3"/>
      <w:r w:rsidR="0016116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E503E">
        <w:rPr>
          <w:b w:val="0"/>
        </w:rPr>
      </w:r>
      <w:r w:rsidR="00FE503E">
        <w:rPr>
          <w:b w:val="0"/>
        </w:rPr>
        <w:fldChar w:fldCharType="separate"/>
      </w:r>
      <w:r w:rsidR="00161166">
        <w:rPr>
          <w:b w:val="0"/>
        </w:rPr>
        <w:fldChar w:fldCharType="end"/>
      </w:r>
      <w:bookmarkEnd w:id="5"/>
    </w:p>
    <w:p w:rsidR="000976E9" w:rsidRDefault="000976E9" w:rsidP="000976E9">
      <w:pPr>
        <w:rPr>
          <w:szCs w:val="22"/>
        </w:rPr>
      </w:pPr>
      <w:r>
        <w:rPr>
          <w:szCs w:val="22"/>
        </w:rPr>
        <w:t xml:space="preserve">van </w:t>
      </w:r>
      <w:r w:rsidR="0016116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61166" w:rsidRPr="009D7043">
        <w:rPr>
          <w:rStyle w:val="AntwoordNaamMinisterChar"/>
        </w:rPr>
      </w:r>
      <w:r w:rsidR="00161166" w:rsidRPr="009D7043">
        <w:rPr>
          <w:rStyle w:val="AntwoordNaamMinisterChar"/>
        </w:rPr>
        <w:fldChar w:fldCharType="separate"/>
      </w:r>
      <w:proofErr w:type="spellStart"/>
      <w:r w:rsidR="00FE503E">
        <w:rPr>
          <w:rStyle w:val="AntwoordNaamMinisterChar"/>
        </w:rPr>
        <w:t>m</w:t>
      </w:r>
      <w:r w:rsidR="00F06392">
        <w:rPr>
          <w:rStyle w:val="AntwoordNaamMinisterChar"/>
        </w:rPr>
        <w:t>ercedes</w:t>
      </w:r>
      <w:proofErr w:type="spellEnd"/>
      <w:r w:rsidR="00F06392">
        <w:rPr>
          <w:rStyle w:val="AntwoordNaamMinisterChar"/>
        </w:rPr>
        <w:t xml:space="preserve"> </w:t>
      </w:r>
      <w:r w:rsidR="00FE503E">
        <w:rPr>
          <w:rStyle w:val="AntwoordNaamMinisterChar"/>
        </w:rPr>
        <w:t>v</w:t>
      </w:r>
      <w:r w:rsidR="00F06392">
        <w:rPr>
          <w:rStyle w:val="AntwoordNaamMinisterChar"/>
        </w:rPr>
        <w:t xml:space="preserve">an </w:t>
      </w:r>
      <w:proofErr w:type="spellStart"/>
      <w:r w:rsidR="00FE503E">
        <w:rPr>
          <w:rStyle w:val="AntwoordNaamMinisterChar"/>
        </w:rPr>
        <w:t>v</w:t>
      </w:r>
      <w:r w:rsidR="00F06392">
        <w:rPr>
          <w:rStyle w:val="AntwoordNaamMinisterChar"/>
        </w:rPr>
        <w:t>olcem</w:t>
      </w:r>
      <w:proofErr w:type="spellEnd"/>
      <w:r w:rsidR="0016116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960BF" w:rsidRDefault="0033690A" w:rsidP="00F06392">
      <w:pPr>
        <w:pStyle w:val="Lijstalinea"/>
        <w:numPr>
          <w:ilvl w:val="0"/>
          <w:numId w:val="6"/>
        </w:numPr>
        <w:ind w:left="284" w:hanging="284"/>
        <w:jc w:val="both"/>
      </w:pPr>
      <w:r>
        <w:lastRenderedPageBreak/>
        <w:t>O</w:t>
      </w:r>
      <w:r w:rsidRPr="003D20F0">
        <w:t>verzicht van de gemiddelde wachttijd voor de toewij</w:t>
      </w:r>
      <w:r w:rsidR="00FE503E">
        <w:t xml:space="preserve">zing </w:t>
      </w:r>
      <w:bookmarkStart w:id="6" w:name="_GoBack"/>
      <w:bookmarkEnd w:id="6"/>
      <w:r w:rsidRPr="003D20F0">
        <w:t>van een sociale woning</w:t>
      </w:r>
      <w:r w:rsidR="00CD005C">
        <w:t>:</w:t>
      </w:r>
    </w:p>
    <w:p w:rsidR="0033690A" w:rsidRDefault="0033690A" w:rsidP="0033690A">
      <w:pPr>
        <w:pStyle w:val="Lijstalinea"/>
        <w:jc w:val="both"/>
      </w:pPr>
    </w:p>
    <w:tbl>
      <w:tblPr>
        <w:tblW w:w="4111" w:type="dxa"/>
        <w:tblInd w:w="354" w:type="dxa"/>
        <w:tblCellMar>
          <w:left w:w="70" w:type="dxa"/>
          <w:right w:w="70" w:type="dxa"/>
        </w:tblCellMar>
        <w:tblLook w:val="04A0" w:firstRow="1" w:lastRow="0" w:firstColumn="1" w:lastColumn="0" w:noHBand="0" w:noVBand="1"/>
      </w:tblPr>
      <w:tblGrid>
        <w:gridCol w:w="761"/>
        <w:gridCol w:w="1020"/>
        <w:gridCol w:w="2330"/>
      </w:tblGrid>
      <w:tr w:rsidR="0033690A" w:rsidRPr="0033690A" w:rsidTr="00F06392">
        <w:trPr>
          <w:trHeight w:val="300"/>
        </w:trPr>
        <w:tc>
          <w:tcPr>
            <w:tcW w:w="4111"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33690A" w:rsidRPr="0033690A" w:rsidRDefault="0033690A" w:rsidP="00F06392">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Gemiddelde wachttijd</w:t>
            </w:r>
            <w:r w:rsidR="000268CC">
              <w:rPr>
                <w:rFonts w:ascii="Trebuchet MS" w:hAnsi="Trebuchet MS" w:cs="Arial"/>
                <w:b/>
                <w:bCs/>
                <w:color w:val="000000"/>
                <w:sz w:val="16"/>
                <w:szCs w:val="16"/>
                <w:lang w:val="nl-BE" w:eastAsia="nl-BE"/>
              </w:rPr>
              <w:t xml:space="preserve"> bij toewijzing</w:t>
            </w:r>
            <w:r w:rsidRPr="0033690A">
              <w:rPr>
                <w:rFonts w:ascii="Trebuchet MS" w:hAnsi="Trebuchet MS" w:cs="Arial"/>
                <w:b/>
                <w:bCs/>
                <w:color w:val="000000"/>
                <w:sz w:val="16"/>
                <w:szCs w:val="16"/>
                <w:lang w:val="nl-BE" w:eastAsia="nl-BE"/>
              </w:rPr>
              <w:t xml:space="preserve"> (aantal dagen)</w:t>
            </w:r>
          </w:p>
        </w:tc>
      </w:tr>
      <w:tr w:rsidR="000268CC" w:rsidRPr="0033690A" w:rsidTr="00F06392">
        <w:trPr>
          <w:trHeight w:val="300"/>
        </w:trPr>
        <w:tc>
          <w:tcPr>
            <w:tcW w:w="761" w:type="dxa"/>
            <w:tcBorders>
              <w:top w:val="nil"/>
              <w:left w:val="single" w:sz="4" w:space="0" w:color="auto"/>
              <w:bottom w:val="single" w:sz="8" w:space="0" w:color="auto"/>
              <w:right w:val="single" w:sz="8" w:space="0" w:color="auto"/>
            </w:tcBorders>
            <w:shd w:val="clear" w:color="000000" w:fill="D9D9D9"/>
            <w:vAlign w:val="bottom"/>
            <w:hideMark/>
          </w:tcPr>
          <w:p w:rsidR="000268CC" w:rsidRPr="0033690A" w:rsidRDefault="000268CC" w:rsidP="0033690A">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2012</w:t>
            </w:r>
          </w:p>
        </w:tc>
        <w:tc>
          <w:tcPr>
            <w:tcW w:w="1020" w:type="dxa"/>
            <w:tcBorders>
              <w:top w:val="nil"/>
              <w:left w:val="nil"/>
              <w:bottom w:val="single" w:sz="8" w:space="0" w:color="auto"/>
              <w:right w:val="single" w:sz="8" w:space="0" w:color="auto"/>
            </w:tcBorders>
            <w:shd w:val="clear" w:color="000000" w:fill="D9D9D9"/>
            <w:vAlign w:val="bottom"/>
            <w:hideMark/>
          </w:tcPr>
          <w:p w:rsidR="000268CC" w:rsidRPr="0033690A" w:rsidRDefault="000268CC" w:rsidP="0033690A">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2011</w:t>
            </w:r>
          </w:p>
        </w:tc>
        <w:tc>
          <w:tcPr>
            <w:tcW w:w="2330" w:type="dxa"/>
            <w:tcBorders>
              <w:top w:val="nil"/>
              <w:left w:val="nil"/>
              <w:bottom w:val="single" w:sz="4" w:space="0" w:color="auto"/>
              <w:right w:val="single" w:sz="8" w:space="0" w:color="000000"/>
            </w:tcBorders>
            <w:shd w:val="clear" w:color="000000" w:fill="D9D9D9"/>
            <w:vAlign w:val="bottom"/>
            <w:hideMark/>
          </w:tcPr>
          <w:p w:rsidR="000268CC" w:rsidRPr="0033690A" w:rsidRDefault="000268CC" w:rsidP="0033690A">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2010</w:t>
            </w:r>
          </w:p>
        </w:tc>
      </w:tr>
      <w:tr w:rsidR="000268CC" w:rsidRPr="0033690A" w:rsidTr="00F06392">
        <w:trPr>
          <w:trHeight w:val="300"/>
        </w:trPr>
        <w:tc>
          <w:tcPr>
            <w:tcW w:w="76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268CC" w:rsidRPr="0033690A" w:rsidRDefault="000268CC" w:rsidP="0033690A">
            <w:pPr>
              <w:jc w:val="center"/>
              <w:rPr>
                <w:rFonts w:ascii="Trebuchet MS" w:hAnsi="Trebuchet MS" w:cs="Arial"/>
                <w:color w:val="000000"/>
                <w:sz w:val="16"/>
                <w:szCs w:val="16"/>
                <w:lang w:val="nl-BE" w:eastAsia="nl-BE"/>
              </w:rPr>
            </w:pPr>
            <w:r w:rsidRPr="0033690A">
              <w:rPr>
                <w:rFonts w:ascii="Trebuchet MS" w:hAnsi="Trebuchet MS" w:cs="Arial"/>
                <w:color w:val="000000"/>
                <w:sz w:val="16"/>
                <w:szCs w:val="16"/>
                <w:lang w:val="nl-BE" w:eastAsia="nl-BE"/>
              </w:rPr>
              <w:t>1.04</w:t>
            </w:r>
            <w:r>
              <w:rPr>
                <w:rFonts w:ascii="Trebuchet MS" w:hAnsi="Trebuchet MS" w:cs="Arial"/>
                <w:color w:val="000000"/>
                <w:sz w:val="16"/>
                <w:szCs w:val="16"/>
                <w:lang w:val="nl-BE" w:eastAsia="nl-BE"/>
              </w:rPr>
              <w:t>3</w:t>
            </w:r>
          </w:p>
        </w:tc>
        <w:tc>
          <w:tcPr>
            <w:tcW w:w="1020" w:type="dxa"/>
            <w:tcBorders>
              <w:top w:val="nil"/>
              <w:left w:val="nil"/>
              <w:bottom w:val="single" w:sz="8" w:space="0" w:color="auto"/>
              <w:right w:val="single" w:sz="8" w:space="0" w:color="auto"/>
            </w:tcBorders>
            <w:shd w:val="clear" w:color="000000" w:fill="FFFFFF"/>
            <w:noWrap/>
            <w:vAlign w:val="bottom"/>
            <w:hideMark/>
          </w:tcPr>
          <w:p w:rsidR="000268CC" w:rsidRPr="0033690A" w:rsidRDefault="000268CC" w:rsidP="0033690A">
            <w:pPr>
              <w:jc w:val="center"/>
              <w:rPr>
                <w:rFonts w:ascii="Trebuchet MS" w:hAnsi="Trebuchet MS" w:cs="Arial"/>
                <w:color w:val="000000"/>
                <w:sz w:val="16"/>
                <w:szCs w:val="16"/>
                <w:lang w:val="nl-BE" w:eastAsia="nl-BE"/>
              </w:rPr>
            </w:pPr>
            <w:r w:rsidRPr="0033690A">
              <w:rPr>
                <w:rFonts w:ascii="Trebuchet MS" w:hAnsi="Trebuchet MS" w:cs="Arial"/>
                <w:color w:val="000000"/>
                <w:sz w:val="16"/>
                <w:szCs w:val="16"/>
                <w:lang w:val="nl-BE" w:eastAsia="nl-BE"/>
              </w:rPr>
              <w:t>1.089</w:t>
            </w:r>
          </w:p>
        </w:tc>
        <w:tc>
          <w:tcPr>
            <w:tcW w:w="2330" w:type="dxa"/>
            <w:tcBorders>
              <w:top w:val="nil"/>
              <w:left w:val="nil"/>
              <w:bottom w:val="single" w:sz="8" w:space="0" w:color="auto"/>
              <w:right w:val="single" w:sz="8" w:space="0" w:color="auto"/>
            </w:tcBorders>
            <w:shd w:val="clear" w:color="auto" w:fill="auto"/>
            <w:noWrap/>
            <w:vAlign w:val="bottom"/>
            <w:hideMark/>
          </w:tcPr>
          <w:p w:rsidR="000268CC" w:rsidRPr="000268CC" w:rsidRDefault="000268CC" w:rsidP="0033690A">
            <w:pPr>
              <w:jc w:val="center"/>
              <w:rPr>
                <w:rFonts w:ascii="Trebuchet MS" w:hAnsi="Trebuchet MS" w:cs="Arial"/>
                <w:bCs/>
                <w:color w:val="000000"/>
                <w:sz w:val="16"/>
                <w:szCs w:val="16"/>
                <w:lang w:val="nl-BE" w:eastAsia="nl-BE"/>
              </w:rPr>
            </w:pPr>
            <w:r w:rsidRPr="000268CC">
              <w:rPr>
                <w:rFonts w:ascii="Trebuchet MS" w:hAnsi="Trebuchet MS" w:cs="Arial"/>
                <w:bCs/>
                <w:color w:val="000000"/>
                <w:sz w:val="16"/>
                <w:szCs w:val="16"/>
                <w:lang w:val="nl-BE" w:eastAsia="nl-BE"/>
              </w:rPr>
              <w:t>1.022</w:t>
            </w:r>
          </w:p>
        </w:tc>
      </w:tr>
    </w:tbl>
    <w:p w:rsidR="008960BF" w:rsidRDefault="008960BF" w:rsidP="00277F6B">
      <w:pPr>
        <w:jc w:val="both"/>
      </w:pPr>
    </w:p>
    <w:p w:rsidR="002C3DC6" w:rsidRDefault="0095783F" w:rsidP="00F06392">
      <w:pPr>
        <w:pStyle w:val="Lijstalinea"/>
        <w:numPr>
          <w:ilvl w:val="0"/>
          <w:numId w:val="6"/>
        </w:numPr>
        <w:ind w:left="284" w:hanging="284"/>
        <w:jc w:val="both"/>
      </w:pPr>
      <w:r>
        <w:t>Ruim een kwart van de kandidaat-huurders krijgt een toewijzing binnen het jaar na de inschrijving. Zeer lange wachttijden (tien jaar en meer) komen voor, maar zijn doorgaans het gevolg van onredelijke woningvoorkeuren van de kandidaten. Het gaat om een zeer beperkte groep van mensen.</w:t>
      </w:r>
    </w:p>
    <w:p w:rsidR="000268CC" w:rsidRDefault="000268CC" w:rsidP="000268CC">
      <w:pPr>
        <w:pStyle w:val="Lijstalinea"/>
        <w:jc w:val="both"/>
      </w:pPr>
    </w:p>
    <w:tbl>
      <w:tblPr>
        <w:tblW w:w="7371" w:type="dxa"/>
        <w:tblInd w:w="354" w:type="dxa"/>
        <w:tblCellMar>
          <w:left w:w="70" w:type="dxa"/>
          <w:right w:w="70" w:type="dxa"/>
        </w:tblCellMar>
        <w:tblLook w:val="04A0" w:firstRow="1" w:lastRow="0" w:firstColumn="1" w:lastColumn="0" w:noHBand="0" w:noVBand="1"/>
      </w:tblPr>
      <w:tblGrid>
        <w:gridCol w:w="3827"/>
        <w:gridCol w:w="1134"/>
        <w:gridCol w:w="1276"/>
        <w:gridCol w:w="1134"/>
      </w:tblGrid>
      <w:tr w:rsidR="000268CC" w:rsidRPr="0033690A" w:rsidTr="00F06392">
        <w:trPr>
          <w:trHeight w:val="300"/>
        </w:trPr>
        <w:tc>
          <w:tcPr>
            <w:tcW w:w="7371"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268CC" w:rsidRPr="0033690A" w:rsidRDefault="0095783F" w:rsidP="00F06392">
            <w:pPr>
              <w:jc w:val="center"/>
              <w:rPr>
                <w:rFonts w:ascii="Trebuchet MS" w:hAnsi="Trebuchet MS" w:cs="Arial"/>
                <w:b/>
                <w:bCs/>
                <w:color w:val="000000"/>
                <w:sz w:val="16"/>
                <w:szCs w:val="16"/>
                <w:lang w:val="nl-BE" w:eastAsia="nl-BE"/>
              </w:rPr>
            </w:pPr>
            <w:r>
              <w:rPr>
                <w:rFonts w:ascii="Trebuchet MS" w:hAnsi="Trebuchet MS" w:cs="Arial"/>
                <w:b/>
                <w:bCs/>
                <w:color w:val="000000"/>
                <w:sz w:val="16"/>
                <w:szCs w:val="16"/>
                <w:lang w:val="nl-BE" w:eastAsia="nl-BE"/>
              </w:rPr>
              <w:t>Toewijzingen per jaar (aantal dossiers)</w:t>
            </w:r>
          </w:p>
        </w:tc>
      </w:tr>
      <w:tr w:rsidR="000268CC" w:rsidRPr="0033690A" w:rsidTr="00F06392">
        <w:trPr>
          <w:trHeight w:val="300"/>
        </w:trPr>
        <w:tc>
          <w:tcPr>
            <w:tcW w:w="3827" w:type="dxa"/>
            <w:tcBorders>
              <w:top w:val="nil"/>
              <w:left w:val="single" w:sz="4" w:space="0" w:color="auto"/>
              <w:bottom w:val="single" w:sz="8" w:space="0" w:color="auto"/>
              <w:right w:val="single" w:sz="8" w:space="0" w:color="auto"/>
            </w:tcBorders>
            <w:shd w:val="clear" w:color="000000" w:fill="D9D9D9"/>
          </w:tcPr>
          <w:p w:rsidR="000268CC" w:rsidRPr="0033690A" w:rsidRDefault="000268CC" w:rsidP="000268CC">
            <w:pPr>
              <w:jc w:val="center"/>
              <w:rPr>
                <w:rFonts w:ascii="Trebuchet MS" w:hAnsi="Trebuchet MS" w:cs="Arial"/>
                <w:b/>
                <w:bCs/>
                <w:color w:val="000000"/>
                <w:sz w:val="16"/>
                <w:szCs w:val="16"/>
                <w:lang w:val="nl-BE" w:eastAsia="nl-BE"/>
              </w:rPr>
            </w:pPr>
          </w:p>
        </w:tc>
        <w:tc>
          <w:tcPr>
            <w:tcW w:w="1134" w:type="dxa"/>
            <w:tcBorders>
              <w:top w:val="nil"/>
              <w:left w:val="single" w:sz="4" w:space="0" w:color="auto"/>
              <w:bottom w:val="single" w:sz="8" w:space="0" w:color="auto"/>
              <w:right w:val="single" w:sz="8" w:space="0" w:color="auto"/>
            </w:tcBorders>
            <w:shd w:val="clear" w:color="000000" w:fill="D9D9D9"/>
            <w:vAlign w:val="bottom"/>
            <w:hideMark/>
          </w:tcPr>
          <w:p w:rsidR="000268CC" w:rsidRPr="0033690A" w:rsidRDefault="000268CC" w:rsidP="000268CC">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2012</w:t>
            </w:r>
          </w:p>
        </w:tc>
        <w:tc>
          <w:tcPr>
            <w:tcW w:w="1276" w:type="dxa"/>
            <w:tcBorders>
              <w:top w:val="nil"/>
              <w:left w:val="nil"/>
              <w:bottom w:val="single" w:sz="4" w:space="0" w:color="auto"/>
              <w:right w:val="single" w:sz="8" w:space="0" w:color="auto"/>
            </w:tcBorders>
            <w:shd w:val="clear" w:color="000000" w:fill="D9D9D9"/>
            <w:vAlign w:val="bottom"/>
            <w:hideMark/>
          </w:tcPr>
          <w:p w:rsidR="000268CC" w:rsidRPr="0033690A" w:rsidRDefault="000268CC" w:rsidP="000268CC">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2011</w:t>
            </w:r>
          </w:p>
        </w:tc>
        <w:tc>
          <w:tcPr>
            <w:tcW w:w="1134" w:type="dxa"/>
            <w:tcBorders>
              <w:top w:val="nil"/>
              <w:left w:val="nil"/>
              <w:bottom w:val="single" w:sz="4" w:space="0" w:color="auto"/>
              <w:right w:val="single" w:sz="8" w:space="0" w:color="000000"/>
            </w:tcBorders>
            <w:shd w:val="clear" w:color="000000" w:fill="D9D9D9"/>
            <w:vAlign w:val="bottom"/>
            <w:hideMark/>
          </w:tcPr>
          <w:p w:rsidR="000268CC" w:rsidRPr="0033690A" w:rsidRDefault="000268CC" w:rsidP="000268CC">
            <w:pPr>
              <w:jc w:val="center"/>
              <w:rPr>
                <w:rFonts w:ascii="Trebuchet MS" w:hAnsi="Trebuchet MS" w:cs="Arial"/>
                <w:b/>
                <w:bCs/>
                <w:color w:val="000000"/>
                <w:sz w:val="16"/>
                <w:szCs w:val="16"/>
                <w:lang w:val="nl-BE" w:eastAsia="nl-BE"/>
              </w:rPr>
            </w:pPr>
            <w:r w:rsidRPr="0033690A">
              <w:rPr>
                <w:rFonts w:ascii="Trebuchet MS" w:hAnsi="Trebuchet MS" w:cs="Arial"/>
                <w:b/>
                <w:bCs/>
                <w:color w:val="000000"/>
                <w:sz w:val="16"/>
                <w:szCs w:val="16"/>
                <w:lang w:val="nl-BE" w:eastAsia="nl-BE"/>
              </w:rPr>
              <w:t>2010</w:t>
            </w:r>
          </w:p>
        </w:tc>
      </w:tr>
      <w:tr w:rsidR="000268CC" w:rsidRPr="0033690A" w:rsidTr="00F06392">
        <w:trPr>
          <w:trHeight w:val="300"/>
        </w:trPr>
        <w:tc>
          <w:tcPr>
            <w:tcW w:w="3827" w:type="dxa"/>
            <w:tcBorders>
              <w:top w:val="single" w:sz="8" w:space="0" w:color="auto"/>
              <w:left w:val="single" w:sz="4" w:space="0" w:color="auto"/>
              <w:bottom w:val="single" w:sz="8" w:space="0" w:color="auto"/>
              <w:right w:val="single" w:sz="8" w:space="0" w:color="auto"/>
            </w:tcBorders>
            <w:vAlign w:val="bottom"/>
          </w:tcPr>
          <w:p w:rsidR="000268CC" w:rsidRPr="0033690A" w:rsidRDefault="000268CC" w:rsidP="000268CC">
            <w:pP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Aantal toewijzingen binnen het jaar</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2.656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2.697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8CC" w:rsidRPr="000268CC" w:rsidRDefault="000268CC" w:rsidP="000268CC">
            <w:pPr>
              <w:jc w:val="center"/>
              <w:rPr>
                <w:rFonts w:ascii="Trebuchet MS" w:hAnsi="Trebuchet MS" w:cs="Arial"/>
                <w:bCs/>
                <w:color w:val="000000"/>
                <w:sz w:val="16"/>
                <w:szCs w:val="16"/>
                <w:lang w:val="nl-BE" w:eastAsia="nl-BE"/>
              </w:rPr>
            </w:pPr>
            <w:r>
              <w:rPr>
                <w:rFonts w:ascii="Trebuchet MS" w:hAnsi="Trebuchet MS" w:cs="Arial"/>
                <w:bCs/>
                <w:color w:val="000000"/>
                <w:sz w:val="16"/>
                <w:szCs w:val="16"/>
                <w:lang w:val="nl-BE" w:eastAsia="nl-BE"/>
              </w:rPr>
              <w:t>2.770</w:t>
            </w:r>
          </w:p>
        </w:tc>
      </w:tr>
      <w:tr w:rsidR="000268CC" w:rsidRPr="0033690A" w:rsidTr="00F06392">
        <w:trPr>
          <w:trHeight w:val="300"/>
        </w:trPr>
        <w:tc>
          <w:tcPr>
            <w:tcW w:w="3827" w:type="dxa"/>
            <w:tcBorders>
              <w:top w:val="single" w:sz="8" w:space="0" w:color="auto"/>
              <w:left w:val="single" w:sz="4" w:space="0" w:color="auto"/>
              <w:bottom w:val="single" w:sz="8" w:space="0" w:color="auto"/>
              <w:right w:val="single" w:sz="8" w:space="0" w:color="auto"/>
            </w:tcBorders>
            <w:vAlign w:val="bottom"/>
          </w:tcPr>
          <w:p w:rsidR="000268CC" w:rsidRDefault="000268CC" w:rsidP="000268CC">
            <w:pP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Totaal aantal toewijzingen</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9.845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10.976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8CC" w:rsidRPr="000268CC" w:rsidRDefault="000268CC" w:rsidP="000268CC">
            <w:pPr>
              <w:jc w:val="center"/>
              <w:rPr>
                <w:rFonts w:ascii="Trebuchet MS" w:hAnsi="Trebuchet MS" w:cs="Arial"/>
                <w:bCs/>
                <w:color w:val="000000"/>
                <w:sz w:val="16"/>
                <w:szCs w:val="16"/>
                <w:lang w:val="nl-BE" w:eastAsia="nl-BE"/>
              </w:rPr>
            </w:pPr>
            <w:r>
              <w:rPr>
                <w:rFonts w:ascii="Trebuchet MS" w:hAnsi="Trebuchet MS" w:cs="Arial"/>
                <w:bCs/>
                <w:color w:val="000000"/>
                <w:sz w:val="16"/>
                <w:szCs w:val="16"/>
                <w:lang w:val="nl-BE" w:eastAsia="nl-BE"/>
              </w:rPr>
              <w:t>10.212</w:t>
            </w:r>
          </w:p>
        </w:tc>
      </w:tr>
      <w:tr w:rsidR="000268CC" w:rsidRPr="0033690A" w:rsidTr="00F06392">
        <w:trPr>
          <w:trHeight w:val="300"/>
        </w:trPr>
        <w:tc>
          <w:tcPr>
            <w:tcW w:w="3827" w:type="dxa"/>
            <w:tcBorders>
              <w:top w:val="single" w:sz="8" w:space="0" w:color="auto"/>
              <w:left w:val="single" w:sz="4" w:space="0" w:color="auto"/>
              <w:bottom w:val="single" w:sz="8" w:space="0" w:color="auto"/>
              <w:right w:val="single" w:sz="8" w:space="0" w:color="auto"/>
            </w:tcBorders>
            <w:vAlign w:val="bottom"/>
          </w:tcPr>
          <w:p w:rsidR="000268CC" w:rsidRDefault="000268CC" w:rsidP="000268CC">
            <w:pP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Verhouding</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27 %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68CC" w:rsidRPr="0033690A" w:rsidRDefault="000268CC"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8CC" w:rsidRPr="000268CC" w:rsidRDefault="000268CC" w:rsidP="000268CC">
            <w:pPr>
              <w:jc w:val="center"/>
              <w:rPr>
                <w:rFonts w:ascii="Trebuchet MS" w:hAnsi="Trebuchet MS" w:cs="Arial"/>
                <w:bCs/>
                <w:color w:val="000000"/>
                <w:sz w:val="16"/>
                <w:szCs w:val="16"/>
                <w:lang w:val="nl-BE" w:eastAsia="nl-BE"/>
              </w:rPr>
            </w:pPr>
            <w:r>
              <w:rPr>
                <w:rFonts w:ascii="Trebuchet MS" w:hAnsi="Trebuchet MS" w:cs="Arial"/>
                <w:bCs/>
                <w:color w:val="000000"/>
                <w:sz w:val="16"/>
                <w:szCs w:val="16"/>
                <w:lang w:val="nl-BE" w:eastAsia="nl-BE"/>
              </w:rPr>
              <w:t>27 %</w:t>
            </w:r>
          </w:p>
        </w:tc>
      </w:tr>
      <w:tr w:rsidR="0095783F" w:rsidRPr="0033690A" w:rsidTr="00F06392">
        <w:trPr>
          <w:trHeight w:val="300"/>
        </w:trPr>
        <w:tc>
          <w:tcPr>
            <w:tcW w:w="3827" w:type="dxa"/>
            <w:tcBorders>
              <w:top w:val="single" w:sz="8" w:space="0" w:color="auto"/>
              <w:left w:val="single" w:sz="4" w:space="0" w:color="auto"/>
              <w:bottom w:val="single" w:sz="8" w:space="0" w:color="auto"/>
              <w:right w:val="single" w:sz="8" w:space="0" w:color="auto"/>
            </w:tcBorders>
            <w:vAlign w:val="bottom"/>
          </w:tcPr>
          <w:p w:rsidR="0095783F" w:rsidRDefault="0095783F" w:rsidP="000268CC">
            <w:pP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Wachttijd &gt; 10 jaar bij toewijzing</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95783F" w:rsidRDefault="0095783F"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145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5783F" w:rsidRDefault="0095783F" w:rsidP="000268CC">
            <w:pPr>
              <w:jc w:val="center"/>
              <w:rPr>
                <w:rFonts w:ascii="Trebuchet MS" w:hAnsi="Trebuchet MS" w:cs="Arial"/>
                <w:color w:val="000000"/>
                <w:sz w:val="16"/>
                <w:szCs w:val="16"/>
                <w:lang w:val="nl-BE" w:eastAsia="nl-BE"/>
              </w:rPr>
            </w:pPr>
            <w:r>
              <w:rPr>
                <w:rFonts w:ascii="Trebuchet MS" w:hAnsi="Trebuchet MS" w:cs="Arial"/>
                <w:color w:val="000000"/>
                <w:sz w:val="16"/>
                <w:szCs w:val="16"/>
                <w:lang w:val="nl-BE" w:eastAsia="nl-BE"/>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3F" w:rsidRDefault="0095783F" w:rsidP="000268CC">
            <w:pPr>
              <w:jc w:val="center"/>
              <w:rPr>
                <w:rFonts w:ascii="Trebuchet MS" w:hAnsi="Trebuchet MS" w:cs="Arial"/>
                <w:bCs/>
                <w:color w:val="000000"/>
                <w:sz w:val="16"/>
                <w:szCs w:val="16"/>
                <w:lang w:val="nl-BE" w:eastAsia="nl-BE"/>
              </w:rPr>
            </w:pPr>
            <w:r>
              <w:rPr>
                <w:rFonts w:ascii="Trebuchet MS" w:hAnsi="Trebuchet MS" w:cs="Arial"/>
                <w:bCs/>
                <w:color w:val="000000"/>
                <w:sz w:val="16"/>
                <w:szCs w:val="16"/>
                <w:lang w:val="nl-BE" w:eastAsia="nl-BE"/>
              </w:rPr>
              <w:t>128</w:t>
            </w:r>
          </w:p>
        </w:tc>
      </w:tr>
    </w:tbl>
    <w:p w:rsidR="000268CC" w:rsidRDefault="000268CC" w:rsidP="00F06392">
      <w:pPr>
        <w:jc w:val="both"/>
      </w:pPr>
    </w:p>
    <w:sectPr w:rsidR="000268C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B993C1C"/>
    <w:multiLevelType w:val="hybridMultilevel"/>
    <w:tmpl w:val="0248E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0029"/>
    <w:rsid w:val="000268CC"/>
    <w:rsid w:val="00045A59"/>
    <w:rsid w:val="000976E9"/>
    <w:rsid w:val="000C4E8C"/>
    <w:rsid w:val="000F3532"/>
    <w:rsid w:val="0010243F"/>
    <w:rsid w:val="00161166"/>
    <w:rsid w:val="001905A8"/>
    <w:rsid w:val="00210C07"/>
    <w:rsid w:val="00277F6B"/>
    <w:rsid w:val="002843DB"/>
    <w:rsid w:val="002C3DC6"/>
    <w:rsid w:val="002E7ABF"/>
    <w:rsid w:val="0030744D"/>
    <w:rsid w:val="00326A58"/>
    <w:rsid w:val="00334721"/>
    <w:rsid w:val="0033690A"/>
    <w:rsid w:val="003430F2"/>
    <w:rsid w:val="0038744F"/>
    <w:rsid w:val="00415419"/>
    <w:rsid w:val="004E4428"/>
    <w:rsid w:val="00504371"/>
    <w:rsid w:val="005E2CC4"/>
    <w:rsid w:val="005E38CA"/>
    <w:rsid w:val="005F6B47"/>
    <w:rsid w:val="006015A7"/>
    <w:rsid w:val="006214E8"/>
    <w:rsid w:val="006510CD"/>
    <w:rsid w:val="006563FB"/>
    <w:rsid w:val="00691FAB"/>
    <w:rsid w:val="006D7E14"/>
    <w:rsid w:val="0070035A"/>
    <w:rsid w:val="00707387"/>
    <w:rsid w:val="0071047A"/>
    <w:rsid w:val="0071248C"/>
    <w:rsid w:val="007252C7"/>
    <w:rsid w:val="00735402"/>
    <w:rsid w:val="007E0B3C"/>
    <w:rsid w:val="00860D98"/>
    <w:rsid w:val="008960BF"/>
    <w:rsid w:val="008D5DB4"/>
    <w:rsid w:val="009071D2"/>
    <w:rsid w:val="00932571"/>
    <w:rsid w:val="009347E0"/>
    <w:rsid w:val="0095783F"/>
    <w:rsid w:val="009C2099"/>
    <w:rsid w:val="009D7043"/>
    <w:rsid w:val="00A55A7A"/>
    <w:rsid w:val="00AA2E4B"/>
    <w:rsid w:val="00AD2177"/>
    <w:rsid w:val="00AE6E1A"/>
    <w:rsid w:val="00AF64E7"/>
    <w:rsid w:val="00B32B02"/>
    <w:rsid w:val="00B45EB2"/>
    <w:rsid w:val="00BE425A"/>
    <w:rsid w:val="00BF0113"/>
    <w:rsid w:val="00C03F62"/>
    <w:rsid w:val="00C30855"/>
    <w:rsid w:val="00C36995"/>
    <w:rsid w:val="00C91441"/>
    <w:rsid w:val="00CA5E56"/>
    <w:rsid w:val="00CB01E2"/>
    <w:rsid w:val="00CD005C"/>
    <w:rsid w:val="00D47D2D"/>
    <w:rsid w:val="00D71D99"/>
    <w:rsid w:val="00D754F2"/>
    <w:rsid w:val="00DB41C0"/>
    <w:rsid w:val="00DC4DB6"/>
    <w:rsid w:val="00DE45F0"/>
    <w:rsid w:val="00E35606"/>
    <w:rsid w:val="00E55200"/>
    <w:rsid w:val="00E725B5"/>
    <w:rsid w:val="00E7727A"/>
    <w:rsid w:val="00E85C8D"/>
    <w:rsid w:val="00F02A90"/>
    <w:rsid w:val="00F06392"/>
    <w:rsid w:val="00F34474"/>
    <w:rsid w:val="00FA29D6"/>
    <w:rsid w:val="00FA7896"/>
    <w:rsid w:val="00FD5BF4"/>
    <w:rsid w:val="00FE503E"/>
    <w:rsid w:val="00FE5406"/>
    <w:rsid w:val="00FF6A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77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0986">
      <w:bodyDiv w:val="1"/>
      <w:marLeft w:val="0"/>
      <w:marRight w:val="0"/>
      <w:marTop w:val="0"/>
      <w:marBottom w:val="0"/>
      <w:divBdr>
        <w:top w:val="none" w:sz="0" w:space="0" w:color="auto"/>
        <w:left w:val="none" w:sz="0" w:space="0" w:color="auto"/>
        <w:bottom w:val="none" w:sz="0" w:space="0" w:color="auto"/>
        <w:right w:val="none" w:sz="0" w:space="0" w:color="auto"/>
      </w:divBdr>
    </w:div>
    <w:div w:id="267667300">
      <w:bodyDiv w:val="1"/>
      <w:marLeft w:val="0"/>
      <w:marRight w:val="0"/>
      <w:marTop w:val="0"/>
      <w:marBottom w:val="0"/>
      <w:divBdr>
        <w:top w:val="none" w:sz="0" w:space="0" w:color="auto"/>
        <w:left w:val="none" w:sz="0" w:space="0" w:color="auto"/>
        <w:bottom w:val="none" w:sz="0" w:space="0" w:color="auto"/>
        <w:right w:val="none" w:sz="0" w:space="0" w:color="auto"/>
      </w:divBdr>
    </w:div>
    <w:div w:id="301816958">
      <w:bodyDiv w:val="1"/>
      <w:marLeft w:val="0"/>
      <w:marRight w:val="0"/>
      <w:marTop w:val="0"/>
      <w:marBottom w:val="0"/>
      <w:divBdr>
        <w:top w:val="none" w:sz="0" w:space="0" w:color="auto"/>
        <w:left w:val="none" w:sz="0" w:space="0" w:color="auto"/>
        <w:bottom w:val="none" w:sz="0" w:space="0" w:color="auto"/>
        <w:right w:val="none" w:sz="0" w:space="0" w:color="auto"/>
      </w:divBdr>
    </w:div>
    <w:div w:id="922884401">
      <w:bodyDiv w:val="1"/>
      <w:marLeft w:val="0"/>
      <w:marRight w:val="0"/>
      <w:marTop w:val="0"/>
      <w:marBottom w:val="0"/>
      <w:divBdr>
        <w:top w:val="none" w:sz="0" w:space="0" w:color="auto"/>
        <w:left w:val="none" w:sz="0" w:space="0" w:color="auto"/>
        <w:bottom w:val="none" w:sz="0" w:space="0" w:color="auto"/>
        <w:right w:val="none" w:sz="0" w:space="0" w:color="auto"/>
      </w:divBdr>
    </w:div>
    <w:div w:id="956564113">
      <w:bodyDiv w:val="1"/>
      <w:marLeft w:val="0"/>
      <w:marRight w:val="0"/>
      <w:marTop w:val="0"/>
      <w:marBottom w:val="0"/>
      <w:divBdr>
        <w:top w:val="none" w:sz="0" w:space="0" w:color="auto"/>
        <w:left w:val="none" w:sz="0" w:space="0" w:color="auto"/>
        <w:bottom w:val="none" w:sz="0" w:space="0" w:color="auto"/>
        <w:right w:val="none" w:sz="0" w:space="0" w:color="auto"/>
      </w:divBdr>
    </w:div>
    <w:div w:id="1628312573">
      <w:bodyDiv w:val="1"/>
      <w:marLeft w:val="0"/>
      <w:marRight w:val="0"/>
      <w:marTop w:val="0"/>
      <w:marBottom w:val="0"/>
      <w:divBdr>
        <w:top w:val="none" w:sz="0" w:space="0" w:color="auto"/>
        <w:left w:val="none" w:sz="0" w:space="0" w:color="auto"/>
        <w:bottom w:val="none" w:sz="0" w:space="0" w:color="auto"/>
        <w:right w:val="none" w:sz="0" w:space="0" w:color="auto"/>
      </w:divBdr>
    </w:div>
    <w:div w:id="1922596728">
      <w:bodyDiv w:val="1"/>
      <w:marLeft w:val="0"/>
      <w:marRight w:val="0"/>
      <w:marTop w:val="0"/>
      <w:marBottom w:val="0"/>
      <w:divBdr>
        <w:top w:val="none" w:sz="0" w:space="0" w:color="auto"/>
        <w:left w:val="none" w:sz="0" w:space="0" w:color="auto"/>
        <w:bottom w:val="none" w:sz="0" w:space="0" w:color="auto"/>
        <w:right w:val="none" w:sz="0" w:space="0" w:color="auto"/>
      </w:divBdr>
    </w:div>
    <w:div w:id="20077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0D0F1-A570-49A5-B854-5FD46E8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1</Pages>
  <Words>134</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2013-11-06T12:52:00Z</cp:lastPrinted>
  <dcterms:created xsi:type="dcterms:W3CDTF">2013-11-07T12:21:00Z</dcterms:created>
  <dcterms:modified xsi:type="dcterms:W3CDTF">2013-11-27T14:41:00Z</dcterms:modified>
</cp:coreProperties>
</file>