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EB" w:rsidRPr="00A8473D" w:rsidRDefault="00DC50EB" w:rsidP="00DC50EB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DC50EB" w:rsidRPr="00A8473D" w:rsidRDefault="00DC50EB" w:rsidP="00DC50EB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>minister-president van de vlaamse regering, vlaams minister van economie, buitenlands beleid, landbouw en plattelandsbeleid</w:t>
      </w:r>
    </w:p>
    <w:p w:rsidR="00DC50EB" w:rsidRPr="00DE405B" w:rsidRDefault="00DC50EB" w:rsidP="00DC50EB">
      <w:pPr>
        <w:pStyle w:val="StandaardSV"/>
        <w:pBdr>
          <w:bottom w:val="single" w:sz="4" w:space="1" w:color="auto"/>
        </w:pBdr>
        <w:rPr>
          <w:lang w:val="nl-BE"/>
        </w:rPr>
      </w:pPr>
    </w:p>
    <w:p w:rsidR="00DC50EB" w:rsidRDefault="00DC50EB" w:rsidP="00DC50EB">
      <w:pPr>
        <w:jc w:val="both"/>
        <w:rPr>
          <w:sz w:val="22"/>
        </w:rPr>
      </w:pPr>
    </w:p>
    <w:p w:rsidR="003C5C4F" w:rsidRPr="00A8473D" w:rsidRDefault="003C5C4F" w:rsidP="003C5C4F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DC50EB" w:rsidRDefault="003C5C4F" w:rsidP="003C5C4F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DC50EB">
        <w:rPr>
          <w:sz w:val="22"/>
        </w:rPr>
        <w:t>raag nr. 56</w:t>
      </w:r>
      <w:r>
        <w:rPr>
          <w:sz w:val="22"/>
        </w:rPr>
        <w:t xml:space="preserve"> </w:t>
      </w:r>
      <w:r w:rsidR="00DC50EB">
        <w:rPr>
          <w:sz w:val="22"/>
        </w:rPr>
        <w:t>van 11 oktober 2013</w:t>
      </w:r>
    </w:p>
    <w:p w:rsidR="00DC50EB" w:rsidRDefault="00DC50EB" w:rsidP="00DC50EB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vera</w:t>
      </w:r>
      <w:proofErr w:type="spellEnd"/>
      <w:r w:rsidR="003D751A"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jans</w:t>
      </w:r>
      <w:proofErr w:type="spellEnd"/>
    </w:p>
    <w:p w:rsidR="00DC50EB" w:rsidRDefault="00DC50EB" w:rsidP="00DC50EB">
      <w:pPr>
        <w:pBdr>
          <w:bottom w:val="single" w:sz="4" w:space="1" w:color="auto"/>
        </w:pBdr>
        <w:jc w:val="both"/>
        <w:rPr>
          <w:sz w:val="22"/>
        </w:rPr>
      </w:pPr>
    </w:p>
    <w:p w:rsidR="00DC50EB" w:rsidRDefault="00DC50EB" w:rsidP="00DC50EB">
      <w:pPr>
        <w:pStyle w:val="StandaardSV"/>
      </w:pPr>
    </w:p>
    <w:p w:rsidR="00DC50EB" w:rsidRDefault="00DC50EB" w:rsidP="00DC50EB">
      <w:pPr>
        <w:pStyle w:val="SVTitel"/>
        <w:rPr>
          <w:i w:val="0"/>
        </w:rPr>
      </w:pPr>
    </w:p>
    <w:p w:rsidR="00FF4684" w:rsidRPr="003C5C4F" w:rsidRDefault="00B53909" w:rsidP="003C5C4F">
      <w:pPr>
        <w:pStyle w:val="SVTitel"/>
        <w:numPr>
          <w:ilvl w:val="0"/>
          <w:numId w:val="1"/>
        </w:numPr>
        <w:rPr>
          <w:i w:val="0"/>
          <w:szCs w:val="22"/>
        </w:rPr>
      </w:pPr>
      <w:bookmarkStart w:id="0" w:name="_GoBack"/>
      <w:bookmarkEnd w:id="0"/>
      <w:r w:rsidRPr="003C5C4F">
        <w:rPr>
          <w:i w:val="0"/>
          <w:szCs w:val="22"/>
        </w:rPr>
        <w:t>In 2012 hebben 407 landbouwer</w:t>
      </w:r>
      <w:r w:rsidR="00FF4684" w:rsidRPr="003C5C4F">
        <w:rPr>
          <w:i w:val="0"/>
          <w:szCs w:val="22"/>
        </w:rPr>
        <w:t>s een subsidie voor zorgboerderijen ontvangen.</w:t>
      </w:r>
    </w:p>
    <w:p w:rsidR="00B53909" w:rsidRPr="003C5C4F" w:rsidRDefault="00B53909" w:rsidP="00B53909">
      <w:pPr>
        <w:pStyle w:val="SVTitel"/>
        <w:rPr>
          <w:i w:val="0"/>
          <w:szCs w:val="22"/>
        </w:rPr>
      </w:pPr>
    </w:p>
    <w:p w:rsidR="00B53909" w:rsidRPr="003C5C4F" w:rsidRDefault="00B53909" w:rsidP="003D751A">
      <w:pPr>
        <w:pStyle w:val="SVTitel"/>
        <w:ind w:left="360"/>
        <w:rPr>
          <w:i w:val="0"/>
          <w:szCs w:val="22"/>
        </w:rPr>
      </w:pPr>
      <w:r w:rsidRPr="003C5C4F">
        <w:rPr>
          <w:i w:val="0"/>
          <w:szCs w:val="22"/>
        </w:rPr>
        <w:t>In de onderstaande tabel wordt het aantal landbouwers weergegeven die een subsidie hebben ontvangen in 2012, onderverdeeld per provincie.</w:t>
      </w:r>
    </w:p>
    <w:p w:rsidR="00B53909" w:rsidRPr="003C5C4F" w:rsidRDefault="00B53909" w:rsidP="00B53909">
      <w:pPr>
        <w:pStyle w:val="SVTitel"/>
        <w:rPr>
          <w:i w:val="0"/>
          <w:szCs w:val="22"/>
        </w:rPr>
      </w:pPr>
    </w:p>
    <w:p w:rsidR="00D7191D" w:rsidRPr="003C5C4F" w:rsidRDefault="00D7191D" w:rsidP="003D751A">
      <w:pPr>
        <w:pStyle w:val="SVTitel"/>
        <w:ind w:left="360"/>
        <w:rPr>
          <w:i w:val="0"/>
          <w:szCs w:val="22"/>
        </w:rPr>
      </w:pPr>
      <w:r w:rsidRPr="003C5C4F">
        <w:rPr>
          <w:i w:val="0"/>
          <w:szCs w:val="22"/>
        </w:rPr>
        <w:t>Voor 2013 zij</w:t>
      </w:r>
      <w:r w:rsidR="00523A10" w:rsidRPr="003C5C4F">
        <w:rPr>
          <w:i w:val="0"/>
          <w:szCs w:val="22"/>
        </w:rPr>
        <w:t>n</w:t>
      </w:r>
      <w:r w:rsidRPr="003C5C4F">
        <w:rPr>
          <w:i w:val="0"/>
          <w:szCs w:val="22"/>
        </w:rPr>
        <w:t xml:space="preserve"> </w:t>
      </w:r>
      <w:r w:rsidR="001616A5" w:rsidRPr="003C5C4F">
        <w:rPr>
          <w:i w:val="0"/>
          <w:szCs w:val="22"/>
        </w:rPr>
        <w:t>de</w:t>
      </w:r>
      <w:r w:rsidRPr="003C5C4F">
        <w:rPr>
          <w:i w:val="0"/>
          <w:szCs w:val="22"/>
        </w:rPr>
        <w:t xml:space="preserve"> gegevens </w:t>
      </w:r>
      <w:r w:rsidR="001616A5" w:rsidRPr="003C5C4F">
        <w:rPr>
          <w:i w:val="0"/>
          <w:szCs w:val="22"/>
        </w:rPr>
        <w:t xml:space="preserve">nog niet volledig </w:t>
      </w:r>
      <w:r w:rsidRPr="003C5C4F">
        <w:rPr>
          <w:i w:val="0"/>
          <w:szCs w:val="22"/>
        </w:rPr>
        <w:t>beschikbaar.</w:t>
      </w:r>
    </w:p>
    <w:p w:rsidR="00D7191D" w:rsidRPr="003C5C4F" w:rsidRDefault="00D7191D" w:rsidP="00D7191D">
      <w:pPr>
        <w:rPr>
          <w:sz w:val="22"/>
          <w:szCs w:val="22"/>
        </w:rPr>
      </w:pPr>
    </w:p>
    <w:p w:rsidR="00D7191D" w:rsidRPr="003C5C4F" w:rsidRDefault="00D7191D" w:rsidP="00B53909">
      <w:pPr>
        <w:pStyle w:val="SVTitel"/>
        <w:rPr>
          <w:b/>
          <w:i w:val="0"/>
          <w:szCs w:val="22"/>
          <w:u w:val="single"/>
        </w:rPr>
      </w:pPr>
      <w:r w:rsidRPr="003C5C4F">
        <w:rPr>
          <w:b/>
          <w:i w:val="0"/>
          <w:szCs w:val="22"/>
          <w:u w:val="single"/>
        </w:rPr>
        <w:t xml:space="preserve">Tabel 1: Aantal landbouwers </w:t>
      </w:r>
      <w:r w:rsidR="00B53909" w:rsidRPr="003C5C4F">
        <w:rPr>
          <w:b/>
          <w:i w:val="0"/>
          <w:szCs w:val="22"/>
          <w:u w:val="single"/>
        </w:rPr>
        <w:t xml:space="preserve">die </w:t>
      </w:r>
      <w:r w:rsidRPr="003C5C4F">
        <w:rPr>
          <w:b/>
          <w:i w:val="0"/>
          <w:szCs w:val="22"/>
          <w:u w:val="single"/>
        </w:rPr>
        <w:t>in 2012</w:t>
      </w:r>
      <w:r w:rsidR="00B53909" w:rsidRPr="003C5C4F">
        <w:rPr>
          <w:b/>
          <w:i w:val="0"/>
          <w:szCs w:val="22"/>
          <w:u w:val="single"/>
        </w:rPr>
        <w:t xml:space="preserve"> een subsidie hebben ontvangen, onderverdeeld per provincie</w:t>
      </w:r>
    </w:p>
    <w:p w:rsidR="00D7191D" w:rsidRPr="003C5C4F" w:rsidRDefault="00D7191D" w:rsidP="00D7191D">
      <w:pPr>
        <w:rPr>
          <w:b/>
          <w:sz w:val="22"/>
          <w:szCs w:val="22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FF4684" w:rsidRPr="003C5C4F" w:rsidTr="00B53909">
        <w:trPr>
          <w:trHeight w:val="300"/>
        </w:trPr>
        <w:tc>
          <w:tcPr>
            <w:tcW w:w="2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FF4684" w:rsidRPr="003C5C4F" w:rsidRDefault="00FF4684" w:rsidP="00B53909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Provincie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bottom"/>
            <w:hideMark/>
          </w:tcPr>
          <w:p w:rsidR="00FF4684" w:rsidRPr="003C5C4F" w:rsidRDefault="00FF4684" w:rsidP="00B53909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Aantal landbouwers die in 2012 een subsidie hebben ontvangen</w:t>
            </w:r>
          </w:p>
        </w:tc>
      </w:tr>
      <w:tr w:rsidR="00FF4684" w:rsidRPr="003C5C4F" w:rsidTr="00B53909">
        <w:trPr>
          <w:trHeight w:val="300"/>
        </w:trPr>
        <w:tc>
          <w:tcPr>
            <w:tcW w:w="2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81</w:t>
            </w:r>
          </w:p>
        </w:tc>
      </w:tr>
      <w:tr w:rsidR="00FF4684" w:rsidRPr="003C5C4F" w:rsidTr="00B5390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53</w:t>
            </w:r>
          </w:p>
        </w:tc>
      </w:tr>
      <w:tr w:rsidR="00FF4684" w:rsidRPr="003C5C4F" w:rsidTr="00B5390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67</w:t>
            </w:r>
          </w:p>
        </w:tc>
      </w:tr>
      <w:tr w:rsidR="00FF4684" w:rsidRPr="003C5C4F" w:rsidTr="00B5390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86</w:t>
            </w:r>
          </w:p>
        </w:tc>
      </w:tr>
      <w:tr w:rsidR="00FF4684" w:rsidRPr="003C5C4F" w:rsidTr="00B5390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120</w:t>
            </w:r>
          </w:p>
        </w:tc>
      </w:tr>
      <w:tr w:rsidR="00FF4684" w:rsidRPr="003C5C4F" w:rsidTr="00B5390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F4684" w:rsidRPr="003C5C4F" w:rsidRDefault="00FF4684" w:rsidP="00B53909">
            <w:pPr>
              <w:jc w:val="right"/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407</w:t>
            </w:r>
          </w:p>
        </w:tc>
      </w:tr>
    </w:tbl>
    <w:p w:rsidR="003C5C4F" w:rsidRPr="003C5C4F" w:rsidRDefault="003C5C4F" w:rsidP="003C5C4F">
      <w:pPr>
        <w:spacing w:after="200" w:line="276" w:lineRule="auto"/>
        <w:rPr>
          <w:i/>
          <w:sz w:val="22"/>
          <w:szCs w:val="22"/>
        </w:rPr>
      </w:pPr>
    </w:p>
    <w:p w:rsidR="00FF4684" w:rsidRPr="003C5C4F" w:rsidRDefault="00FF4684" w:rsidP="003C5C4F">
      <w:pPr>
        <w:pStyle w:val="Lijstalinea"/>
        <w:numPr>
          <w:ilvl w:val="0"/>
          <w:numId w:val="1"/>
        </w:numPr>
        <w:spacing w:after="200" w:line="276" w:lineRule="auto"/>
        <w:rPr>
          <w:b/>
          <w:sz w:val="22"/>
          <w:szCs w:val="22"/>
          <w:u w:val="single"/>
        </w:rPr>
      </w:pPr>
      <w:r w:rsidRPr="003C5C4F">
        <w:rPr>
          <w:b/>
          <w:sz w:val="22"/>
          <w:szCs w:val="22"/>
          <w:u w:val="single"/>
        </w:rPr>
        <w:t xml:space="preserve">Tabel 2: aantal </w:t>
      </w:r>
      <w:r w:rsidR="00EF3E70" w:rsidRPr="003C5C4F">
        <w:rPr>
          <w:b/>
          <w:sz w:val="22"/>
          <w:szCs w:val="22"/>
          <w:u w:val="single"/>
        </w:rPr>
        <w:t xml:space="preserve">nieuw afgesloten </w:t>
      </w:r>
      <w:r w:rsidRPr="003C5C4F">
        <w:rPr>
          <w:b/>
          <w:sz w:val="22"/>
          <w:szCs w:val="22"/>
          <w:u w:val="single"/>
        </w:rPr>
        <w:t xml:space="preserve">overeenkomsten in 2012 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4300"/>
      </w:tblGrid>
      <w:tr w:rsidR="00F70EDF" w:rsidRPr="003C5C4F" w:rsidTr="00F70EDF">
        <w:trPr>
          <w:trHeight w:val="30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0EDF" w:rsidRPr="003C5C4F" w:rsidRDefault="00F70EDF" w:rsidP="00B07871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Provincie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70EDF" w:rsidRPr="003C5C4F" w:rsidRDefault="00F70EDF" w:rsidP="00395845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aantal overeenkomsten in 2012</w:t>
            </w:r>
          </w:p>
        </w:tc>
      </w:tr>
      <w:tr w:rsidR="00F70EDF" w:rsidRPr="003C5C4F" w:rsidTr="00F70ED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B07871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</w:rPr>
            </w:pPr>
            <w:r w:rsidRPr="003C5C4F">
              <w:rPr>
                <w:color w:val="000000"/>
                <w:sz w:val="22"/>
                <w:szCs w:val="22"/>
              </w:rPr>
              <w:t>90</w:t>
            </w:r>
          </w:p>
        </w:tc>
      </w:tr>
      <w:tr w:rsidR="00F70EDF" w:rsidRPr="003C5C4F" w:rsidTr="00F70ED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B07871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</w:rPr>
            </w:pPr>
            <w:r w:rsidRPr="003C5C4F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F70EDF" w:rsidRPr="003C5C4F" w:rsidTr="00F70ED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B07871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</w:rPr>
            </w:pPr>
            <w:r w:rsidRPr="003C5C4F">
              <w:rPr>
                <w:color w:val="000000"/>
                <w:sz w:val="22"/>
                <w:szCs w:val="22"/>
              </w:rPr>
              <w:t>106</w:t>
            </w:r>
          </w:p>
        </w:tc>
      </w:tr>
      <w:tr w:rsidR="00F70EDF" w:rsidRPr="003C5C4F" w:rsidTr="00F70ED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B07871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</w:rPr>
            </w:pPr>
            <w:r w:rsidRPr="003C5C4F">
              <w:rPr>
                <w:color w:val="000000"/>
                <w:sz w:val="22"/>
                <w:szCs w:val="22"/>
              </w:rPr>
              <w:t>67</w:t>
            </w:r>
          </w:p>
        </w:tc>
      </w:tr>
      <w:tr w:rsidR="00F70EDF" w:rsidRPr="003C5C4F" w:rsidTr="00F70ED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B07871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</w:rPr>
            </w:pPr>
            <w:r w:rsidRPr="003C5C4F">
              <w:rPr>
                <w:color w:val="000000"/>
                <w:sz w:val="22"/>
                <w:szCs w:val="22"/>
              </w:rPr>
              <w:t>248</w:t>
            </w:r>
          </w:p>
        </w:tc>
      </w:tr>
      <w:tr w:rsidR="00F70EDF" w:rsidRPr="003C5C4F" w:rsidTr="00F70EDF">
        <w:trPr>
          <w:trHeight w:val="300"/>
        </w:trPr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B07871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Vlaanderen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3C5C4F">
              <w:rPr>
                <w:b/>
                <w:bCs/>
                <w:color w:val="000000"/>
                <w:sz w:val="22"/>
                <w:szCs w:val="22"/>
              </w:rPr>
              <w:t>616</w:t>
            </w:r>
          </w:p>
        </w:tc>
      </w:tr>
    </w:tbl>
    <w:p w:rsidR="00FF2189" w:rsidRPr="003C5C4F" w:rsidRDefault="00FF2189" w:rsidP="00DC50EB">
      <w:pPr>
        <w:pStyle w:val="SVTitel"/>
        <w:rPr>
          <w:i w:val="0"/>
          <w:szCs w:val="22"/>
        </w:rPr>
      </w:pPr>
    </w:p>
    <w:p w:rsidR="00F70EDF" w:rsidRPr="003C5C4F" w:rsidRDefault="00952009" w:rsidP="00DC50EB">
      <w:pPr>
        <w:pStyle w:val="SVTitel"/>
        <w:numPr>
          <w:ilvl w:val="0"/>
          <w:numId w:val="1"/>
        </w:numPr>
        <w:rPr>
          <w:i w:val="0"/>
          <w:szCs w:val="22"/>
        </w:rPr>
      </w:pPr>
      <w:r w:rsidRPr="003C5C4F">
        <w:rPr>
          <w:i w:val="0"/>
          <w:szCs w:val="22"/>
        </w:rPr>
        <w:t>Een aantal overeenkomsten zijn van onbepaalde duur. Bij s</w:t>
      </w:r>
      <w:r w:rsidR="003C5C4F" w:rsidRPr="003C5C4F">
        <w:rPr>
          <w:i w:val="0"/>
          <w:szCs w:val="22"/>
        </w:rPr>
        <w:t xml:space="preserve">ommige overeenkomsten is vooraf </w:t>
      </w:r>
      <w:r w:rsidRPr="003C5C4F">
        <w:rPr>
          <w:i w:val="0"/>
          <w:szCs w:val="22"/>
        </w:rPr>
        <w:t xml:space="preserve">bepaald dat deze blijven doorlopen, bij andere overeenkomsten is de effectieve duur nog niet gekend bij het afsluiten van deze overeenkomsten en wordt de einddatum niet </w:t>
      </w:r>
      <w:proofErr w:type="spellStart"/>
      <w:r w:rsidRPr="003C5C4F">
        <w:rPr>
          <w:i w:val="0"/>
          <w:szCs w:val="22"/>
        </w:rPr>
        <w:t>ingevuld.Indien</w:t>
      </w:r>
      <w:proofErr w:type="spellEnd"/>
      <w:r w:rsidRPr="003C5C4F">
        <w:rPr>
          <w:i w:val="0"/>
          <w:szCs w:val="22"/>
        </w:rPr>
        <w:t xml:space="preserve"> deze overeenkomsten nog actief waren op 31/3/2013 worden deze als overeenkomst van onbepaalde duur meegenomen.</w:t>
      </w:r>
      <w:r w:rsidR="00F70EDF" w:rsidRPr="003C5C4F">
        <w:rPr>
          <w:i w:val="0"/>
          <w:szCs w:val="22"/>
        </w:rPr>
        <w:t xml:space="preserve"> Dit ging in 2012 over 45 overeenkomsten. Deze overeenkomsten werden niet in beschouwing genomen bij het bepalen van de gemiddelde looptijd.</w:t>
      </w:r>
    </w:p>
    <w:p w:rsidR="00952009" w:rsidRPr="003C5C4F" w:rsidRDefault="00952009" w:rsidP="00DC50EB">
      <w:pPr>
        <w:pStyle w:val="SVTitel"/>
        <w:rPr>
          <w:i w:val="0"/>
          <w:szCs w:val="22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4265"/>
      </w:tblGrid>
      <w:tr w:rsidR="00F70EDF" w:rsidRPr="003C5C4F" w:rsidTr="00F70EDF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70EDF" w:rsidRPr="003C5C4F" w:rsidRDefault="00F70EDF" w:rsidP="00952009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Provincie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70EDF" w:rsidRPr="003C5C4F" w:rsidRDefault="00F70EDF" w:rsidP="00395845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Gemiddelde looptijd in 2012</w:t>
            </w:r>
          </w:p>
        </w:tc>
      </w:tr>
      <w:tr w:rsidR="00F70EDF" w:rsidRPr="003C5C4F" w:rsidTr="00F70E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9520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104</w:t>
            </w:r>
          </w:p>
        </w:tc>
      </w:tr>
      <w:tr w:rsidR="00F70EDF" w:rsidRPr="003C5C4F" w:rsidTr="00F70E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9520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98</w:t>
            </w:r>
          </w:p>
        </w:tc>
      </w:tr>
      <w:tr w:rsidR="00F70EDF" w:rsidRPr="003C5C4F" w:rsidTr="00F70E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9520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75</w:t>
            </w:r>
          </w:p>
        </w:tc>
      </w:tr>
      <w:tr w:rsidR="00F70EDF" w:rsidRPr="003C5C4F" w:rsidTr="00F70E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9520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lastRenderedPageBreak/>
              <w:t>Vlaams-Brabant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102</w:t>
            </w:r>
          </w:p>
        </w:tc>
      </w:tr>
      <w:tr w:rsidR="00F70EDF" w:rsidRPr="003C5C4F" w:rsidTr="00F70E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952009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37</w:t>
            </w:r>
          </w:p>
        </w:tc>
      </w:tr>
      <w:tr w:rsidR="00F70EDF" w:rsidRPr="003C5C4F" w:rsidTr="00F70EDF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EDF" w:rsidRPr="003C5C4F" w:rsidRDefault="00F70EDF" w:rsidP="00952009">
            <w:pPr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Vlaanderen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EDF" w:rsidRPr="003C5C4F" w:rsidRDefault="00F70EDF" w:rsidP="00395845">
            <w:pPr>
              <w:jc w:val="right"/>
              <w:rPr>
                <w:b/>
                <w:bCs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bCs/>
                <w:color w:val="000000"/>
                <w:sz w:val="22"/>
                <w:szCs w:val="22"/>
                <w:lang w:val="nl-BE" w:eastAsia="nl-BE"/>
              </w:rPr>
              <w:t>83</w:t>
            </w:r>
          </w:p>
        </w:tc>
      </w:tr>
    </w:tbl>
    <w:p w:rsidR="00FF2189" w:rsidRPr="003C5C4F" w:rsidRDefault="00FF2189" w:rsidP="00DC50EB">
      <w:pPr>
        <w:pStyle w:val="SVTitel"/>
        <w:rPr>
          <w:i w:val="0"/>
          <w:szCs w:val="22"/>
        </w:rPr>
      </w:pPr>
    </w:p>
    <w:p w:rsidR="00FF2189" w:rsidRPr="003C5C4F" w:rsidRDefault="00EF3E70" w:rsidP="003C5C4F">
      <w:pPr>
        <w:pStyle w:val="SVTitel"/>
        <w:numPr>
          <w:ilvl w:val="0"/>
          <w:numId w:val="1"/>
        </w:numPr>
        <w:rPr>
          <w:i w:val="0"/>
          <w:szCs w:val="22"/>
        </w:rPr>
      </w:pPr>
      <w:r w:rsidRPr="003C5C4F">
        <w:rPr>
          <w:i w:val="0"/>
          <w:szCs w:val="22"/>
        </w:rPr>
        <w:t>Tot hiertoe werd het type instelling niet geregistreerd in de databank. De gevraagde gegevens zijn bijgevolg niet gekend. Er is voorzien dat vanaf 1 januari 2014 het type instelling wel geregistreerd zal worden.</w:t>
      </w:r>
    </w:p>
    <w:p w:rsidR="00EF3E70" w:rsidRPr="003C5C4F" w:rsidRDefault="00EF3E70" w:rsidP="00DC50EB">
      <w:pPr>
        <w:pStyle w:val="SVTitel"/>
        <w:rPr>
          <w:i w:val="0"/>
          <w:szCs w:val="22"/>
        </w:rPr>
      </w:pPr>
    </w:p>
    <w:p w:rsidR="00F70EDF" w:rsidRPr="003C5C4F" w:rsidRDefault="00F70EDF" w:rsidP="003C5C4F">
      <w:pPr>
        <w:pStyle w:val="SVTitel"/>
        <w:numPr>
          <w:ilvl w:val="0"/>
          <w:numId w:val="1"/>
        </w:numPr>
        <w:rPr>
          <w:i w:val="0"/>
          <w:szCs w:val="22"/>
          <w:u w:val="single"/>
        </w:rPr>
      </w:pPr>
      <w:r w:rsidRPr="003C5C4F">
        <w:rPr>
          <w:i w:val="0"/>
          <w:szCs w:val="22"/>
        </w:rPr>
        <w:t>Op basis van het aantal aangemelde zorg</w:t>
      </w:r>
      <w:r w:rsidR="00EF3E70" w:rsidRPr="003C5C4F">
        <w:rPr>
          <w:i w:val="0"/>
          <w:szCs w:val="22"/>
        </w:rPr>
        <w:t>activiteiten</w:t>
      </w:r>
      <w:r w:rsidRPr="003C5C4F">
        <w:rPr>
          <w:i w:val="0"/>
          <w:szCs w:val="22"/>
        </w:rPr>
        <w:t xml:space="preserve"> voor het verkrijgen van een subsidie werden in 2012 in totaal </w:t>
      </w:r>
      <w:r w:rsidRPr="003C5C4F">
        <w:rPr>
          <w:bCs/>
          <w:i w:val="0"/>
          <w:color w:val="000000"/>
          <w:szCs w:val="22"/>
        </w:rPr>
        <w:t xml:space="preserve">41973 </w:t>
      </w:r>
      <w:r w:rsidRPr="003C5C4F">
        <w:rPr>
          <w:i w:val="0"/>
          <w:szCs w:val="22"/>
        </w:rPr>
        <w:t xml:space="preserve">zorgactiviteiten gepresteerd. </w:t>
      </w:r>
      <w:r w:rsidR="00EF3E70" w:rsidRPr="003C5C4F">
        <w:rPr>
          <w:i w:val="0"/>
          <w:szCs w:val="22"/>
        </w:rPr>
        <w:t xml:space="preserve">Met een zorgboerderijactiviteit wordt de aanwezigheid van een zorgvrager op een land- of tuinbouwbedrijf gedurende minstens 3 uren per dag bedoeld. </w:t>
      </w:r>
      <w:r w:rsidRPr="003C5C4F">
        <w:rPr>
          <w:i w:val="0"/>
          <w:szCs w:val="22"/>
        </w:rPr>
        <w:t>In totaal hebben deze landbouwers in 2012 gezorgd voor meer dan 213.540 uren zorg en activering van zorgvragers.</w:t>
      </w:r>
    </w:p>
    <w:p w:rsidR="00F70EDF" w:rsidRPr="003C5C4F" w:rsidRDefault="00F70EDF" w:rsidP="00F70EDF">
      <w:pPr>
        <w:pStyle w:val="StandaardSV"/>
        <w:rPr>
          <w:szCs w:val="22"/>
          <w:u w:val="single"/>
        </w:rPr>
      </w:pPr>
    </w:p>
    <w:p w:rsidR="00F70EDF" w:rsidRPr="003C5C4F" w:rsidRDefault="00F70EDF" w:rsidP="003D751A">
      <w:pPr>
        <w:pStyle w:val="StandaardSV"/>
        <w:ind w:left="360"/>
        <w:rPr>
          <w:szCs w:val="22"/>
        </w:rPr>
      </w:pPr>
      <w:r w:rsidRPr="003C5C4F">
        <w:rPr>
          <w:szCs w:val="22"/>
        </w:rPr>
        <w:t>De gegevens van 2013 zijn nog niet beschikbaar</w:t>
      </w:r>
    </w:p>
    <w:p w:rsidR="00F70EDF" w:rsidRPr="003C5C4F" w:rsidRDefault="00F70EDF" w:rsidP="00F70EDF">
      <w:pPr>
        <w:pStyle w:val="StandaardSV"/>
        <w:rPr>
          <w:szCs w:val="22"/>
          <w:u w:val="single"/>
        </w:rPr>
      </w:pPr>
    </w:p>
    <w:p w:rsidR="00F70EDF" w:rsidRPr="003C5C4F" w:rsidRDefault="00F70EDF" w:rsidP="00F70EDF">
      <w:pPr>
        <w:pStyle w:val="StandaardSV"/>
        <w:rPr>
          <w:b/>
          <w:szCs w:val="22"/>
          <w:u w:val="single"/>
        </w:rPr>
      </w:pPr>
      <w:r w:rsidRPr="003C5C4F">
        <w:rPr>
          <w:b/>
          <w:szCs w:val="22"/>
          <w:u w:val="single"/>
        </w:rPr>
        <w:t>Tabel 3 : aantal zorgactiviteiten en het aantal zorg-uren uitgevoerd in 2012</w:t>
      </w:r>
    </w:p>
    <w:p w:rsidR="00F70EDF" w:rsidRPr="003C5C4F" w:rsidRDefault="00F70EDF" w:rsidP="00F70EDF">
      <w:pPr>
        <w:pStyle w:val="StandaardSV"/>
        <w:rPr>
          <w:szCs w:val="22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2457"/>
        <w:gridCol w:w="2693"/>
      </w:tblGrid>
      <w:tr w:rsidR="00F70EDF" w:rsidRPr="003C5C4F" w:rsidTr="00395845">
        <w:trPr>
          <w:trHeight w:val="2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0EDF" w:rsidRPr="003C5C4F" w:rsidRDefault="00F70EDF" w:rsidP="00395845">
            <w:pPr>
              <w:jc w:val="center"/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Provincie</w:t>
            </w:r>
          </w:p>
        </w:tc>
        <w:tc>
          <w:tcPr>
            <w:tcW w:w="2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0EDF" w:rsidRPr="003C5C4F" w:rsidRDefault="00F70EDF" w:rsidP="00395845">
            <w:pPr>
              <w:jc w:val="center"/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Aantal zorgprestaties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0EDF" w:rsidRPr="003C5C4F" w:rsidRDefault="00F70EDF" w:rsidP="00395845">
            <w:pPr>
              <w:jc w:val="center"/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Aantal zorguren</w:t>
            </w:r>
          </w:p>
        </w:tc>
      </w:tr>
      <w:tr w:rsidR="00F70EDF" w:rsidRPr="003C5C4F" w:rsidTr="00395845">
        <w:trPr>
          <w:trHeight w:val="20"/>
        </w:trPr>
        <w:tc>
          <w:tcPr>
            <w:tcW w:w="1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24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9182</w:t>
            </w:r>
          </w:p>
        </w:tc>
        <w:tc>
          <w:tcPr>
            <w:tcW w:w="26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48522</w:t>
            </w:r>
          </w:p>
        </w:tc>
      </w:tr>
      <w:tr w:rsidR="00F70EDF" w:rsidRPr="003C5C4F" w:rsidTr="00395845">
        <w:trPr>
          <w:trHeight w:val="20"/>
        </w:trPr>
        <w:tc>
          <w:tcPr>
            <w:tcW w:w="18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8693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45606</w:t>
            </w:r>
          </w:p>
        </w:tc>
      </w:tr>
      <w:tr w:rsidR="00F70EDF" w:rsidRPr="003C5C4F" w:rsidTr="00395845">
        <w:trPr>
          <w:trHeight w:val="20"/>
        </w:trPr>
        <w:tc>
          <w:tcPr>
            <w:tcW w:w="18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8499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41838</w:t>
            </w:r>
          </w:p>
        </w:tc>
      </w:tr>
      <w:tr w:rsidR="00F70EDF" w:rsidRPr="003C5C4F" w:rsidTr="00395845">
        <w:trPr>
          <w:trHeight w:val="20"/>
        </w:trPr>
        <w:tc>
          <w:tcPr>
            <w:tcW w:w="18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5868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28860</w:t>
            </w:r>
          </w:p>
        </w:tc>
      </w:tr>
      <w:tr w:rsidR="00F70EDF" w:rsidRPr="003C5C4F" w:rsidTr="00395845">
        <w:trPr>
          <w:trHeight w:val="20"/>
        </w:trPr>
        <w:tc>
          <w:tcPr>
            <w:tcW w:w="18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9731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48714</w:t>
            </w:r>
          </w:p>
        </w:tc>
      </w:tr>
      <w:tr w:rsidR="00F70EDF" w:rsidRPr="003C5C4F" w:rsidTr="00395845">
        <w:trPr>
          <w:trHeight w:val="20"/>
        </w:trPr>
        <w:tc>
          <w:tcPr>
            <w:tcW w:w="181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41973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213540</w:t>
            </w:r>
          </w:p>
        </w:tc>
      </w:tr>
    </w:tbl>
    <w:p w:rsidR="00FF2189" w:rsidRPr="003C5C4F" w:rsidRDefault="00FF2189" w:rsidP="00DC50EB">
      <w:pPr>
        <w:pStyle w:val="SVTitel"/>
        <w:rPr>
          <w:i w:val="0"/>
          <w:szCs w:val="22"/>
        </w:rPr>
      </w:pPr>
    </w:p>
    <w:p w:rsidR="00F70EDF" w:rsidRPr="003C5C4F" w:rsidRDefault="00F70EDF" w:rsidP="003C5C4F">
      <w:pPr>
        <w:pStyle w:val="SVTitel"/>
        <w:numPr>
          <w:ilvl w:val="0"/>
          <w:numId w:val="1"/>
        </w:numPr>
        <w:rPr>
          <w:b/>
          <w:i w:val="0"/>
          <w:szCs w:val="22"/>
          <w:u w:val="single"/>
        </w:rPr>
      </w:pPr>
      <w:r w:rsidRPr="003C5C4F">
        <w:rPr>
          <w:b/>
          <w:i w:val="0"/>
          <w:szCs w:val="22"/>
          <w:u w:val="single"/>
        </w:rPr>
        <w:t>Tabel 4: Overzicht van de uitbetaalde subsidie voor zorgboerderijen per provincie</w:t>
      </w:r>
      <w:r w:rsidR="001616A5" w:rsidRPr="003C5C4F">
        <w:rPr>
          <w:b/>
          <w:i w:val="0"/>
          <w:szCs w:val="22"/>
          <w:u w:val="single"/>
        </w:rPr>
        <w:t xml:space="preserve"> in 2012</w:t>
      </w:r>
    </w:p>
    <w:p w:rsidR="00F70EDF" w:rsidRPr="003C5C4F" w:rsidRDefault="00F70EDF" w:rsidP="00F70EDF">
      <w:pPr>
        <w:pStyle w:val="StandaardSV"/>
        <w:rPr>
          <w:szCs w:val="22"/>
          <w:u w:val="single"/>
        </w:rPr>
      </w:pPr>
    </w:p>
    <w:tbl>
      <w:tblPr>
        <w:tblW w:w="78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</w:tblGrid>
      <w:tr w:rsidR="00F70EDF" w:rsidRPr="003C5C4F" w:rsidTr="00395845">
        <w:trPr>
          <w:trHeight w:val="315"/>
        </w:trPr>
        <w:tc>
          <w:tcPr>
            <w:tcW w:w="2567" w:type="dxa"/>
            <w:shd w:val="clear" w:color="auto" w:fill="D9D9D9" w:themeFill="background1" w:themeFillShade="D9"/>
            <w:noWrap/>
            <w:vAlign w:val="bottom"/>
            <w:hideMark/>
          </w:tcPr>
          <w:p w:rsidR="00F70EDF" w:rsidRPr="003C5C4F" w:rsidRDefault="00F70EDF" w:rsidP="00395845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Provincie</w:t>
            </w:r>
          </w:p>
        </w:tc>
        <w:tc>
          <w:tcPr>
            <w:tcW w:w="5245" w:type="dxa"/>
            <w:shd w:val="clear" w:color="auto" w:fill="D9D9D9" w:themeFill="background1" w:themeFillShade="D9"/>
            <w:noWrap/>
            <w:vAlign w:val="bottom"/>
            <w:hideMark/>
          </w:tcPr>
          <w:p w:rsidR="00F70EDF" w:rsidRPr="003C5C4F" w:rsidRDefault="00F70EDF" w:rsidP="00395845">
            <w:pPr>
              <w:jc w:val="center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Uitbetaalde subsidie</w:t>
            </w:r>
          </w:p>
        </w:tc>
      </w:tr>
      <w:tr w:rsidR="00F70EDF" w:rsidRPr="003C5C4F" w:rsidTr="00395845">
        <w:trPr>
          <w:trHeight w:val="300"/>
        </w:trPr>
        <w:tc>
          <w:tcPr>
            <w:tcW w:w="2567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Antwerpen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282.150,00</w:t>
            </w:r>
          </w:p>
        </w:tc>
      </w:tr>
      <w:tr w:rsidR="00F70EDF" w:rsidRPr="003C5C4F" w:rsidTr="00395845">
        <w:trPr>
          <w:trHeight w:val="300"/>
        </w:trPr>
        <w:tc>
          <w:tcPr>
            <w:tcW w:w="2567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Limburg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284.820,00</w:t>
            </w:r>
          </w:p>
        </w:tc>
      </w:tr>
      <w:tr w:rsidR="00F70EDF" w:rsidRPr="003C5C4F" w:rsidTr="00395845">
        <w:trPr>
          <w:trHeight w:val="300"/>
        </w:trPr>
        <w:tc>
          <w:tcPr>
            <w:tcW w:w="2567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Oost-Vlaanderen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240.527,50</w:t>
            </w:r>
          </w:p>
        </w:tc>
      </w:tr>
      <w:tr w:rsidR="00F70EDF" w:rsidRPr="003C5C4F" w:rsidTr="00395845">
        <w:trPr>
          <w:trHeight w:val="300"/>
        </w:trPr>
        <w:tc>
          <w:tcPr>
            <w:tcW w:w="2567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Vlaams-Brabant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168.385,00</w:t>
            </w:r>
          </w:p>
        </w:tc>
      </w:tr>
      <w:tr w:rsidR="00F70EDF" w:rsidRPr="003C5C4F" w:rsidTr="00395845">
        <w:trPr>
          <w:trHeight w:val="300"/>
        </w:trPr>
        <w:tc>
          <w:tcPr>
            <w:tcW w:w="2567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West-Vlaanderen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color w:val="000000"/>
                <w:szCs w:val="22"/>
                <w:lang w:val="nl-BE" w:eastAsia="nl-BE"/>
              </w:rPr>
            </w:pPr>
            <w:r w:rsidRPr="003C5C4F">
              <w:rPr>
                <w:color w:val="000000"/>
                <w:sz w:val="22"/>
                <w:szCs w:val="22"/>
                <w:lang w:val="nl-BE" w:eastAsia="nl-BE"/>
              </w:rPr>
              <w:t>323.820,00</w:t>
            </w:r>
          </w:p>
        </w:tc>
      </w:tr>
      <w:tr w:rsidR="00F70EDF" w:rsidRPr="003C5C4F" w:rsidTr="00395845">
        <w:trPr>
          <w:trHeight w:val="315"/>
        </w:trPr>
        <w:tc>
          <w:tcPr>
            <w:tcW w:w="2567" w:type="dxa"/>
            <w:shd w:val="clear" w:color="auto" w:fill="auto"/>
            <w:vAlign w:val="bottom"/>
            <w:hideMark/>
          </w:tcPr>
          <w:p w:rsidR="00F70EDF" w:rsidRPr="003C5C4F" w:rsidRDefault="00F70EDF" w:rsidP="00395845">
            <w:pPr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:rsidR="00F70EDF" w:rsidRPr="003C5C4F" w:rsidRDefault="00F70EDF" w:rsidP="00395845">
            <w:pPr>
              <w:jc w:val="right"/>
              <w:rPr>
                <w:b/>
                <w:color w:val="000000"/>
                <w:szCs w:val="22"/>
                <w:lang w:val="nl-BE" w:eastAsia="nl-BE"/>
              </w:rPr>
            </w:pPr>
            <w:r w:rsidRPr="003C5C4F">
              <w:rPr>
                <w:b/>
                <w:color w:val="000000"/>
                <w:sz w:val="22"/>
                <w:szCs w:val="22"/>
                <w:lang w:val="nl-BE" w:eastAsia="nl-BE"/>
              </w:rPr>
              <w:t>1.299.702,50</w:t>
            </w:r>
          </w:p>
        </w:tc>
      </w:tr>
    </w:tbl>
    <w:p w:rsidR="00F70EDF" w:rsidRPr="003C5C4F" w:rsidRDefault="00F70EDF" w:rsidP="00F70EDF">
      <w:pPr>
        <w:pStyle w:val="StandaardSV"/>
        <w:rPr>
          <w:szCs w:val="22"/>
        </w:rPr>
      </w:pPr>
    </w:p>
    <w:p w:rsidR="00F70EDF" w:rsidRPr="003C5C4F" w:rsidRDefault="00F70EDF" w:rsidP="00F70EDF">
      <w:pPr>
        <w:pStyle w:val="StandaardSV"/>
        <w:rPr>
          <w:szCs w:val="22"/>
        </w:rPr>
      </w:pPr>
      <w:r w:rsidRPr="003C5C4F">
        <w:rPr>
          <w:szCs w:val="22"/>
        </w:rPr>
        <w:t>De gegevens van 2013 zijn nog niet beschikbaar</w:t>
      </w:r>
      <w:r w:rsidR="003D751A">
        <w:rPr>
          <w:szCs w:val="22"/>
        </w:rPr>
        <w:t>.</w:t>
      </w:r>
    </w:p>
    <w:sectPr w:rsidR="00F70EDF" w:rsidRPr="003C5C4F" w:rsidSect="00F0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4B1A"/>
    <w:multiLevelType w:val="hybridMultilevel"/>
    <w:tmpl w:val="14F68A32"/>
    <w:lvl w:ilvl="0" w:tplc="14A8F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50EB"/>
    <w:rsid w:val="001616A5"/>
    <w:rsid w:val="003C5C4F"/>
    <w:rsid w:val="003D751A"/>
    <w:rsid w:val="004E45E1"/>
    <w:rsid w:val="00523A10"/>
    <w:rsid w:val="00952009"/>
    <w:rsid w:val="00A7298B"/>
    <w:rsid w:val="00B07871"/>
    <w:rsid w:val="00B53909"/>
    <w:rsid w:val="00D7191D"/>
    <w:rsid w:val="00DC50EB"/>
    <w:rsid w:val="00DF556D"/>
    <w:rsid w:val="00EF3E70"/>
    <w:rsid w:val="00F06DB2"/>
    <w:rsid w:val="00F70EDF"/>
    <w:rsid w:val="00FF2189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0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C50EB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DC50EB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DC50E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3C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0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DC50EB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DC50EB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DC50EB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wro</cp:lastModifiedBy>
  <cp:revision>4</cp:revision>
  <dcterms:created xsi:type="dcterms:W3CDTF">2013-11-07T09:25:00Z</dcterms:created>
  <dcterms:modified xsi:type="dcterms:W3CDTF">2013-11-18T08:55:00Z</dcterms:modified>
</cp:coreProperties>
</file>