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25650" w:rsidRPr="00FE7D39" w:rsidTr="00225650">
        <w:trPr>
          <w:trHeight w:hRule="exact" w:val="284"/>
        </w:trPr>
        <w:tc>
          <w:tcPr>
            <w:tcW w:w="4676" w:type="dxa"/>
          </w:tcPr>
          <w:p w:rsidR="00225650" w:rsidRDefault="00225650" w:rsidP="008C4E02">
            <w:bookmarkStart w:id="0" w:name="_GoBack"/>
            <w:bookmarkEnd w:id="0"/>
          </w:p>
        </w:tc>
        <w:tc>
          <w:tcPr>
            <w:tcW w:w="4676" w:type="dxa"/>
            <w:shd w:val="clear" w:color="auto" w:fill="C00076"/>
            <w:vAlign w:val="center"/>
          </w:tcPr>
          <w:p w:rsidR="00225650" w:rsidRPr="00FE7D39" w:rsidRDefault="00753FD6" w:rsidP="002A256B">
            <w:pPr>
              <w:jc w:val="right"/>
              <w:rPr>
                <w:b/>
                <w:color w:val="FFFFFF" w:themeColor="background1"/>
              </w:rPr>
            </w:pPr>
            <w:r>
              <w:rPr>
                <w:b/>
                <w:color w:val="FFFFFF" w:themeColor="background1"/>
              </w:rPr>
              <w:t>Nota</w:t>
            </w:r>
            <w:r w:rsidR="00225650" w:rsidRPr="00FE7D39">
              <w:rPr>
                <w:b/>
                <w:color w:val="FFFFFF" w:themeColor="background1"/>
              </w:rPr>
              <w:t xml:space="preserve"> </w:t>
            </w:r>
          </w:p>
        </w:tc>
      </w:tr>
      <w:tr w:rsidR="00225650" w:rsidTr="00CD407C">
        <w:trPr>
          <w:trHeight w:hRule="exact" w:val="284"/>
        </w:trPr>
        <w:sdt>
          <w:sdtPr>
            <w:id w:val="-376158666"/>
            <w:lock w:val="sdtLocked"/>
            <w:placeholder>
              <w:docPart w:val="E784DE766E3942F782E57BE290B90626"/>
            </w:placeholder>
            <w:date w:fullDate="2013-11-08T00:00:00Z">
              <w:dateFormat w:val="d MMMM yyyy"/>
              <w:lid w:val="nl-BE"/>
              <w:storeMappedDataAs w:val="dateTime"/>
              <w:calendar w:val="gregorian"/>
            </w:date>
          </w:sdtPr>
          <w:sdtEndPr/>
          <w:sdtContent>
            <w:tc>
              <w:tcPr>
                <w:tcW w:w="9352" w:type="dxa"/>
                <w:gridSpan w:val="2"/>
                <w:vAlign w:val="center"/>
              </w:tcPr>
              <w:p w:rsidR="00225650" w:rsidRDefault="002A256B" w:rsidP="002A256B">
                <w:pPr>
                  <w:jc w:val="right"/>
                </w:pPr>
                <w:r>
                  <w:t>8 november 2013</w:t>
                </w:r>
              </w:p>
            </w:tc>
          </w:sdtContent>
        </w:sdt>
      </w:tr>
      <w:tr w:rsidR="00953EB0" w:rsidTr="00953EB0">
        <w:trPr>
          <w:trHeight w:val="284"/>
        </w:trPr>
        <w:tc>
          <w:tcPr>
            <w:tcW w:w="9352" w:type="dxa"/>
            <w:gridSpan w:val="2"/>
            <w:vAlign w:val="center"/>
          </w:tcPr>
          <w:p w:rsidR="00953EB0" w:rsidRDefault="003E6F51" w:rsidP="002A256B">
            <w:pPr>
              <w:jc w:val="right"/>
            </w:pPr>
            <w:r>
              <w:t>G</w:t>
            </w:r>
            <w:r w:rsidR="00953EB0">
              <w:t xml:space="preserve">ericht aan </w:t>
            </w:r>
            <w:r w:rsidR="002A256B">
              <w:t>kabinet WVG</w:t>
            </w:r>
          </w:p>
        </w:tc>
      </w:tr>
      <w:tr w:rsidR="00225650" w:rsidRPr="007E0ACB" w:rsidTr="00C009E2">
        <w:trPr>
          <w:trHeight w:val="992"/>
        </w:trPr>
        <w:tc>
          <w:tcPr>
            <w:tcW w:w="9352" w:type="dxa"/>
            <w:gridSpan w:val="2"/>
            <w:vAlign w:val="bottom"/>
          </w:tcPr>
          <w:p w:rsidR="00225650" w:rsidRPr="00161A0D" w:rsidRDefault="00161A0D" w:rsidP="00753FD6">
            <w:pPr>
              <w:pStyle w:val="Onderwerpomzendbrief"/>
              <w:rPr>
                <w:lang w:val="nl-BE"/>
              </w:rPr>
            </w:pPr>
            <w:r w:rsidRPr="00161A0D">
              <w:rPr>
                <w:rFonts w:ascii="Arial" w:hAnsi="Arial" w:cs="Arial"/>
                <w:color w:val="222222"/>
                <w:szCs w:val="20"/>
                <w:shd w:val="clear" w:color="auto" w:fill="FFFFFF"/>
                <w:lang w:val="nl-BE"/>
              </w:rPr>
              <w:t>Info over projecten DOP – GZAT</w:t>
            </w:r>
          </w:p>
        </w:tc>
      </w:tr>
    </w:tbl>
    <w:p w:rsidR="00E97BB0" w:rsidRDefault="00E97BB0" w:rsidP="00E97BB0"/>
    <w:p w:rsidR="002A256B" w:rsidRDefault="002A256B" w:rsidP="002A256B">
      <w:pPr>
        <w:rPr>
          <w:szCs w:val="20"/>
        </w:rPr>
      </w:pPr>
    </w:p>
    <w:p w:rsidR="002A256B" w:rsidRDefault="002A256B" w:rsidP="002A256B">
      <w:pPr>
        <w:rPr>
          <w:szCs w:val="20"/>
        </w:rPr>
      </w:pPr>
    </w:p>
    <w:p w:rsidR="002A256B" w:rsidRPr="002A256B" w:rsidRDefault="002A256B" w:rsidP="002A256B">
      <w:pPr>
        <w:rPr>
          <w:szCs w:val="20"/>
        </w:rPr>
      </w:pPr>
      <w:r w:rsidRPr="002A256B">
        <w:rPr>
          <w:szCs w:val="20"/>
        </w:rPr>
        <w:t>Via de Diensten Ondersteuningsplan (DOP) werd eind 2012 €500.000 projectsubsidies toegekend aan de Diensten Gezinszorg en Aanvullende Thuiszorg (DGAT) om hun werking meer af te stemmen op personen met een handicap. De zes DOP’s werkten samen met DGAT’s uit hun regio een projectvoorstel uit voor de besteding van deze middelen. Als bijlage wordt per provincie een korte beschrijving van het projectvoorstel toegevoegd. De projectmiddelen werden éénmalig toegekend, maar bij de operationalisering van de projectvoorstellen werd van de DOP’s en de DGAT’s verwacht dat ze zelf een realistische inschatting zouden maken van de benodigde tijd om hun project op te starten en uit te voeren. Bijgevolg zijn er regionale verschillen in de looptijd van de verschillende projecten. In bijlage 2 vindt u een overzicht van de looptijd per project.</w:t>
      </w:r>
    </w:p>
    <w:p w:rsidR="002A256B" w:rsidRPr="002A256B" w:rsidRDefault="002A256B" w:rsidP="002A256B">
      <w:pPr>
        <w:rPr>
          <w:szCs w:val="20"/>
        </w:rPr>
      </w:pPr>
    </w:p>
    <w:p w:rsidR="002A256B" w:rsidRPr="002A256B" w:rsidRDefault="002A256B" w:rsidP="002A256B">
      <w:pPr>
        <w:rPr>
          <w:szCs w:val="20"/>
        </w:rPr>
      </w:pPr>
      <w:r w:rsidRPr="002A256B">
        <w:rPr>
          <w:szCs w:val="20"/>
        </w:rPr>
        <w:t>De verschillende projecten worden inhoudelijk, organisatorisch en financieel opgevolgd door een stuurgroep die per project werd opgericht en waaraan de betrokken partners kunnen participeren.  Naast een financieel verslag dient men per project eveneens een inhoudelijk verslag aan het VAPH te bezorgen.</w:t>
      </w:r>
    </w:p>
    <w:p w:rsidR="002A256B" w:rsidRPr="002A256B" w:rsidRDefault="002A256B" w:rsidP="002A256B">
      <w:pPr>
        <w:rPr>
          <w:szCs w:val="20"/>
        </w:rPr>
      </w:pPr>
    </w:p>
    <w:p w:rsidR="002A256B" w:rsidRPr="002A256B" w:rsidRDefault="002A256B" w:rsidP="002A256B">
      <w:pPr>
        <w:rPr>
          <w:szCs w:val="20"/>
        </w:rPr>
      </w:pPr>
      <w:r w:rsidRPr="002A256B">
        <w:rPr>
          <w:szCs w:val="20"/>
        </w:rPr>
        <w:t>Er wordt verwacht dat deze samenwerking ervoor zal zorgen dat de instroom van personen met een handicap bij de DGAT’s zal vergroten en dat deze diensten erin zullen slagen om meer zorg op maat van personen met een handicap te verstrekken.</w:t>
      </w:r>
    </w:p>
    <w:p w:rsidR="002A256B" w:rsidRDefault="002A256B" w:rsidP="002A256B">
      <w:pPr>
        <w:jc w:val="both"/>
      </w:pPr>
    </w:p>
    <w:p w:rsidR="002A256B" w:rsidRDefault="002A256B" w:rsidP="002A256B">
      <w:pPr>
        <w:jc w:val="both"/>
      </w:pPr>
    </w:p>
    <w:p w:rsidR="002A256B" w:rsidRDefault="002A256B" w:rsidP="002A256B">
      <w:pPr>
        <w:jc w:val="both"/>
      </w:pPr>
    </w:p>
    <w:p w:rsidR="002A256B" w:rsidRDefault="002A256B" w:rsidP="002A256B">
      <w:pPr>
        <w:jc w:val="both"/>
      </w:pPr>
    </w:p>
    <w:p w:rsidR="002A256B" w:rsidRDefault="002A256B" w:rsidP="002A256B">
      <w:pPr>
        <w:jc w:val="both"/>
      </w:pPr>
    </w:p>
    <w:p w:rsidR="002A256B" w:rsidRDefault="002A256B" w:rsidP="002A256B">
      <w:pPr>
        <w:rPr>
          <w:rFonts w:asciiTheme="majorHAnsi" w:eastAsiaTheme="majorEastAsia" w:hAnsiTheme="majorHAnsi" w:cstheme="majorBidi"/>
          <w:b/>
          <w:bCs/>
          <w:color w:val="5F5F5F"/>
          <w:sz w:val="28"/>
          <w:szCs w:val="28"/>
        </w:rPr>
      </w:pPr>
      <w:r>
        <w:br w:type="page"/>
      </w:r>
    </w:p>
    <w:p w:rsidR="002A256B" w:rsidRDefault="002A256B" w:rsidP="002A256B">
      <w:pPr>
        <w:pStyle w:val="Kop1"/>
        <w:numPr>
          <w:ilvl w:val="0"/>
          <w:numId w:val="0"/>
        </w:numPr>
        <w:ind w:left="432" w:hanging="432"/>
      </w:pPr>
      <w:r>
        <w:lastRenderedPageBreak/>
        <w:t>Bijlage 1: Korte beschrijving projectvoorstellen per provincie</w:t>
      </w:r>
    </w:p>
    <w:p w:rsidR="002A256B" w:rsidRPr="00B86486" w:rsidRDefault="002A256B" w:rsidP="002A256B">
      <w:pPr>
        <w:pStyle w:val="Kop2"/>
      </w:pPr>
      <w:r>
        <w:t>Antwerpen:</w:t>
      </w:r>
    </w:p>
    <w:p w:rsidR="002A256B" w:rsidRPr="00B260F5" w:rsidRDefault="002A256B" w:rsidP="002A256B">
      <w:pPr>
        <w:jc w:val="both"/>
      </w:pPr>
      <w:r w:rsidRPr="00B260F5">
        <w:t>DOP OpMaat Antwerpen en DOP ‘Traject Antwerpen dienden beiden een projectvoorstel in, maar aangezien ze in dezelfde provincie werkzaam zijn, zullen ze binnen dit project nauw met elkaar samenwerken. In Antwerpen werden volgende projectthema’s weerhouden:</w:t>
      </w:r>
    </w:p>
    <w:p w:rsidR="002A256B" w:rsidRPr="00B86486" w:rsidRDefault="002A256B" w:rsidP="002A256B">
      <w:pPr>
        <w:pStyle w:val="Lijstalinea"/>
        <w:rPr>
          <w:szCs w:val="22"/>
        </w:rPr>
      </w:pPr>
    </w:p>
    <w:p w:rsidR="002A256B" w:rsidRDefault="002A256B" w:rsidP="002A256B">
      <w:pPr>
        <w:numPr>
          <w:ilvl w:val="0"/>
          <w:numId w:val="11"/>
        </w:numPr>
        <w:jc w:val="both"/>
      </w:pPr>
      <w:r w:rsidRPr="00B86486">
        <w:t>Kennismaking met diensten en met beperkingen: Er zullen zowel bij de DOP’s als de diensten gezinszorg en aanvullende thuiszorg (DGAT) inleefmomenten, infomomenten en werkbezoeken worden georganiseerd om elkaars werking beter te leren kennen. Met betrekking tot de deskundigheidsbevordering van de medewerkers van de DGAT’s worden onder andere vormingsmomenten, intervisiemomenten en casusbesprekingen georganiseerd.</w:t>
      </w:r>
    </w:p>
    <w:p w:rsidR="002A256B" w:rsidRPr="00B86486" w:rsidRDefault="002A256B" w:rsidP="002A256B">
      <w:pPr>
        <w:ind w:left="720"/>
        <w:jc w:val="both"/>
      </w:pPr>
    </w:p>
    <w:p w:rsidR="002A256B" w:rsidRDefault="002A256B" w:rsidP="002A256B">
      <w:pPr>
        <w:numPr>
          <w:ilvl w:val="0"/>
          <w:numId w:val="11"/>
        </w:numPr>
        <w:jc w:val="both"/>
      </w:pPr>
      <w:r w:rsidRPr="00B86486">
        <w:t>Afstemming van de kernprocessen: Men wenst te werken aan een goede afstemming en vlotte doorstroom van cliënten tussen de DOP’s en DGAT’s.</w:t>
      </w:r>
    </w:p>
    <w:p w:rsidR="002A256B" w:rsidRDefault="002A256B" w:rsidP="002A256B">
      <w:pPr>
        <w:pStyle w:val="Lijstalinea"/>
        <w:rPr>
          <w:szCs w:val="22"/>
        </w:rPr>
      </w:pPr>
    </w:p>
    <w:p w:rsidR="002A256B" w:rsidRPr="00927610" w:rsidRDefault="002A256B" w:rsidP="002A256B">
      <w:pPr>
        <w:pStyle w:val="Lijstalinea"/>
        <w:numPr>
          <w:ilvl w:val="0"/>
          <w:numId w:val="11"/>
        </w:numPr>
        <w:jc w:val="both"/>
        <w:rPr>
          <w:szCs w:val="22"/>
        </w:rPr>
      </w:pPr>
      <w:r w:rsidRPr="00927610">
        <w:rPr>
          <w:szCs w:val="22"/>
        </w:rPr>
        <w:t>De projecten worden opgevolgd door een stuurgroep waaraan alle partners participeren. Deze stuurgroep komst minstens per kwartaal samen voor de inhoudelijke, organisatorische en financiële opvolging van het project. Ze inventariseert de knelpunten en drempels en samen wordt naar een oplossing gezocht om de samenwerking te optimaliseren.</w:t>
      </w:r>
    </w:p>
    <w:p w:rsidR="002A256B" w:rsidRDefault="002A256B" w:rsidP="002A256B">
      <w:pPr>
        <w:ind w:left="720"/>
        <w:jc w:val="both"/>
      </w:pPr>
    </w:p>
    <w:p w:rsidR="002A256B" w:rsidRPr="00B86486" w:rsidRDefault="002A256B" w:rsidP="002A256B">
      <w:pPr>
        <w:ind w:left="360"/>
        <w:jc w:val="both"/>
        <w:rPr>
          <w:b/>
        </w:rPr>
      </w:pPr>
      <w:r w:rsidRPr="00B86486">
        <w:rPr>
          <w:b/>
        </w:rPr>
        <w:t>DOP OpMaat Antwerpen en DOP ‘Traject Antwerpen kregen ieder €66.421 projectsubsidie toegewezen.</w:t>
      </w:r>
    </w:p>
    <w:p w:rsidR="002A256B" w:rsidRPr="00B86486" w:rsidRDefault="002A256B" w:rsidP="002A256B">
      <w:pPr>
        <w:jc w:val="both"/>
      </w:pPr>
    </w:p>
    <w:p w:rsidR="002A256B" w:rsidRDefault="002A256B" w:rsidP="002A256B">
      <w:pPr>
        <w:pStyle w:val="Kop2"/>
      </w:pPr>
      <w:r w:rsidRPr="00B86486">
        <w:t>DOP Vlaams-Brabant en Brussel</w:t>
      </w:r>
    </w:p>
    <w:p w:rsidR="002A256B" w:rsidRDefault="002A256B" w:rsidP="002A256B">
      <w:r w:rsidRPr="00B86486">
        <w:t>DOP Vlaams-Brabant en Brussel formuleerde vier projectdoelstellingen:</w:t>
      </w:r>
    </w:p>
    <w:p w:rsidR="002A256B" w:rsidRPr="00B86486" w:rsidRDefault="002A256B" w:rsidP="002A256B">
      <w:pPr>
        <w:ind w:firstLine="360"/>
        <w:jc w:val="both"/>
      </w:pPr>
    </w:p>
    <w:p w:rsidR="002A256B" w:rsidRPr="00B86486" w:rsidRDefault="002A256B" w:rsidP="002A256B">
      <w:pPr>
        <w:numPr>
          <w:ilvl w:val="0"/>
          <w:numId w:val="11"/>
        </w:numPr>
        <w:jc w:val="both"/>
      </w:pPr>
      <w:r w:rsidRPr="00B86486">
        <w:t xml:space="preserve">Betere bekendheid van de DGAT’s bij de medewerkers van de DOP’s en via hen bij de personen met een handicap als voorwaarde om een betere doorstroom van personen met een handicap naar de reguliere dienstverlening te bewerkstelligen. </w:t>
      </w:r>
    </w:p>
    <w:p w:rsidR="002A256B" w:rsidRDefault="002A256B" w:rsidP="002A256B">
      <w:pPr>
        <w:ind w:left="720"/>
        <w:jc w:val="both"/>
      </w:pPr>
      <w:r w:rsidRPr="00B86486">
        <w:t>Men wenst dit te realiseren door een voorstelling van de verschillende DGAT’s aan de DOP’s en eventueel het organiseren van inleefmomenten en meeloopstages.</w:t>
      </w:r>
    </w:p>
    <w:p w:rsidR="002A256B" w:rsidRPr="00B86486" w:rsidRDefault="002A256B" w:rsidP="002A256B">
      <w:pPr>
        <w:ind w:left="720"/>
        <w:jc w:val="both"/>
      </w:pPr>
    </w:p>
    <w:p w:rsidR="002A256B" w:rsidRPr="00B86486" w:rsidRDefault="002A256B" w:rsidP="002A256B">
      <w:pPr>
        <w:numPr>
          <w:ilvl w:val="0"/>
          <w:numId w:val="11"/>
        </w:numPr>
        <w:jc w:val="both"/>
      </w:pPr>
      <w:r w:rsidRPr="00B86486">
        <w:t>Snelle en kwalitatieve toeleiding van personen met een handicap van de DOP’s naar de DGAT’s en omgekeerd.</w:t>
      </w:r>
    </w:p>
    <w:p w:rsidR="002A256B" w:rsidRDefault="002A256B" w:rsidP="002A256B">
      <w:pPr>
        <w:ind w:left="720"/>
        <w:jc w:val="both"/>
      </w:pPr>
      <w:r w:rsidRPr="00B86486">
        <w:t>Prioritaire behandeling van de toeleiding van personen met een handicap naar DGAT’s zou toelaten om op korte termijn expertise uit te bouwen. Voor een succesvolle toeleiding zijn goede informatiedoorstroming en duidelijke afspraken tussen DOP en DGAT belangrijk.</w:t>
      </w:r>
    </w:p>
    <w:p w:rsidR="002A256B" w:rsidRPr="00B86486" w:rsidRDefault="002A256B" w:rsidP="002A256B">
      <w:pPr>
        <w:ind w:left="720"/>
        <w:jc w:val="both"/>
      </w:pPr>
    </w:p>
    <w:p w:rsidR="002A256B" w:rsidRPr="00B86486" w:rsidRDefault="002A256B" w:rsidP="002A256B">
      <w:pPr>
        <w:numPr>
          <w:ilvl w:val="0"/>
          <w:numId w:val="11"/>
        </w:numPr>
        <w:jc w:val="both"/>
      </w:pPr>
      <w:r w:rsidRPr="00B86486">
        <w:t>Coaching van de medewerkers van de DGAT’s in de omgang met personen met een handicap.</w:t>
      </w:r>
    </w:p>
    <w:p w:rsidR="002A256B" w:rsidRDefault="002A256B" w:rsidP="002A256B">
      <w:pPr>
        <w:ind w:left="720"/>
        <w:jc w:val="both"/>
      </w:pPr>
      <w:r w:rsidRPr="00B86486">
        <w:t>Mogelijke acties hierbij zijn begeleiding door interne deskundigen, vorming, outreach via diensten begeleid wonen of thuisbegeleiding, extra contacten op het terrein met medewerkers van de DOP.</w:t>
      </w:r>
    </w:p>
    <w:p w:rsidR="002A256B" w:rsidRDefault="002A256B" w:rsidP="002A256B">
      <w:pPr>
        <w:ind w:left="720"/>
        <w:jc w:val="both"/>
      </w:pPr>
    </w:p>
    <w:p w:rsidR="002A256B" w:rsidRPr="00B86486" w:rsidRDefault="002A256B" w:rsidP="002A256B">
      <w:pPr>
        <w:numPr>
          <w:ilvl w:val="0"/>
          <w:numId w:val="11"/>
        </w:numPr>
        <w:jc w:val="both"/>
      </w:pPr>
      <w:r w:rsidRPr="00B86486">
        <w:t>Samenwerking op beleidsniveau stimuleren.</w:t>
      </w:r>
    </w:p>
    <w:p w:rsidR="002A256B" w:rsidRDefault="002A256B" w:rsidP="002A256B">
      <w:pPr>
        <w:ind w:left="720"/>
        <w:jc w:val="both"/>
      </w:pPr>
      <w:r w:rsidRPr="00B86486">
        <w:t>De DGAT’s maken ieder kwartaal een stand van zaken op met hun bevindingen rond de samenwerking op het terrein. Hierin komen zowel succesverhalen als knelpunten aan bod. De stuurgroep zorgt voor de inhoudelijke opvolging van de actieplannen van de verschillende partners, wijst de middelen toe en bespreekt de cijfergegevens m.b.t. tot de toeleiding en de bevindingen van de DGAT’s.</w:t>
      </w:r>
    </w:p>
    <w:p w:rsidR="002A256B" w:rsidRPr="00B86486" w:rsidRDefault="002A256B" w:rsidP="002A256B">
      <w:pPr>
        <w:ind w:left="720"/>
        <w:jc w:val="both"/>
      </w:pPr>
    </w:p>
    <w:p w:rsidR="002A256B" w:rsidRPr="00B86486" w:rsidRDefault="002A256B" w:rsidP="002A256B">
      <w:pPr>
        <w:jc w:val="both"/>
        <w:rPr>
          <w:b/>
        </w:rPr>
      </w:pPr>
      <w:r w:rsidRPr="00B86486">
        <w:rPr>
          <w:b/>
        </w:rPr>
        <w:t>De subsidie voor DOP Vlaams-Brabant en Brussel om dit uit te werken bedraagt €107.053.</w:t>
      </w:r>
    </w:p>
    <w:p w:rsidR="002A256B" w:rsidRPr="00B86486" w:rsidRDefault="002A256B" w:rsidP="002A256B">
      <w:pPr>
        <w:jc w:val="both"/>
      </w:pPr>
    </w:p>
    <w:p w:rsidR="002A256B" w:rsidRDefault="002A256B" w:rsidP="002A256B">
      <w:pPr>
        <w:pStyle w:val="Kop2"/>
        <w:rPr>
          <w:lang w:val="nl-BE" w:eastAsia="nl-BE"/>
        </w:rPr>
      </w:pPr>
      <w:r>
        <w:rPr>
          <w:lang w:val="nl-BE" w:eastAsia="nl-BE"/>
        </w:rPr>
        <w:lastRenderedPageBreak/>
        <w:t>Oost-Vlaanderen</w:t>
      </w:r>
    </w:p>
    <w:p w:rsidR="002A256B" w:rsidRDefault="002A256B" w:rsidP="002A256B">
      <w:pPr>
        <w:autoSpaceDE w:val="0"/>
        <w:autoSpaceDN w:val="0"/>
        <w:adjustRightInd w:val="0"/>
        <w:jc w:val="both"/>
        <w:rPr>
          <w:bCs/>
          <w:color w:val="000000"/>
          <w:lang w:eastAsia="nl-BE"/>
        </w:rPr>
      </w:pPr>
      <w:r w:rsidRPr="00B86486">
        <w:rPr>
          <w:bCs/>
          <w:color w:val="000000"/>
          <w:lang w:eastAsia="nl-BE"/>
        </w:rPr>
        <w:t xml:space="preserve">Het project van DOP Oost-Vlaanderen onderneemt drie acties. De deelnemende DGAT’s engageren zich voor deelname aan de stuurgroep, kunnen intekenen op actie 1 en/of 2 en participeren aan actie 3. </w:t>
      </w:r>
    </w:p>
    <w:p w:rsidR="002A256B" w:rsidRPr="00B86486" w:rsidRDefault="002A256B" w:rsidP="002A256B">
      <w:pPr>
        <w:autoSpaceDE w:val="0"/>
        <w:autoSpaceDN w:val="0"/>
        <w:adjustRightInd w:val="0"/>
        <w:jc w:val="both"/>
        <w:rPr>
          <w:color w:val="000000"/>
          <w:lang w:eastAsia="nl-BE"/>
        </w:rPr>
      </w:pPr>
    </w:p>
    <w:p w:rsidR="002A256B" w:rsidRPr="00B86486" w:rsidRDefault="002A256B" w:rsidP="002A256B">
      <w:pPr>
        <w:numPr>
          <w:ilvl w:val="0"/>
          <w:numId w:val="11"/>
        </w:numPr>
        <w:autoSpaceDE w:val="0"/>
        <w:autoSpaceDN w:val="0"/>
        <w:adjustRightInd w:val="0"/>
        <w:jc w:val="both"/>
        <w:rPr>
          <w:color w:val="000000"/>
          <w:lang w:eastAsia="nl-BE"/>
        </w:rPr>
      </w:pPr>
      <w:r w:rsidRPr="00B86486">
        <w:rPr>
          <w:bCs/>
          <w:color w:val="000000"/>
          <w:lang w:eastAsia="nl-BE"/>
        </w:rPr>
        <w:t xml:space="preserve">1: Cliëntgericht advies en coaching van medewerkers van DGAT’s door externe deskundigen met handicapspecifieke expertise via een proces van outreach. </w:t>
      </w:r>
    </w:p>
    <w:p w:rsidR="002A256B" w:rsidRPr="00B86486" w:rsidRDefault="002A256B" w:rsidP="002A256B">
      <w:pPr>
        <w:numPr>
          <w:ilvl w:val="0"/>
          <w:numId w:val="11"/>
        </w:numPr>
        <w:autoSpaceDE w:val="0"/>
        <w:autoSpaceDN w:val="0"/>
        <w:adjustRightInd w:val="0"/>
        <w:jc w:val="both"/>
        <w:rPr>
          <w:bCs/>
          <w:color w:val="000000"/>
          <w:lang w:eastAsia="nl-BE"/>
        </w:rPr>
      </w:pPr>
      <w:r w:rsidRPr="00B86486">
        <w:rPr>
          <w:bCs/>
          <w:color w:val="000000"/>
          <w:lang w:eastAsia="nl-BE"/>
        </w:rPr>
        <w:t xml:space="preserve">2: Deskundigheidsverhoging via intervisie voor begeleidend personeel van de DGAT’s en outreach door de diensten thuisbegeleiding en eventuele andere externe deskundigen. </w:t>
      </w:r>
    </w:p>
    <w:p w:rsidR="002A256B" w:rsidRPr="00B86486" w:rsidRDefault="002A256B" w:rsidP="002A256B">
      <w:pPr>
        <w:numPr>
          <w:ilvl w:val="0"/>
          <w:numId w:val="11"/>
        </w:numPr>
        <w:autoSpaceDE w:val="0"/>
        <w:autoSpaceDN w:val="0"/>
        <w:adjustRightInd w:val="0"/>
        <w:jc w:val="both"/>
        <w:rPr>
          <w:color w:val="000000"/>
          <w:lang w:eastAsia="nl-BE"/>
        </w:rPr>
      </w:pPr>
      <w:r w:rsidRPr="00B86486">
        <w:rPr>
          <w:bCs/>
          <w:color w:val="000000"/>
          <w:lang w:eastAsia="nl-BE"/>
        </w:rPr>
        <w:t xml:space="preserve">3: Evaluatie: Het project voorziet in een resultaatsgerichte bevraging per deelnemende DGAT over de ervaren meerwaarde van de verschillende acties en wat nodig is om deze acties te continueren. De resultaten van deze bevraging worden verwerkt in een rapport en teruggekoppeld naar de stuurgroep, die de bevindingen en de aanbevelingen bespreekt. </w:t>
      </w:r>
    </w:p>
    <w:p w:rsidR="002A256B" w:rsidRPr="00B86486" w:rsidRDefault="002A256B" w:rsidP="002A256B">
      <w:pPr>
        <w:autoSpaceDE w:val="0"/>
        <w:autoSpaceDN w:val="0"/>
        <w:adjustRightInd w:val="0"/>
        <w:ind w:left="720"/>
        <w:jc w:val="both"/>
        <w:rPr>
          <w:color w:val="000000"/>
          <w:lang w:eastAsia="nl-BE"/>
        </w:rPr>
      </w:pPr>
    </w:p>
    <w:p w:rsidR="002A256B" w:rsidRPr="00B86486" w:rsidRDefault="002A256B" w:rsidP="002A256B">
      <w:pPr>
        <w:autoSpaceDE w:val="0"/>
        <w:autoSpaceDN w:val="0"/>
        <w:adjustRightInd w:val="0"/>
        <w:jc w:val="both"/>
        <w:rPr>
          <w:b/>
          <w:color w:val="000000"/>
          <w:lang w:eastAsia="nl-BE"/>
        </w:rPr>
      </w:pPr>
      <w:r w:rsidRPr="00B86486">
        <w:rPr>
          <w:b/>
          <w:color w:val="000000"/>
          <w:lang w:eastAsia="nl-BE"/>
        </w:rPr>
        <w:t>Aan DOP Oost-Vlaanderen werd een projectsubsidie van €108.834 toegekend.</w:t>
      </w:r>
    </w:p>
    <w:p w:rsidR="002A256B" w:rsidRPr="00B86486" w:rsidRDefault="002A256B" w:rsidP="002A256B">
      <w:pPr>
        <w:jc w:val="both"/>
      </w:pPr>
    </w:p>
    <w:p w:rsidR="002A256B" w:rsidRDefault="002A256B" w:rsidP="002A256B">
      <w:pPr>
        <w:pStyle w:val="Kop2"/>
      </w:pPr>
      <w:r>
        <w:t>West-Vlaanderen</w:t>
      </w:r>
    </w:p>
    <w:p w:rsidR="002A256B" w:rsidRDefault="002A256B" w:rsidP="002A256B">
      <w:pPr>
        <w:jc w:val="both"/>
      </w:pPr>
      <w:r w:rsidRPr="00B86486">
        <w:t>DOP West-Vlaanderen zet de projectsubsidies in om volgende doelstellingen te realiseren:</w:t>
      </w:r>
    </w:p>
    <w:p w:rsidR="002A256B" w:rsidRPr="00B86486" w:rsidRDefault="002A256B" w:rsidP="002A256B">
      <w:pPr>
        <w:jc w:val="both"/>
      </w:pPr>
    </w:p>
    <w:p w:rsidR="002A256B" w:rsidRPr="00B86486" w:rsidRDefault="002A256B" w:rsidP="002A256B">
      <w:pPr>
        <w:numPr>
          <w:ilvl w:val="0"/>
          <w:numId w:val="11"/>
        </w:numPr>
        <w:jc w:val="both"/>
      </w:pPr>
      <w:r w:rsidRPr="00B86486">
        <w:t>Kennismaking tussen de DGAT’s en de DOP door een toelichting van de visie, methodiek en het proces van DOP aan DGAT’s en omgekeerd, toekomstige verzorgenden in opleiding te laten kennismaken met de DOP, meeloopstages en inloopmomenten bij DGAT’s en de DOP te organiseren en een focusgroep met medewerkers van DOP en DGAT’s op te zetten.</w:t>
      </w:r>
    </w:p>
    <w:p w:rsidR="002A256B" w:rsidRPr="00B86486" w:rsidRDefault="002A256B" w:rsidP="002A256B">
      <w:pPr>
        <w:numPr>
          <w:ilvl w:val="0"/>
          <w:numId w:val="11"/>
        </w:numPr>
        <w:jc w:val="both"/>
      </w:pPr>
      <w:r w:rsidRPr="00B86486">
        <w:t>Het faciliteren en bevorderen van de samenwerking tussen de DOP en de DGAT, door het organiseren van contactpunten, cliëntoverleg en evaluatiemomenten over de samenwerking op basis van concrete ervaringen.</w:t>
      </w:r>
    </w:p>
    <w:p w:rsidR="002A256B" w:rsidRPr="00B86486" w:rsidRDefault="002A256B" w:rsidP="002A256B">
      <w:pPr>
        <w:numPr>
          <w:ilvl w:val="0"/>
          <w:numId w:val="11"/>
        </w:numPr>
        <w:jc w:val="both"/>
      </w:pPr>
      <w:r w:rsidRPr="00B86486">
        <w:t>De interne deskundigheid van DGAT’s over personen met een beperking bevorderen door het organiseren van vormingen, de inzet van interne deskundigen, intervisiemomenten en het opzetten van een focusgroep met medewerkers van de DGAT’s, de DOP en gebruikersorganisaties.</w:t>
      </w:r>
    </w:p>
    <w:p w:rsidR="002A256B" w:rsidRDefault="002A256B" w:rsidP="002A256B">
      <w:pPr>
        <w:numPr>
          <w:ilvl w:val="0"/>
          <w:numId w:val="11"/>
        </w:numPr>
        <w:jc w:val="both"/>
      </w:pPr>
      <w:r w:rsidRPr="00B86486">
        <w:t xml:space="preserve">De realisatie van een </w:t>
      </w:r>
      <w:proofErr w:type="spellStart"/>
      <w:r w:rsidRPr="00B86486">
        <w:t>outreachnetwerk</w:t>
      </w:r>
      <w:proofErr w:type="spellEnd"/>
      <w:r w:rsidRPr="00B86486">
        <w:t xml:space="preserve"> waarbij expertise wordt uitgewisseld tussen DGAT’s, DOP’s en VAPH-diensten en -voorzieningen. </w:t>
      </w:r>
    </w:p>
    <w:p w:rsidR="002A256B" w:rsidRPr="00B86486" w:rsidRDefault="002A256B" w:rsidP="002A256B">
      <w:pPr>
        <w:ind w:left="720"/>
        <w:jc w:val="both"/>
      </w:pPr>
    </w:p>
    <w:p w:rsidR="002A256B" w:rsidRPr="00B86486" w:rsidRDefault="002A256B" w:rsidP="002A256B">
      <w:pPr>
        <w:jc w:val="both"/>
      </w:pPr>
      <w:r w:rsidRPr="00B86486">
        <w:rPr>
          <w:b/>
        </w:rPr>
        <w:t>Voor de realisatie van deze doelstellingen werd aan DOP West-Vlaanderen €87.692 toegekend</w:t>
      </w:r>
      <w:r w:rsidRPr="00B86486">
        <w:t>.</w:t>
      </w:r>
    </w:p>
    <w:p w:rsidR="002A256B" w:rsidRPr="00B86486" w:rsidRDefault="002A256B" w:rsidP="002A256B">
      <w:pPr>
        <w:jc w:val="both"/>
      </w:pPr>
    </w:p>
    <w:p w:rsidR="002A256B" w:rsidRDefault="002A256B" w:rsidP="002A256B">
      <w:pPr>
        <w:pStyle w:val="Kop2"/>
      </w:pPr>
      <w:r>
        <w:t>Limburg</w:t>
      </w:r>
    </w:p>
    <w:p w:rsidR="002A256B" w:rsidRDefault="002A256B" w:rsidP="002A256B">
      <w:pPr>
        <w:jc w:val="both"/>
      </w:pPr>
      <w:r w:rsidRPr="00B86486">
        <w:t>DOP Limburg heeft volgende projectdoelstellingen:</w:t>
      </w:r>
    </w:p>
    <w:p w:rsidR="002A256B" w:rsidRPr="00B86486" w:rsidRDefault="002A256B" w:rsidP="002A256B">
      <w:pPr>
        <w:jc w:val="both"/>
      </w:pPr>
    </w:p>
    <w:p w:rsidR="002A256B" w:rsidRPr="00B86486" w:rsidRDefault="002A256B" w:rsidP="002A256B">
      <w:pPr>
        <w:numPr>
          <w:ilvl w:val="0"/>
          <w:numId w:val="11"/>
        </w:numPr>
        <w:jc w:val="both"/>
      </w:pPr>
      <w:r w:rsidRPr="00B86486">
        <w:t xml:space="preserve">Een communicatiestrategie opzetten waardoor zowel zorgvragers als doorverwijzers op de hoogte zijn van het zorgaanbod van de DGAT’s. </w:t>
      </w:r>
    </w:p>
    <w:p w:rsidR="002A256B" w:rsidRPr="00B86486" w:rsidRDefault="002A256B" w:rsidP="002A256B">
      <w:pPr>
        <w:numPr>
          <w:ilvl w:val="0"/>
          <w:numId w:val="11"/>
        </w:numPr>
        <w:jc w:val="both"/>
      </w:pPr>
      <w:r w:rsidRPr="00B86486">
        <w:t xml:space="preserve">Evaluatie op basis van een meting van de instroom en doorverwijzing en een meting van de afstemming tussen de zorgvraag en het effectieve aanbod. </w:t>
      </w:r>
    </w:p>
    <w:p w:rsidR="002A256B" w:rsidRPr="00B86486" w:rsidRDefault="002A256B" w:rsidP="002A256B">
      <w:pPr>
        <w:numPr>
          <w:ilvl w:val="0"/>
          <w:numId w:val="11"/>
        </w:numPr>
        <w:jc w:val="both"/>
      </w:pPr>
      <w:r w:rsidRPr="00B86486">
        <w:t xml:space="preserve">Het opzetten van een duurzame VTO-module aan de hand van outreach en expertise-uitwisseling tussen DGAT’s, DOP en VAPH-diensten en -voorzieningen. </w:t>
      </w:r>
    </w:p>
    <w:p w:rsidR="002A256B" w:rsidRDefault="002A256B" w:rsidP="002A256B">
      <w:pPr>
        <w:numPr>
          <w:ilvl w:val="0"/>
          <w:numId w:val="11"/>
        </w:numPr>
        <w:jc w:val="both"/>
      </w:pPr>
      <w:r w:rsidRPr="00B86486">
        <w:t xml:space="preserve">De ontwikkeling en implementatie van gemeenschappelijke en cliëntgerichte zorgpaden. </w:t>
      </w:r>
    </w:p>
    <w:p w:rsidR="002A256B" w:rsidRPr="00B86486" w:rsidRDefault="002A256B" w:rsidP="002A256B">
      <w:pPr>
        <w:ind w:left="720"/>
        <w:jc w:val="both"/>
      </w:pPr>
    </w:p>
    <w:p w:rsidR="002A256B" w:rsidRPr="00B86486" w:rsidRDefault="002A256B" w:rsidP="002A256B">
      <w:pPr>
        <w:autoSpaceDE w:val="0"/>
        <w:autoSpaceDN w:val="0"/>
        <w:adjustRightInd w:val="0"/>
        <w:rPr>
          <w:iCs/>
          <w:color w:val="000000"/>
          <w:lang w:eastAsia="nl-BE"/>
        </w:rPr>
      </w:pPr>
      <w:r w:rsidRPr="00B86486">
        <w:rPr>
          <w:b/>
          <w:iCs/>
          <w:color w:val="000000"/>
          <w:lang w:eastAsia="nl-BE"/>
        </w:rPr>
        <w:t>Voor de realisatie van deze doelstellingen werd aan DOP Limburg €63.578 toegekend</w:t>
      </w:r>
      <w:r w:rsidRPr="00B86486">
        <w:rPr>
          <w:iCs/>
          <w:color w:val="000000"/>
          <w:lang w:eastAsia="nl-BE"/>
        </w:rPr>
        <w:t>.</w:t>
      </w:r>
    </w:p>
    <w:p w:rsidR="002A256B" w:rsidRDefault="002A256B" w:rsidP="002A256B">
      <w:pPr>
        <w:autoSpaceDE w:val="0"/>
        <w:autoSpaceDN w:val="0"/>
        <w:adjustRightInd w:val="0"/>
        <w:ind w:left="360"/>
        <w:rPr>
          <w:color w:val="000000"/>
          <w:lang w:eastAsia="nl-BE"/>
        </w:rPr>
      </w:pPr>
    </w:p>
    <w:p w:rsidR="002A256B" w:rsidRDefault="002A256B" w:rsidP="002A256B">
      <w:pPr>
        <w:autoSpaceDE w:val="0"/>
        <w:autoSpaceDN w:val="0"/>
        <w:adjustRightInd w:val="0"/>
        <w:ind w:left="360"/>
        <w:rPr>
          <w:color w:val="000000"/>
          <w:lang w:eastAsia="nl-BE"/>
        </w:rPr>
      </w:pPr>
    </w:p>
    <w:p w:rsidR="002A256B" w:rsidRDefault="002A256B" w:rsidP="002A256B">
      <w:pPr>
        <w:autoSpaceDE w:val="0"/>
        <w:autoSpaceDN w:val="0"/>
        <w:adjustRightInd w:val="0"/>
        <w:ind w:left="360"/>
        <w:rPr>
          <w:color w:val="000000"/>
          <w:lang w:eastAsia="nl-BE"/>
        </w:rPr>
      </w:pPr>
    </w:p>
    <w:p w:rsidR="002A256B" w:rsidRPr="00B86486" w:rsidRDefault="002A256B" w:rsidP="002A256B">
      <w:pPr>
        <w:autoSpaceDE w:val="0"/>
        <w:autoSpaceDN w:val="0"/>
        <w:adjustRightInd w:val="0"/>
        <w:ind w:left="360"/>
        <w:rPr>
          <w:color w:val="000000"/>
          <w:lang w:eastAsia="nl-BE"/>
        </w:rPr>
      </w:pPr>
    </w:p>
    <w:p w:rsidR="002A256B" w:rsidRPr="00B86486" w:rsidRDefault="002A256B" w:rsidP="002A256B">
      <w:pPr>
        <w:ind w:left="360"/>
        <w:jc w:val="both"/>
      </w:pPr>
    </w:p>
    <w:p w:rsidR="002A256B" w:rsidRPr="00B86486" w:rsidRDefault="002A256B" w:rsidP="002A256B">
      <w:pPr>
        <w:pStyle w:val="Kop1"/>
        <w:numPr>
          <w:ilvl w:val="0"/>
          <w:numId w:val="0"/>
        </w:numPr>
      </w:pPr>
      <w:r>
        <w:lastRenderedPageBreak/>
        <w:t>Bijlage 2: L</w:t>
      </w:r>
      <w:r w:rsidRPr="00B86486">
        <w:t xml:space="preserve">ooptijd van </w:t>
      </w:r>
      <w:r>
        <w:t>de projecten</w:t>
      </w:r>
    </w:p>
    <w:p w:rsidR="002A256B" w:rsidRPr="00B86486" w:rsidRDefault="002A256B" w:rsidP="002A256B">
      <w:pPr>
        <w:ind w:left="360"/>
        <w:jc w:val="both"/>
      </w:pPr>
    </w:p>
    <w:tbl>
      <w:tblPr>
        <w:tblStyle w:val="Tabelraster"/>
        <w:tblW w:w="7938" w:type="dxa"/>
        <w:tblInd w:w="534" w:type="dxa"/>
        <w:tblLook w:val="04A0" w:firstRow="1" w:lastRow="0" w:firstColumn="1" w:lastColumn="0" w:noHBand="0" w:noVBand="1"/>
      </w:tblPr>
      <w:tblGrid>
        <w:gridCol w:w="4127"/>
        <w:gridCol w:w="3811"/>
      </w:tblGrid>
      <w:tr w:rsidR="002A256B" w:rsidRPr="00B86486" w:rsidTr="00676FC6">
        <w:tc>
          <w:tcPr>
            <w:tcW w:w="4127" w:type="dxa"/>
          </w:tcPr>
          <w:p w:rsidR="002A256B" w:rsidRPr="00B86486" w:rsidRDefault="002A256B" w:rsidP="00676FC6">
            <w:pPr>
              <w:jc w:val="both"/>
            </w:pPr>
            <w:r w:rsidRPr="00B86486">
              <w:t>DOP Op Maat Antwerpen</w:t>
            </w:r>
          </w:p>
        </w:tc>
        <w:tc>
          <w:tcPr>
            <w:tcW w:w="3811" w:type="dxa"/>
          </w:tcPr>
          <w:p w:rsidR="002A256B" w:rsidRPr="00B86486" w:rsidRDefault="002A256B" w:rsidP="00676FC6">
            <w:pPr>
              <w:jc w:val="both"/>
            </w:pPr>
            <w:r w:rsidRPr="00B86486">
              <w:t>1/1/2013 - 31/12/2013</w:t>
            </w:r>
          </w:p>
        </w:tc>
      </w:tr>
      <w:tr w:rsidR="002A256B" w:rsidRPr="00B86486" w:rsidTr="00676FC6">
        <w:tc>
          <w:tcPr>
            <w:tcW w:w="4127" w:type="dxa"/>
          </w:tcPr>
          <w:p w:rsidR="002A256B" w:rsidRPr="00B86486" w:rsidRDefault="002A256B" w:rsidP="00676FC6">
            <w:pPr>
              <w:jc w:val="both"/>
            </w:pPr>
            <w:r w:rsidRPr="00B86486">
              <w:t>DOP ‘Traject Antwerpen</w:t>
            </w:r>
          </w:p>
        </w:tc>
        <w:tc>
          <w:tcPr>
            <w:tcW w:w="3811" w:type="dxa"/>
          </w:tcPr>
          <w:p w:rsidR="002A256B" w:rsidRPr="00B86486" w:rsidRDefault="002A256B" w:rsidP="00676FC6">
            <w:pPr>
              <w:jc w:val="both"/>
            </w:pPr>
            <w:r w:rsidRPr="00B86486">
              <w:t>15/2/2013 - 14/2/2014</w:t>
            </w:r>
          </w:p>
        </w:tc>
      </w:tr>
      <w:tr w:rsidR="002A256B" w:rsidRPr="00B86486" w:rsidTr="00676FC6">
        <w:tc>
          <w:tcPr>
            <w:tcW w:w="4127" w:type="dxa"/>
          </w:tcPr>
          <w:p w:rsidR="002A256B" w:rsidRPr="00B86486" w:rsidRDefault="002A256B" w:rsidP="00676FC6">
            <w:pPr>
              <w:jc w:val="both"/>
            </w:pPr>
            <w:r w:rsidRPr="00B86486">
              <w:t>DOP Vlaams-Brabant en Brussel</w:t>
            </w:r>
          </w:p>
        </w:tc>
        <w:tc>
          <w:tcPr>
            <w:tcW w:w="3811" w:type="dxa"/>
          </w:tcPr>
          <w:p w:rsidR="002A256B" w:rsidRPr="00B86486" w:rsidRDefault="002A256B" w:rsidP="00676FC6">
            <w:pPr>
              <w:jc w:val="both"/>
            </w:pPr>
            <w:r w:rsidRPr="00B86486">
              <w:t>1/3/2013 - 28/2/2014</w:t>
            </w:r>
          </w:p>
        </w:tc>
      </w:tr>
      <w:tr w:rsidR="002A256B" w:rsidRPr="00B86486" w:rsidTr="00676FC6">
        <w:tc>
          <w:tcPr>
            <w:tcW w:w="4127" w:type="dxa"/>
          </w:tcPr>
          <w:p w:rsidR="002A256B" w:rsidRPr="00B86486" w:rsidRDefault="002A256B" w:rsidP="00676FC6">
            <w:pPr>
              <w:jc w:val="both"/>
            </w:pPr>
            <w:r w:rsidRPr="00B86486">
              <w:t>DOP Oost-Vlaanderen</w:t>
            </w:r>
          </w:p>
        </w:tc>
        <w:tc>
          <w:tcPr>
            <w:tcW w:w="3811" w:type="dxa"/>
          </w:tcPr>
          <w:p w:rsidR="002A256B" w:rsidRPr="00B86486" w:rsidRDefault="002A256B" w:rsidP="00676FC6">
            <w:pPr>
              <w:jc w:val="both"/>
            </w:pPr>
            <w:r w:rsidRPr="00B86486">
              <w:t>1/3/2013 - 30/9/2014</w:t>
            </w:r>
          </w:p>
        </w:tc>
      </w:tr>
      <w:tr w:rsidR="002A256B" w:rsidRPr="00B86486" w:rsidTr="00676FC6">
        <w:tc>
          <w:tcPr>
            <w:tcW w:w="4127" w:type="dxa"/>
          </w:tcPr>
          <w:p w:rsidR="002A256B" w:rsidRPr="00B86486" w:rsidRDefault="002A256B" w:rsidP="00676FC6">
            <w:pPr>
              <w:jc w:val="both"/>
            </w:pPr>
            <w:r w:rsidRPr="00B86486">
              <w:t>DOP West-Vlaanderen</w:t>
            </w:r>
          </w:p>
        </w:tc>
        <w:tc>
          <w:tcPr>
            <w:tcW w:w="3811" w:type="dxa"/>
          </w:tcPr>
          <w:p w:rsidR="002A256B" w:rsidRPr="00B86486" w:rsidRDefault="002A256B" w:rsidP="00676FC6">
            <w:pPr>
              <w:jc w:val="both"/>
            </w:pPr>
            <w:r w:rsidRPr="00B86486">
              <w:t>1/3/2013 – 30/6/2014</w:t>
            </w:r>
          </w:p>
        </w:tc>
      </w:tr>
      <w:tr w:rsidR="002A256B" w:rsidRPr="00B86486" w:rsidTr="00676FC6">
        <w:tc>
          <w:tcPr>
            <w:tcW w:w="4127" w:type="dxa"/>
          </w:tcPr>
          <w:p w:rsidR="002A256B" w:rsidRPr="00B86486" w:rsidRDefault="002A256B" w:rsidP="00676FC6">
            <w:pPr>
              <w:jc w:val="both"/>
            </w:pPr>
            <w:r w:rsidRPr="00B86486">
              <w:t>DOP Limburg</w:t>
            </w:r>
          </w:p>
        </w:tc>
        <w:tc>
          <w:tcPr>
            <w:tcW w:w="3811" w:type="dxa"/>
          </w:tcPr>
          <w:p w:rsidR="002A256B" w:rsidRPr="00B86486" w:rsidRDefault="002A256B" w:rsidP="00676FC6">
            <w:pPr>
              <w:jc w:val="both"/>
            </w:pPr>
            <w:r w:rsidRPr="00B86486">
              <w:t>1/1/2013 - voorjaar 2014</w:t>
            </w:r>
          </w:p>
        </w:tc>
      </w:tr>
    </w:tbl>
    <w:p w:rsidR="002A256B" w:rsidRPr="00B86486" w:rsidRDefault="002A256B" w:rsidP="002A256B">
      <w:pPr>
        <w:jc w:val="both"/>
      </w:pPr>
    </w:p>
    <w:p w:rsidR="002A256B" w:rsidRDefault="002A256B" w:rsidP="002A256B">
      <w:pPr>
        <w:jc w:val="both"/>
        <w:rPr>
          <w:sz w:val="24"/>
        </w:rPr>
      </w:pPr>
    </w:p>
    <w:p w:rsidR="002A0C62" w:rsidRDefault="002A0C62" w:rsidP="00E97BB0"/>
    <w:sectPr w:rsidR="002A0C62" w:rsidSect="00710999">
      <w:footerReference w:type="default" r:id="rId8"/>
      <w:headerReference w:type="first" r:id="rId9"/>
      <w:footerReference w:type="first" r:id="rId10"/>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4" w:rsidRDefault="00EE2264" w:rsidP="00710999">
      <w:r>
        <w:separator/>
      </w:r>
    </w:p>
  </w:endnote>
  <w:endnote w:type="continuationSeparator" w:id="0">
    <w:p w:rsidR="00EE2264" w:rsidRDefault="00EE2264"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161A0D">
      <w:rPr>
        <w:noProof/>
        <w:color w:val="C00076"/>
      </w:rPr>
      <w:t>4</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161A0D">
      <w:rPr>
        <w:noProof/>
        <w:color w:val="C00076"/>
      </w:rPr>
      <w:t>4</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rPr>
        <w:noProof/>
        <w:lang w:eastAsia="nl-BE"/>
      </w:rPr>
      <w:drawing>
        <wp:inline distT="0" distB="0" distL="0" distR="0" wp14:anchorId="03CC625B" wp14:editId="52E5F481">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161A0D">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161A0D">
      <w:rPr>
        <w:noProof/>
        <w:color w:val="C00076"/>
      </w:rPr>
      <w:t>4</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4" w:rsidRDefault="00EE2264" w:rsidP="00710999">
      <w:r>
        <w:separator/>
      </w:r>
    </w:p>
  </w:footnote>
  <w:footnote w:type="continuationSeparator" w:id="0">
    <w:p w:rsidR="00EE2264" w:rsidRDefault="00EE2264"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E57333E"/>
    <w:multiLevelType w:val="hybridMultilevel"/>
    <w:tmpl w:val="A664ED62"/>
    <w:lvl w:ilvl="0" w:tplc="0A6670B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6B"/>
    <w:rsid w:val="0004078D"/>
    <w:rsid w:val="00065B3E"/>
    <w:rsid w:val="000F7F96"/>
    <w:rsid w:val="00161A0D"/>
    <w:rsid w:val="001A62BE"/>
    <w:rsid w:val="001B2E92"/>
    <w:rsid w:val="001B31F4"/>
    <w:rsid w:val="001F38D2"/>
    <w:rsid w:val="00207634"/>
    <w:rsid w:val="00225650"/>
    <w:rsid w:val="002A0C62"/>
    <w:rsid w:val="002A256B"/>
    <w:rsid w:val="003407ED"/>
    <w:rsid w:val="003831AD"/>
    <w:rsid w:val="003C2BFE"/>
    <w:rsid w:val="003C36DB"/>
    <w:rsid w:val="003D701C"/>
    <w:rsid w:val="003E6F51"/>
    <w:rsid w:val="004578D6"/>
    <w:rsid w:val="00467BAD"/>
    <w:rsid w:val="00496E4B"/>
    <w:rsid w:val="005C1440"/>
    <w:rsid w:val="00605D1C"/>
    <w:rsid w:val="00653EF0"/>
    <w:rsid w:val="00656B64"/>
    <w:rsid w:val="006956D4"/>
    <w:rsid w:val="00702B66"/>
    <w:rsid w:val="00710999"/>
    <w:rsid w:val="00736D1D"/>
    <w:rsid w:val="00753FD6"/>
    <w:rsid w:val="007E0ACB"/>
    <w:rsid w:val="00806ED5"/>
    <w:rsid w:val="00811F40"/>
    <w:rsid w:val="00812762"/>
    <w:rsid w:val="0084759D"/>
    <w:rsid w:val="008477B8"/>
    <w:rsid w:val="008758A8"/>
    <w:rsid w:val="008C4E02"/>
    <w:rsid w:val="008D2B67"/>
    <w:rsid w:val="00953EB0"/>
    <w:rsid w:val="00967508"/>
    <w:rsid w:val="00980FDF"/>
    <w:rsid w:val="00981771"/>
    <w:rsid w:val="009A0E08"/>
    <w:rsid w:val="009B5F2B"/>
    <w:rsid w:val="00A0616D"/>
    <w:rsid w:val="00A26300"/>
    <w:rsid w:val="00AA42CD"/>
    <w:rsid w:val="00AA6D62"/>
    <w:rsid w:val="00AC22E0"/>
    <w:rsid w:val="00B00F62"/>
    <w:rsid w:val="00B12000"/>
    <w:rsid w:val="00BD31F5"/>
    <w:rsid w:val="00BE3BC6"/>
    <w:rsid w:val="00C009E2"/>
    <w:rsid w:val="00C62539"/>
    <w:rsid w:val="00C63BFA"/>
    <w:rsid w:val="00CD407C"/>
    <w:rsid w:val="00D1669C"/>
    <w:rsid w:val="00D341A2"/>
    <w:rsid w:val="00D63FB5"/>
    <w:rsid w:val="00D70803"/>
    <w:rsid w:val="00DF20D4"/>
    <w:rsid w:val="00DF3441"/>
    <w:rsid w:val="00E16403"/>
    <w:rsid w:val="00E17BFE"/>
    <w:rsid w:val="00E64193"/>
    <w:rsid w:val="00E97BB0"/>
    <w:rsid w:val="00EE0953"/>
    <w:rsid w:val="00EE2264"/>
    <w:rsid w:val="00F4422E"/>
    <w:rsid w:val="00F976D8"/>
    <w:rsid w:val="00FA51DD"/>
    <w:rsid w:val="00FB7D13"/>
    <w:rsid w:val="00FB7ED9"/>
    <w:rsid w:val="00FC2B43"/>
    <w:rsid w:val="00FD621B"/>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qFormat/>
    <w:rsid w:val="002A256B"/>
    <w:pPr>
      <w:ind w:left="720"/>
      <w:contextualSpacing/>
    </w:pPr>
    <w:rPr>
      <w:rFonts w:ascii="Times New Roman" w:eastAsia="Times New Roman" w:hAnsi="Times New Roman"/>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qFormat/>
    <w:rsid w:val="002A256B"/>
    <w:pPr>
      <w:ind w:left="720"/>
      <w:contextualSpacing/>
    </w:pPr>
    <w:rPr>
      <w:rFonts w:ascii="Times New Roman" w:eastAsia="Times New Roman" w:hAnsi="Times New Roman"/>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84DE766E3942F782E57BE290B90626"/>
        <w:category>
          <w:name w:val="Algemeen"/>
          <w:gallery w:val="placeholder"/>
        </w:category>
        <w:types>
          <w:type w:val="bbPlcHdr"/>
        </w:types>
        <w:behaviors>
          <w:behavior w:val="content"/>
        </w:behaviors>
        <w:guid w:val="{B044406E-2241-4FFE-A529-AD70776A121E}"/>
      </w:docPartPr>
      <w:docPartBody>
        <w:p w:rsidR="00524C95" w:rsidRDefault="002D41CB">
          <w:pPr>
            <w:pStyle w:val="E784DE766E3942F782E57BE290B90626"/>
          </w:pPr>
          <w:r>
            <w:t>{datum van de 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CB"/>
    <w:rsid w:val="002D41CB"/>
    <w:rsid w:val="00524C95"/>
    <w:rsid w:val="00EB5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5C3F2B7C730492CA49366FC584C1B18">
    <w:name w:val="85C3F2B7C730492CA49366FC584C1B18"/>
  </w:style>
  <w:style w:type="paragraph" w:customStyle="1" w:styleId="E784DE766E3942F782E57BE290B90626">
    <w:name w:val="E784DE766E3942F782E57BE290B90626"/>
  </w:style>
  <w:style w:type="paragraph" w:customStyle="1" w:styleId="02CD00180AB14A7AB574566581111DF6">
    <w:name w:val="02CD00180AB14A7AB574566581111DF6"/>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C2ECCA548B14419985C9B4B70F4E1F35">
    <w:name w:val="C2ECCA548B14419985C9B4B70F4E1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5C3F2B7C730492CA49366FC584C1B18">
    <w:name w:val="85C3F2B7C730492CA49366FC584C1B18"/>
  </w:style>
  <w:style w:type="paragraph" w:customStyle="1" w:styleId="E784DE766E3942F782E57BE290B90626">
    <w:name w:val="E784DE766E3942F782E57BE290B90626"/>
  </w:style>
  <w:style w:type="paragraph" w:customStyle="1" w:styleId="02CD00180AB14A7AB574566581111DF6">
    <w:name w:val="02CD00180AB14A7AB574566581111DF6"/>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C2ECCA548B14419985C9B4B70F4E1F35">
    <w:name w:val="C2ECCA548B14419985C9B4B70F4E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VAPH_nota</Template>
  <TotalTime>2</TotalTime>
  <Pages>4</Pages>
  <Words>1157</Words>
  <Characters>6366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Panis</dc:creator>
  <cp:lastModifiedBy>Brusselaers, Walter</cp:lastModifiedBy>
  <cp:revision>3</cp:revision>
  <cp:lastPrinted>2013-11-11T11:49:00Z</cp:lastPrinted>
  <dcterms:created xsi:type="dcterms:W3CDTF">2013-11-08T15:19:00Z</dcterms:created>
  <dcterms:modified xsi:type="dcterms:W3CDTF">2013-11-11T11:50:00Z</dcterms:modified>
</cp:coreProperties>
</file>