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652777" w:rsidP="009456B5">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996094">
        <w:rPr>
          <w:szCs w:val="22"/>
        </w:rPr>
        <w:t>freya van den bossche</w:t>
      </w:r>
      <w:r>
        <w:rPr>
          <w:szCs w:val="22"/>
        </w:rPr>
        <w:fldChar w:fldCharType="end"/>
      </w:r>
      <w:bookmarkEnd w:id="0"/>
    </w:p>
    <w:bookmarkStart w:id="1" w:name="Text2"/>
    <w:p w:rsidR="000976E9" w:rsidRPr="00015BF7" w:rsidRDefault="00652777" w:rsidP="009456B5">
      <w:pPr>
        <w:pStyle w:val="A-TitelMinister"/>
        <w:outlineLvl w:val="0"/>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2843DB">
        <w:rPr>
          <w:noProof/>
        </w:rPr>
        <w:t xml:space="preserve">vlaams minister van </w:t>
      </w:r>
      <w:r w:rsidR="00996094">
        <w:rPr>
          <w:noProof/>
        </w:rPr>
        <w:t>energie, wonen, steden en sociale economie</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9456B5">
      <w:pPr>
        <w:pStyle w:val="A-Type"/>
        <w:outlineLvl w:val="0"/>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00652777"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652777" w:rsidRPr="00326A58">
        <w:rPr>
          <w:b w:val="0"/>
        </w:rPr>
      </w:r>
      <w:r w:rsidR="00652777" w:rsidRPr="00326A58">
        <w:rPr>
          <w:b w:val="0"/>
        </w:rPr>
        <w:fldChar w:fldCharType="separate"/>
      </w:r>
      <w:r w:rsidR="00550CD9">
        <w:rPr>
          <w:b w:val="0"/>
        </w:rPr>
        <w:t>2</w:t>
      </w:r>
      <w:r w:rsidR="0036456D">
        <w:rPr>
          <w:b w:val="0"/>
        </w:rPr>
        <w:t>9</w:t>
      </w:r>
      <w:r w:rsidR="00652777"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652777">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652777">
        <w:rPr>
          <w:b w:val="0"/>
        </w:rPr>
      </w:r>
      <w:r w:rsidR="00652777">
        <w:rPr>
          <w:b w:val="0"/>
        </w:rPr>
        <w:fldChar w:fldCharType="separate"/>
      </w:r>
      <w:r w:rsidR="00550CD9">
        <w:rPr>
          <w:b w:val="0"/>
        </w:rPr>
        <w:t>10</w:t>
      </w:r>
      <w:r w:rsidR="00652777">
        <w:rPr>
          <w:b w:val="0"/>
        </w:rPr>
        <w:fldChar w:fldCharType="end"/>
      </w:r>
      <w:bookmarkEnd w:id="3"/>
      <w:r w:rsidRPr="00326A58">
        <w:rPr>
          <w:b w:val="0"/>
        </w:rPr>
        <w:t xml:space="preserve"> </w:t>
      </w:r>
      <w:bookmarkStart w:id="4" w:name="Dropdown2"/>
      <w:r w:rsidR="00652777">
        <w:rPr>
          <w:b w:val="0"/>
        </w:rPr>
        <w:fldChar w:fldCharType="begin">
          <w:ffData>
            <w:name w:val="Dropdown2"/>
            <w:enabled/>
            <w:calcOnExit w:val="0"/>
            <w:statusText w:type="text" w:val="Kies de maand waarin de vraag gesteld werd."/>
            <w:ddList>
              <w:result w:val="10"/>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475455">
        <w:rPr>
          <w:b w:val="0"/>
        </w:rPr>
      </w:r>
      <w:r w:rsidR="00475455">
        <w:rPr>
          <w:b w:val="0"/>
        </w:rPr>
        <w:fldChar w:fldCharType="separate"/>
      </w:r>
      <w:r w:rsidR="00652777">
        <w:rPr>
          <w:b w:val="0"/>
        </w:rPr>
        <w:fldChar w:fldCharType="end"/>
      </w:r>
      <w:bookmarkEnd w:id="4"/>
      <w:r w:rsidRPr="00326A58">
        <w:rPr>
          <w:b w:val="0"/>
        </w:rPr>
        <w:t xml:space="preserve"> </w:t>
      </w:r>
      <w:bookmarkStart w:id="5" w:name="Dropdown3"/>
      <w:r w:rsidR="00652777">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475455">
        <w:rPr>
          <w:b w:val="0"/>
        </w:rPr>
      </w:r>
      <w:r w:rsidR="00475455">
        <w:rPr>
          <w:b w:val="0"/>
        </w:rPr>
        <w:fldChar w:fldCharType="separate"/>
      </w:r>
      <w:r w:rsidR="00652777">
        <w:rPr>
          <w:b w:val="0"/>
        </w:rPr>
        <w:fldChar w:fldCharType="end"/>
      </w:r>
      <w:bookmarkEnd w:id="5"/>
    </w:p>
    <w:p w:rsidR="000976E9" w:rsidRDefault="000976E9" w:rsidP="000976E9">
      <w:pPr>
        <w:rPr>
          <w:szCs w:val="22"/>
        </w:rPr>
      </w:pPr>
      <w:r>
        <w:rPr>
          <w:szCs w:val="22"/>
        </w:rPr>
        <w:t xml:space="preserve">van </w:t>
      </w:r>
      <w:r w:rsidR="00652777"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652777" w:rsidRPr="009D7043">
        <w:rPr>
          <w:rStyle w:val="AntwoordNaamMinisterChar"/>
        </w:rPr>
      </w:r>
      <w:r w:rsidR="00652777" w:rsidRPr="009D7043">
        <w:rPr>
          <w:rStyle w:val="AntwoordNaamMinisterChar"/>
        </w:rPr>
        <w:fldChar w:fldCharType="separate"/>
      </w:r>
      <w:r w:rsidR="00550CD9">
        <w:rPr>
          <w:rStyle w:val="AntwoordNaamMinisterChar"/>
        </w:rPr>
        <w:t>khadija zamouri</w:t>
      </w:r>
      <w:r w:rsidR="00652777"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36456D" w:rsidRDefault="0036456D" w:rsidP="0036456D">
      <w:pPr>
        <w:pStyle w:val="StandaardSV"/>
        <w:numPr>
          <w:ilvl w:val="0"/>
          <w:numId w:val="20"/>
        </w:numPr>
        <w:tabs>
          <w:tab w:val="left" w:pos="426"/>
        </w:tabs>
        <w:rPr>
          <w:color w:val="000000"/>
        </w:rPr>
      </w:pPr>
      <w:r>
        <w:rPr>
          <w:color w:val="000000"/>
          <w:szCs w:val="22"/>
        </w:rPr>
        <w:lastRenderedPageBreak/>
        <w:t xml:space="preserve">Met het instrument stadsvernieuwing wordt vanuit stedenbeleid maximaal ingezet op de realisatie van open en groene publieke ruimtes in de stad. De stadsvernieuwingsmiddelen geven de betrokken steden de mogelijkheid om een bijkomende impuls te geven aan hun stadsontwikkelingsprojecten, waarbij naast onder meer huisvesting, </w:t>
      </w:r>
      <w:proofErr w:type="spellStart"/>
      <w:r>
        <w:rPr>
          <w:color w:val="000000"/>
          <w:szCs w:val="22"/>
        </w:rPr>
        <w:t>gemeenschaps-voorzieningen</w:t>
      </w:r>
      <w:proofErr w:type="spellEnd"/>
      <w:r>
        <w:rPr>
          <w:color w:val="000000"/>
          <w:szCs w:val="22"/>
        </w:rPr>
        <w:t xml:space="preserve">, ruime aandacht gaat naar de aanleg van extra groen- en parkvoorzieningen. Deze groenvoorzieningen zorgen voor extra zuurstof in de stadskernen. Naast hun maatschappelijke waarde als publieke verblijfsruimte voor bewoners en gebruikers zorgt dit groen in de meeste gevallen ook voor de doorwaadbaarheid van het gebied in verbinding met de andere stadsdelen. Met het stadsvernieuwingsproject “Zuurstof voor de </w:t>
      </w:r>
      <w:proofErr w:type="spellStart"/>
      <w:r>
        <w:rPr>
          <w:color w:val="000000"/>
          <w:szCs w:val="22"/>
        </w:rPr>
        <w:t>Brugse</w:t>
      </w:r>
      <w:proofErr w:type="spellEnd"/>
      <w:r>
        <w:rPr>
          <w:color w:val="000000"/>
          <w:szCs w:val="22"/>
        </w:rPr>
        <w:t xml:space="preserve"> Poort” beoogde de stad Gent bijvoorbeeld een radicale verbetering van de woon- en </w:t>
      </w:r>
      <w:proofErr w:type="spellStart"/>
      <w:r>
        <w:rPr>
          <w:color w:val="000000"/>
          <w:szCs w:val="22"/>
        </w:rPr>
        <w:t>leefkwaliteit</w:t>
      </w:r>
      <w:proofErr w:type="spellEnd"/>
      <w:r>
        <w:rPr>
          <w:color w:val="000000"/>
          <w:szCs w:val="22"/>
        </w:rPr>
        <w:t xml:space="preserve"> van deze </w:t>
      </w:r>
      <w:proofErr w:type="spellStart"/>
      <w:r>
        <w:rPr>
          <w:color w:val="000000"/>
          <w:szCs w:val="22"/>
        </w:rPr>
        <w:t>dense</w:t>
      </w:r>
      <w:proofErr w:type="spellEnd"/>
      <w:r>
        <w:rPr>
          <w:color w:val="000000"/>
          <w:szCs w:val="22"/>
        </w:rPr>
        <w:t xml:space="preserve"> volkse buurt. Een aantal panden werden verworven en afgebroken en maakten plaats voor nieuwe pleinen en parken. Aan de rand van de wijk is het 6ha grote stadspark  “De groene vallei” aangelegd dat via een brugje over de Leie werd verbonden met de wijk. De op die manier gecreëerde open en groene ruimten werden met elkaar verbonden via een centraal gelegen voetgangers- en </w:t>
      </w:r>
      <w:proofErr w:type="spellStart"/>
      <w:r>
        <w:rPr>
          <w:color w:val="000000"/>
          <w:szCs w:val="22"/>
        </w:rPr>
        <w:t>fietsas</w:t>
      </w:r>
      <w:proofErr w:type="spellEnd"/>
      <w:r>
        <w:rPr>
          <w:color w:val="000000"/>
          <w:szCs w:val="22"/>
        </w:rPr>
        <w:t xml:space="preserve"> “de Rode Loper”. Een ander mooi voorbeeld is de reconversie van de kanaalsite in Vilvoorde tot een nieuw stadsdeel met naast 500 nieuwe woningen en de reconversie van een oud tuchthuis in appartementen en kantoorruimtes een heus park met fiets – en wandelpad die de stad Vilvoorde, in samenwerking met het Agentschap Natuur en Bos en de steun van stadsvernieuwing, langsheen de Zenne-arm heeft aangelegd. Dit ruime </w:t>
      </w:r>
      <w:proofErr w:type="spellStart"/>
      <w:r>
        <w:rPr>
          <w:color w:val="000000"/>
          <w:szCs w:val="22"/>
        </w:rPr>
        <w:t>groen-blauwe</w:t>
      </w:r>
      <w:proofErr w:type="spellEnd"/>
      <w:r>
        <w:rPr>
          <w:color w:val="000000"/>
          <w:szCs w:val="22"/>
        </w:rPr>
        <w:t xml:space="preserve"> lint doorheen het gebied verbindt de verschillende projectonderdelen met elkaar. </w:t>
      </w:r>
      <w:r>
        <w:rPr>
          <w:color w:val="000000"/>
        </w:rPr>
        <w:t xml:space="preserve">Andere projecten zijn bijvoorbeeld de </w:t>
      </w:r>
      <w:proofErr w:type="spellStart"/>
      <w:r>
        <w:rPr>
          <w:color w:val="000000"/>
        </w:rPr>
        <w:t>Hoedhaarsite</w:t>
      </w:r>
      <w:proofErr w:type="spellEnd"/>
      <w:r>
        <w:rPr>
          <w:color w:val="000000"/>
        </w:rPr>
        <w:t xml:space="preserve"> in Lokeren met aandacht voor park- en binnentuinontwikkeling, het project de ‘Stadstuin’ in Ronse, enz.</w:t>
      </w:r>
    </w:p>
    <w:p w:rsidR="0036456D" w:rsidRDefault="0036456D" w:rsidP="0036456D">
      <w:pPr>
        <w:pStyle w:val="StandaardSV"/>
        <w:tabs>
          <w:tab w:val="left" w:pos="426"/>
        </w:tabs>
        <w:ind w:left="360"/>
        <w:rPr>
          <w:color w:val="000000"/>
        </w:rPr>
      </w:pPr>
    </w:p>
    <w:p w:rsidR="0036456D" w:rsidRDefault="0036456D" w:rsidP="00475455">
      <w:pPr>
        <w:ind w:left="360"/>
        <w:jc w:val="both"/>
        <w:rPr>
          <w:color w:val="000000"/>
        </w:rPr>
      </w:pPr>
      <w:r>
        <w:rPr>
          <w:color w:val="000000"/>
        </w:rPr>
        <w:t xml:space="preserve">In het kader van het Stedenfonds werden reeds heel wat initiatieven met betrekking tot openbaar groen in de stad opgestart. In de publicatie ‘Zaaien op beton en 106 andere recepten voor de stad’ worden enkele van deze projecten samengevat weergegeven (onder andere </w:t>
      </w:r>
      <w:proofErr w:type="spellStart"/>
      <w:r>
        <w:rPr>
          <w:color w:val="000000"/>
        </w:rPr>
        <w:t>parktuin</w:t>
      </w:r>
      <w:proofErr w:type="spellEnd"/>
      <w:r>
        <w:rPr>
          <w:color w:val="000000"/>
        </w:rPr>
        <w:t xml:space="preserve"> </w:t>
      </w:r>
      <w:proofErr w:type="spellStart"/>
      <w:r>
        <w:rPr>
          <w:color w:val="000000"/>
        </w:rPr>
        <w:t>Schelfaut</w:t>
      </w:r>
      <w:proofErr w:type="spellEnd"/>
      <w:r>
        <w:rPr>
          <w:color w:val="000000"/>
        </w:rPr>
        <w:t xml:space="preserve"> Aalst, </w:t>
      </w:r>
      <w:proofErr w:type="spellStart"/>
      <w:r>
        <w:rPr>
          <w:color w:val="000000"/>
        </w:rPr>
        <w:t>prikkelpad</w:t>
      </w:r>
      <w:proofErr w:type="spellEnd"/>
      <w:r>
        <w:rPr>
          <w:color w:val="000000"/>
        </w:rPr>
        <w:t xml:space="preserve"> in Kortrijk, speelweefsel in Gent).</w:t>
      </w:r>
    </w:p>
    <w:p w:rsidR="0036456D" w:rsidRDefault="0036456D" w:rsidP="00475455">
      <w:pPr>
        <w:ind w:left="372"/>
        <w:jc w:val="both"/>
        <w:rPr>
          <w:color w:val="000000"/>
        </w:rPr>
      </w:pPr>
    </w:p>
    <w:p w:rsidR="0036456D" w:rsidRDefault="0036456D" w:rsidP="00475455">
      <w:pPr>
        <w:ind w:left="360"/>
        <w:jc w:val="both"/>
        <w:rPr>
          <w:color w:val="000000"/>
        </w:rPr>
      </w:pPr>
      <w:r>
        <w:rPr>
          <w:color w:val="000000"/>
        </w:rPr>
        <w:t>Met de jaarlijkse oproep ‘innovatieve en originele projecten’ verleen ik subsidies aan verenigingen en instellingen die wonen en leven in de stad aantrekkelijker maken. De voorbije jaren kwamen verschillende thema’s aan bod die de vergroening van de steden helpen bevorderen. Voorbeelden zijn ‘Moestuinen in Berchem’, ‘Gaan we samen wortels plukken’, ‘</w:t>
      </w:r>
      <w:proofErr w:type="spellStart"/>
      <w:r>
        <w:rPr>
          <w:color w:val="000000"/>
        </w:rPr>
        <w:t>Tampico</w:t>
      </w:r>
      <w:proofErr w:type="spellEnd"/>
      <w:r>
        <w:rPr>
          <w:color w:val="000000"/>
        </w:rPr>
        <w:t>-site als creatieve uitvalsbasis voor jongeren’.</w:t>
      </w:r>
    </w:p>
    <w:p w:rsidR="0036456D" w:rsidRDefault="0036456D" w:rsidP="00475455">
      <w:pPr>
        <w:pStyle w:val="Lijstalinea"/>
        <w:spacing w:after="0" w:line="240" w:lineRule="auto"/>
        <w:ind w:left="372"/>
        <w:rPr>
          <w:color w:val="000000"/>
        </w:rPr>
      </w:pPr>
    </w:p>
    <w:p w:rsidR="0036456D" w:rsidRDefault="0036456D" w:rsidP="00475455">
      <w:pPr>
        <w:ind w:left="360"/>
        <w:jc w:val="both"/>
        <w:rPr>
          <w:color w:val="000000"/>
        </w:rPr>
      </w:pPr>
      <w:r>
        <w:rPr>
          <w:color w:val="000000"/>
        </w:rPr>
        <w:t xml:space="preserve">Ook de bijdrage rond ‘de ecologische stad’ in de studie ‘Steden binnenstebuiten, analyses op de stadsmonitor 2011’ betekent een stimulans. Voor de uitwerking van het luik ‘ecologische stad’ voor de volgende editie van de stadsmonitor zijn volgende actoren betrokken: de steden, het Instituut voor Natuur- en Bosonderzoek (INBO), de Vlaamse Milieu Maatschappij (VMM), het departement Leefmilieu, Natuur en Energie (LNE), de Openbare Vlaamse Afvalstoffen Maatschappij (OVAM), de Studiedienst van de Vlaamse Regering en het team stedenbeleid van het Agentschap voor Binnenlands Bestuur. Momenteel loopt een traject om de geïntegreerde visie op de ‘ecologische stad’ met aandacht voor ecosysteemdiensten uit te werken. Hierbij gaat heel wat aandacht naar het belang van groen en bos in de stad. Groene ruimte en parken worden hierdoor gekaderd in een algehele ecologische en duurzame visie. Daarna zullen de verschillende betrokken actoren samen een nieuwe geoptimaliseerde </w:t>
      </w:r>
      <w:proofErr w:type="spellStart"/>
      <w:r>
        <w:rPr>
          <w:color w:val="000000"/>
        </w:rPr>
        <w:t>indicatorenset</w:t>
      </w:r>
      <w:proofErr w:type="spellEnd"/>
      <w:r>
        <w:rPr>
          <w:color w:val="000000"/>
        </w:rPr>
        <w:t xml:space="preserve"> uitwerken. </w:t>
      </w:r>
    </w:p>
    <w:p w:rsidR="0036456D" w:rsidRDefault="0036456D" w:rsidP="0036456D">
      <w:pPr>
        <w:ind w:left="720"/>
        <w:jc w:val="both"/>
        <w:rPr>
          <w:color w:val="000000"/>
        </w:rPr>
      </w:pPr>
    </w:p>
    <w:p w:rsidR="0036456D" w:rsidRDefault="0036456D" w:rsidP="00475455">
      <w:pPr>
        <w:ind w:left="360"/>
        <w:jc w:val="both"/>
        <w:rPr>
          <w:color w:val="000000"/>
        </w:rPr>
      </w:pPr>
      <w:r>
        <w:rPr>
          <w:color w:val="000000"/>
          <w:szCs w:val="22"/>
          <w:lang w:val="nl-BE" w:eastAsia="nl-BE"/>
        </w:rPr>
        <w:t xml:space="preserve">Ik heb </w:t>
      </w:r>
      <w:r>
        <w:rPr>
          <w:color w:val="000000"/>
          <w:lang w:eastAsia="nl-BE"/>
        </w:rPr>
        <w:t xml:space="preserve">ook </w:t>
      </w:r>
      <w:r>
        <w:rPr>
          <w:color w:val="000000"/>
          <w:szCs w:val="22"/>
          <w:lang w:val="nl-BE" w:eastAsia="nl-BE"/>
        </w:rPr>
        <w:t xml:space="preserve">mijn medewerking verleend aan de ‘oproep groenproject’ van het Agentschap voor Natuur en Bos, een oproep van collega-Minister </w:t>
      </w:r>
      <w:proofErr w:type="spellStart"/>
      <w:r>
        <w:rPr>
          <w:color w:val="000000"/>
          <w:szCs w:val="22"/>
          <w:lang w:val="nl-BE" w:eastAsia="nl-BE"/>
        </w:rPr>
        <w:t>Schauvliege</w:t>
      </w:r>
      <w:proofErr w:type="spellEnd"/>
      <w:r>
        <w:rPr>
          <w:color w:val="000000"/>
          <w:szCs w:val="22"/>
          <w:lang w:val="nl-BE" w:eastAsia="nl-BE"/>
        </w:rPr>
        <w:t xml:space="preserve">. </w:t>
      </w:r>
      <w:r>
        <w:rPr>
          <w:color w:val="000000"/>
          <w:szCs w:val="22"/>
        </w:rPr>
        <w:t xml:space="preserve">Deze oproep wil projecten ondersteunen die zorgen voor meer en beter groen in de verstedelijkte omgeving. </w:t>
      </w:r>
      <w:r>
        <w:rPr>
          <w:color w:val="000000"/>
          <w:szCs w:val="22"/>
          <w:lang w:val="nl-BE" w:eastAsia="nl-BE"/>
        </w:rPr>
        <w:t>In het bijzonder heeft mijn administratie meegewerkt aan de j</w:t>
      </w:r>
      <w:proofErr w:type="spellStart"/>
      <w:r>
        <w:rPr>
          <w:color w:val="000000"/>
          <w:szCs w:val="22"/>
        </w:rPr>
        <w:t>urering</w:t>
      </w:r>
      <w:proofErr w:type="spellEnd"/>
      <w:r>
        <w:rPr>
          <w:color w:val="000000"/>
          <w:szCs w:val="22"/>
        </w:rPr>
        <w:t xml:space="preserve"> van deze oproep. Deze jurering vond plaats op donderdag 20 juni 2013. De beschikbare subsidies worden verdeeld over één Vlaamse laureaat en over 5 provinciale laureaten. Het openbaar bestuur kiest of het een project indient dat meedingt voor de titel ‘Vlaamse laureaat’ of een project indient voor de titel ‘provinciale laureaat’. Eenzelfde project kan slechts in 1 categorie worden ingediend. Projecten komen in aanmerking als: ze de leefbaarheid in steden en gemeenten verbeteren en daartoe meer en/of beter groen voorzien. (via toetsing 5 Liv.Com criteria) / ze voldoen aan de HPG-principes / het projectgebied gelegen is in de verstedelijkte omgeving zoals stads-, dorps- of woonkern en daar de leefbaarheid verhoogt / het projectgebied in eigendom is van het openbare bestuur dat het projectvoorstel indient en zal uitvoeren / het projectvoorstel zich nog niet in de aanbestedingsfase bevindt.</w:t>
      </w:r>
    </w:p>
    <w:p w:rsidR="0036456D" w:rsidRDefault="0036456D" w:rsidP="0036456D">
      <w:pPr>
        <w:ind w:left="720"/>
        <w:jc w:val="both"/>
        <w:rPr>
          <w:color w:val="000000"/>
        </w:rPr>
      </w:pPr>
    </w:p>
    <w:p w:rsidR="0036456D" w:rsidRDefault="0036456D" w:rsidP="00475455">
      <w:pPr>
        <w:ind w:left="360"/>
        <w:jc w:val="both"/>
        <w:rPr>
          <w:color w:val="000000"/>
        </w:rPr>
      </w:pPr>
      <w:r>
        <w:rPr>
          <w:color w:val="000000"/>
          <w:szCs w:val="22"/>
        </w:rPr>
        <w:t xml:space="preserve">Voor het cohesiebeleid 2014-2020 heb ik gepleit voor extra aandacht voor groen als buffer voor </w:t>
      </w:r>
      <w:proofErr w:type="spellStart"/>
      <w:r>
        <w:rPr>
          <w:color w:val="000000"/>
          <w:szCs w:val="22"/>
        </w:rPr>
        <w:t>klimaatsadaptatie</w:t>
      </w:r>
      <w:proofErr w:type="spellEnd"/>
      <w:r>
        <w:rPr>
          <w:color w:val="000000"/>
          <w:szCs w:val="22"/>
        </w:rPr>
        <w:t xml:space="preserve"> binnen de EFRO-</w:t>
      </w:r>
      <w:proofErr w:type="spellStart"/>
      <w:r>
        <w:rPr>
          <w:color w:val="000000"/>
          <w:szCs w:val="22"/>
        </w:rPr>
        <w:t>prioriteitsas</w:t>
      </w:r>
      <w:proofErr w:type="spellEnd"/>
      <w:r>
        <w:rPr>
          <w:color w:val="000000"/>
          <w:szCs w:val="22"/>
        </w:rPr>
        <w:t xml:space="preserve"> ‘duurzame stedelijke ontwikkeling’. Dit heeft geleid tot volgende specifieke doelstelling: ‘Bevorderen van groen, </w:t>
      </w:r>
      <w:proofErr w:type="spellStart"/>
      <w:r>
        <w:rPr>
          <w:color w:val="000000"/>
          <w:szCs w:val="22"/>
        </w:rPr>
        <w:t>groen-blauwe</w:t>
      </w:r>
      <w:proofErr w:type="spellEnd"/>
      <w:r>
        <w:rPr>
          <w:color w:val="000000"/>
          <w:szCs w:val="22"/>
        </w:rPr>
        <w:t xml:space="preserve"> netwerken, opvang hemelwater en </w:t>
      </w:r>
      <w:proofErr w:type="spellStart"/>
      <w:r>
        <w:rPr>
          <w:color w:val="000000"/>
          <w:szCs w:val="22"/>
        </w:rPr>
        <w:t>klimaatsadaptieve</w:t>
      </w:r>
      <w:proofErr w:type="spellEnd"/>
      <w:r>
        <w:rPr>
          <w:color w:val="000000"/>
          <w:szCs w:val="22"/>
        </w:rPr>
        <w:t xml:space="preserve"> ruimte om de socio-economische kosten van klimaatadaptatie tegen te gaan en de biodiversiteit te bevorderen</w:t>
      </w:r>
      <w:r>
        <w:rPr>
          <w:color w:val="000000"/>
        </w:rPr>
        <w:t xml:space="preserve">’. Met deze doelstelling zullen de steden tussen 2014-2020 kunnen investeren in groen in de stad, daar waar de noden en uitdagingen het hoogst zijn. Dit moet nog gevalideerd worden door de Vlaamse Regering en de Europese Commissie.  </w:t>
      </w:r>
    </w:p>
    <w:p w:rsidR="0036456D" w:rsidRDefault="0036456D" w:rsidP="0036456D">
      <w:pPr>
        <w:pStyle w:val="StandaardSV"/>
        <w:rPr>
          <w:i/>
          <w:color w:val="000000"/>
        </w:rPr>
      </w:pPr>
    </w:p>
    <w:p w:rsidR="0036456D" w:rsidRDefault="0036456D" w:rsidP="00475455">
      <w:pPr>
        <w:pStyle w:val="StandaardSV"/>
        <w:numPr>
          <w:ilvl w:val="0"/>
          <w:numId w:val="20"/>
        </w:numPr>
        <w:tabs>
          <w:tab w:val="left" w:pos="426"/>
        </w:tabs>
        <w:rPr>
          <w:color w:val="000000"/>
          <w:szCs w:val="22"/>
        </w:rPr>
      </w:pPr>
      <w:r>
        <w:rPr>
          <w:color w:val="000000"/>
        </w:rPr>
        <w:t>Het stedenfonds, de stadsvernieuwingssubsidies, de subsidies voor originele en innoverende projecten en de prijs ‘Groen in de stad’ hebben concrete tastbare resultaten opgeleverd. Deze zijn fysiek waar te nemen in de steden. De ‘duurzame stedelijke ontwikkeling’ in het kader van het cohesiebeleid zal vanaf 2014 leiden tot tastbare projecten in de steden. De bijdrage rond de ‘ecologische stad’ heeft vooral een visionaire, sensibiliserende en stimulerende werking.</w:t>
      </w:r>
    </w:p>
    <w:p w:rsidR="0036456D" w:rsidRDefault="0036456D" w:rsidP="0036456D">
      <w:pPr>
        <w:pStyle w:val="StandaardSV"/>
        <w:tabs>
          <w:tab w:val="left" w:pos="426"/>
        </w:tabs>
        <w:ind w:left="708"/>
        <w:rPr>
          <w:color w:val="000000"/>
          <w:szCs w:val="22"/>
        </w:rPr>
      </w:pPr>
    </w:p>
    <w:p w:rsidR="0036456D" w:rsidRDefault="0036456D" w:rsidP="00475455">
      <w:pPr>
        <w:pStyle w:val="StandaardSV"/>
        <w:numPr>
          <w:ilvl w:val="0"/>
          <w:numId w:val="20"/>
        </w:numPr>
        <w:tabs>
          <w:tab w:val="left" w:pos="426"/>
        </w:tabs>
        <w:rPr>
          <w:color w:val="000000"/>
          <w:szCs w:val="22"/>
        </w:rPr>
      </w:pPr>
      <w:r>
        <w:rPr>
          <w:color w:val="000000"/>
          <w:szCs w:val="22"/>
        </w:rPr>
        <w:t xml:space="preserve">Het stedenfonds, de </w:t>
      </w:r>
      <w:proofErr w:type="spellStart"/>
      <w:r>
        <w:rPr>
          <w:color w:val="000000"/>
          <w:szCs w:val="22"/>
        </w:rPr>
        <w:t>projectsusbsidies</w:t>
      </w:r>
      <w:proofErr w:type="spellEnd"/>
      <w:r>
        <w:rPr>
          <w:color w:val="000000"/>
          <w:szCs w:val="22"/>
        </w:rPr>
        <w:t xml:space="preserve"> voor stadsvernieuwing en de subsidies voor originele en innoverende projecten kunnen in principe door steden ingezet worden voor de aanleg van groendaken. Ik probeer altijd oog te hebben voor de lokale autonomie. Steden en buurtbewoners bepalen zelf hun innovatieve en hefboomprojecten, maar als hierin aandacht is voor groendaken wordt dit zeker gestimuleerd. De stad kan dit ook via haar gemeentelijke stedenbouwkundige reglementen stimuleren, dit al dan niet in combinatie met een gemeentelijk premiestelsel. </w:t>
      </w:r>
    </w:p>
    <w:p w:rsidR="0036456D" w:rsidRDefault="0036456D" w:rsidP="0036456D">
      <w:pPr>
        <w:pStyle w:val="StandaardSV"/>
        <w:tabs>
          <w:tab w:val="left" w:pos="426"/>
        </w:tabs>
        <w:rPr>
          <w:color w:val="000000"/>
        </w:rPr>
      </w:pPr>
    </w:p>
    <w:p w:rsidR="0036456D" w:rsidRDefault="0036456D" w:rsidP="0036456D">
      <w:pPr>
        <w:pStyle w:val="StandaardSV"/>
        <w:numPr>
          <w:ilvl w:val="0"/>
          <w:numId w:val="20"/>
        </w:numPr>
        <w:tabs>
          <w:tab w:val="left" w:pos="426"/>
        </w:tabs>
        <w:rPr>
          <w:color w:val="000000"/>
        </w:rPr>
      </w:pPr>
      <w:r>
        <w:t xml:space="preserve">Dit aspect krijgt o.a. aandacht bij de opmaak van het Beleidsplan Ruimte Vlaanderen. Voor meer informatie hierover kan u het best terecht bij collega-minister </w:t>
      </w:r>
      <w:proofErr w:type="spellStart"/>
      <w:r>
        <w:t>Muyters</w:t>
      </w:r>
      <w:proofErr w:type="spellEnd"/>
      <w:r>
        <w:t xml:space="preserve">. In het kader van de oproep voor de pilootprojecten Wonen, waarbij ik samen met het team Vlaams Bouwmeester, het Agentschap Wonen-Vlaanderen, het team Stedenbeleid en de VMSW nieuwe impulsen voor een toekomstgericht en collectief woonbeleid wens te ontwikkelen, krijgt dit aandacht bij de collectiviteitswinsten. Door slimmere collectieve woonoplossingen realiseren we immers ook groene baten. Verder werkt Vlaanderen ook aan een Vlaamse duurzaamheidsmeter voor wijken, De onderzoeksgroep </w:t>
      </w:r>
      <w:proofErr w:type="spellStart"/>
      <w:r>
        <w:t>Sum</w:t>
      </w:r>
      <w:proofErr w:type="spellEnd"/>
      <w:r>
        <w:t xml:space="preserve"> research en EVR architecten, in samenwerking met </w:t>
      </w:r>
      <w:proofErr w:type="spellStart"/>
      <w:r>
        <w:t>Daidalos</w:t>
      </w:r>
      <w:proofErr w:type="spellEnd"/>
      <w:r>
        <w:t xml:space="preserve"> </w:t>
      </w:r>
      <w:proofErr w:type="spellStart"/>
      <w:r>
        <w:t>Peutz</w:t>
      </w:r>
      <w:proofErr w:type="spellEnd"/>
      <w:r>
        <w:t xml:space="preserve">, Hydroscan en landschapsarchitect Geert </w:t>
      </w:r>
      <w:proofErr w:type="spellStart"/>
      <w:r>
        <w:t>Meysmans</w:t>
      </w:r>
      <w:proofErr w:type="spellEnd"/>
      <w:r>
        <w:t xml:space="preserve"> zijn hiervoor aangesteld. Deze duurzaamheidsmeter zal vooral een stimulerend en richtinggevend karakter hebben. Om dit echt af te dwingen kunnen steden hieromtrent bepalingen opnemen in hun stedenbouwkundige reglementering. </w:t>
      </w:r>
    </w:p>
    <w:p w:rsidR="0036456D" w:rsidRDefault="0036456D" w:rsidP="0036456D">
      <w:pPr>
        <w:pStyle w:val="StandaardSV"/>
        <w:tabs>
          <w:tab w:val="left" w:pos="426"/>
        </w:tabs>
        <w:ind w:left="360"/>
        <w:rPr>
          <w:color w:val="000000"/>
        </w:rPr>
      </w:pPr>
    </w:p>
    <w:p w:rsidR="0036456D" w:rsidRDefault="0036456D" w:rsidP="0036456D">
      <w:pPr>
        <w:pStyle w:val="StandaardSV"/>
        <w:numPr>
          <w:ilvl w:val="0"/>
          <w:numId w:val="20"/>
        </w:numPr>
        <w:tabs>
          <w:tab w:val="left" w:pos="426"/>
        </w:tabs>
        <w:rPr>
          <w:color w:val="000000"/>
        </w:rPr>
      </w:pPr>
      <w:r>
        <w:rPr>
          <w:szCs w:val="22"/>
        </w:rPr>
        <w:t xml:space="preserve">Het Agentschap voor Natuur en Bos, dat onder de bevoegdheid van de minister van leefmilieu valt, stimuleert een groen- en beheerbeleid aan de hand van subsidies voor de aankoop van gronden voor ontwikkeling van stedelijk groen, de opmaak van beheerplannen  en de (her)inrichting van groengebieden in de stedelijke omgeving. De projecten die het Agentschap voor Natuur en Bos ondersteunt, moeten steeds voldoen aan de uitgangspunten van de beheervisie </w:t>
      </w:r>
      <w:r>
        <w:rPr>
          <w:szCs w:val="22"/>
        </w:rPr>
        <w:lastRenderedPageBreak/>
        <w:t xml:space="preserve">van het agentschap: het Harmonisch Park- en Groenbeheer. </w:t>
      </w:r>
      <w:r>
        <w:rPr>
          <w:bCs/>
          <w:szCs w:val="22"/>
        </w:rPr>
        <w:t>Er bestaan twee soorten subsidies:</w:t>
      </w:r>
      <w:r>
        <w:rPr>
          <w:szCs w:val="22"/>
        </w:rPr>
        <w:t xml:space="preserve"> de projectoproep groenprojecten en subsidies in het kader van de samenwerkingsovereenkomst. Verder stimuleert Vlaanderen dit ook door bepaalde deelluiken bij de realisatie van </w:t>
      </w:r>
      <w:r>
        <w:t>stadsbossen op zich te nemen. Het Agentschap voor Natuur en Bos geeft bijvoorbeeld subsidies voor de aankoop van gronden.</w:t>
      </w:r>
    </w:p>
    <w:p w:rsidR="0036456D" w:rsidRDefault="0036456D" w:rsidP="0036456D">
      <w:pPr>
        <w:pStyle w:val="StandaardSV"/>
        <w:tabs>
          <w:tab w:val="left" w:pos="426"/>
        </w:tabs>
      </w:pPr>
    </w:p>
    <w:p w:rsidR="0036456D" w:rsidRDefault="0036456D" w:rsidP="0036456D">
      <w:pPr>
        <w:pStyle w:val="StandaardSV"/>
        <w:numPr>
          <w:ilvl w:val="0"/>
          <w:numId w:val="20"/>
        </w:numPr>
        <w:tabs>
          <w:tab w:val="left" w:pos="426"/>
        </w:tabs>
        <w:rPr>
          <w:color w:val="000000"/>
        </w:rPr>
      </w:pPr>
      <w:r>
        <w:rPr>
          <w:color w:val="000000"/>
        </w:rPr>
        <w:t xml:space="preserve">Voor een antwoord op deze vraag kan u zich richten tot collega-minister </w:t>
      </w:r>
      <w:proofErr w:type="spellStart"/>
      <w:r>
        <w:rPr>
          <w:color w:val="000000"/>
        </w:rPr>
        <w:t>Muyters</w:t>
      </w:r>
      <w:proofErr w:type="spellEnd"/>
      <w:r>
        <w:rPr>
          <w:color w:val="000000"/>
        </w:rPr>
        <w:t>. Binnen stadsvernieuwing is groen alvast een cruciaal element bij de geïntegreerde duurzaamheidsbeoordeling door de jury.</w:t>
      </w:r>
    </w:p>
    <w:p w:rsidR="0036456D" w:rsidRDefault="0036456D" w:rsidP="0036456D">
      <w:pPr>
        <w:pStyle w:val="StandaardSV"/>
        <w:tabs>
          <w:tab w:val="left" w:pos="426"/>
        </w:tabs>
        <w:rPr>
          <w:color w:val="000000"/>
        </w:rPr>
      </w:pPr>
    </w:p>
    <w:p w:rsidR="0036456D" w:rsidRDefault="0036456D" w:rsidP="0036456D">
      <w:pPr>
        <w:pStyle w:val="StandaardSV"/>
        <w:numPr>
          <w:ilvl w:val="0"/>
          <w:numId w:val="20"/>
        </w:numPr>
        <w:tabs>
          <w:tab w:val="left" w:pos="426"/>
        </w:tabs>
        <w:rPr>
          <w:color w:val="000000"/>
        </w:rPr>
      </w:pPr>
      <w:r>
        <w:t xml:space="preserve">De afdeling duurzame landbouwontwikkeling binnen het beleidsdomein Landbouw en Visserij, bevoegdheid van de minister van landbouw, heeft een strategisch plan opgemaakt rond korte keten. Stadslandbouw maakt hierbij deel uit van een geïntegreerde korte </w:t>
      </w:r>
      <w:proofErr w:type="spellStart"/>
      <w:r>
        <w:t>keten-benadering</w:t>
      </w:r>
      <w:proofErr w:type="spellEnd"/>
      <w:r>
        <w:t xml:space="preserve">. Recent is door Vlaams minister-president Peeters een nieuwe oproep gebeurd rond </w:t>
      </w:r>
      <w:proofErr w:type="spellStart"/>
      <w:r>
        <w:t>quick</w:t>
      </w:r>
      <w:proofErr w:type="spellEnd"/>
      <w:r>
        <w:t xml:space="preserve">-win-projecten </w:t>
      </w:r>
      <w:r>
        <w:rPr>
          <w:lang w:val="nl-BE" w:eastAsia="nl-BE"/>
        </w:rPr>
        <w:t xml:space="preserve">voor de uitvoering van dit strategische plan korte keten. </w:t>
      </w:r>
    </w:p>
    <w:p w:rsidR="0036456D" w:rsidRDefault="0036456D" w:rsidP="0036456D">
      <w:pPr>
        <w:pStyle w:val="StandaardSV"/>
        <w:tabs>
          <w:tab w:val="left" w:pos="426"/>
        </w:tabs>
        <w:rPr>
          <w:color w:val="000000"/>
        </w:rPr>
      </w:pPr>
    </w:p>
    <w:p w:rsidR="0036456D" w:rsidRDefault="0036456D" w:rsidP="00475455">
      <w:pPr>
        <w:ind w:left="360"/>
        <w:jc w:val="both"/>
        <w:rPr>
          <w:color w:val="000000"/>
          <w:szCs w:val="22"/>
        </w:rPr>
      </w:pPr>
      <w:r>
        <w:rPr>
          <w:color w:val="000000"/>
          <w:szCs w:val="22"/>
        </w:rPr>
        <w:t>Voortbouwend op het Via rapport ‘landbouw in een groen en dynamisch stedengewest’ (april 2010) van de minister van landbouw werd op mijn vraag in het decreet van 28 juni 2013 betreffende duurzame landbouw en zeevisserij een bepaling opgenomen dat dit decreet ook van toepassing is op de land- en tuinbouwactiviteiten in de stedelijke omgeving. Het decreet gaat in voege vanaf 1 januari 2014.</w:t>
      </w:r>
    </w:p>
    <w:p w:rsidR="0036456D" w:rsidRDefault="0036456D" w:rsidP="00475455">
      <w:pPr>
        <w:ind w:left="9"/>
        <w:jc w:val="both"/>
        <w:rPr>
          <w:color w:val="000000"/>
          <w:szCs w:val="22"/>
        </w:rPr>
      </w:pPr>
    </w:p>
    <w:p w:rsidR="0036456D" w:rsidRDefault="0036456D" w:rsidP="00475455">
      <w:pPr>
        <w:ind w:left="360"/>
        <w:jc w:val="both"/>
        <w:rPr>
          <w:color w:val="000000"/>
          <w:szCs w:val="22"/>
          <w:lang w:val="nl-BE" w:eastAsia="nl-BE"/>
        </w:rPr>
      </w:pPr>
      <w:r>
        <w:rPr>
          <w:color w:val="000000"/>
        </w:rPr>
        <w:t>Via mijn beleidsinstrumenten tracht ik ook een hefboom te creëren. Zo zal bijvoorbeeld de stad Aalst met het stedenfonds stadslandbouw stimuleren en hebben de originele en innoverende projecten geresulteerd in o.a. ‘Moestuinen in Berchem’, ‘Gaan we samen wortels plukken’, etc.</w:t>
      </w:r>
    </w:p>
    <w:p w:rsidR="0036456D" w:rsidRDefault="0036456D" w:rsidP="0036456D">
      <w:pPr>
        <w:pStyle w:val="StandaardSV"/>
        <w:rPr>
          <w:color w:val="000000"/>
        </w:rPr>
      </w:pPr>
    </w:p>
    <w:p w:rsidR="0036456D" w:rsidRDefault="0036456D" w:rsidP="0036456D">
      <w:pPr>
        <w:pStyle w:val="StandaardSV"/>
        <w:numPr>
          <w:ilvl w:val="0"/>
          <w:numId w:val="20"/>
        </w:numPr>
        <w:tabs>
          <w:tab w:val="left" w:pos="426"/>
        </w:tabs>
        <w:rPr>
          <w:color w:val="000000"/>
        </w:rPr>
      </w:pPr>
      <w:r>
        <w:rPr>
          <w:color w:val="000000"/>
        </w:rPr>
        <w:t xml:space="preserve">Gezien dit deel uitmaakt van een toekomstig duurzaam landbouwbeleid is het belangrijk dat dit gekaderd is binnen het ganse landbouwbeleid van de Vlaamse minister-president. Zelf probeer ik vooral via hefboommiddelen innovatieve initiatieven rond stadslandbouw te stimuleren. Dit was ook een thema op de </w:t>
      </w:r>
      <w:proofErr w:type="spellStart"/>
      <w:r>
        <w:rPr>
          <w:color w:val="000000"/>
        </w:rPr>
        <w:t>trefdag</w:t>
      </w:r>
      <w:proofErr w:type="spellEnd"/>
      <w:r>
        <w:rPr>
          <w:color w:val="000000"/>
        </w:rPr>
        <w:t xml:space="preserve"> ‘Innovatie in de stad’ van 6 februari 2013 rond ‘hoe kunnen een stad en haar regio zorgen voor duurzame voedselvoorziening voor hun bewoners’. </w:t>
      </w:r>
    </w:p>
    <w:p w:rsidR="0036456D" w:rsidRDefault="0036456D" w:rsidP="0036456D">
      <w:pPr>
        <w:pStyle w:val="StandaardSV"/>
        <w:tabs>
          <w:tab w:val="left" w:pos="426"/>
        </w:tabs>
        <w:ind w:left="360"/>
        <w:rPr>
          <w:color w:val="000000"/>
        </w:rPr>
      </w:pPr>
    </w:p>
    <w:p w:rsidR="0036456D" w:rsidRDefault="0036456D" w:rsidP="0036456D">
      <w:pPr>
        <w:pStyle w:val="StandaardSV"/>
        <w:numPr>
          <w:ilvl w:val="0"/>
          <w:numId w:val="20"/>
        </w:numPr>
        <w:tabs>
          <w:tab w:val="left" w:pos="426"/>
        </w:tabs>
        <w:rPr>
          <w:color w:val="000000"/>
        </w:rPr>
      </w:pPr>
      <w:r>
        <w:rPr>
          <w:color w:val="000000"/>
          <w:szCs w:val="22"/>
        </w:rPr>
        <w:t xml:space="preserve">Met de subsidies voor originele en innoverende projecten heb ik reeds diverse proefprojecten rond stadslandbouw gestimuleerd zoals </w:t>
      </w:r>
      <w:r>
        <w:rPr>
          <w:color w:val="000000"/>
        </w:rPr>
        <w:t>‘Moestuinen in Berchem’, ‘Gaan we samen wortels plukken’,’</w:t>
      </w:r>
      <w:proofErr w:type="spellStart"/>
      <w:r>
        <w:rPr>
          <w:color w:val="000000"/>
        </w:rPr>
        <w:t>Boer’nBrood</w:t>
      </w:r>
      <w:proofErr w:type="spellEnd"/>
      <w:r>
        <w:rPr>
          <w:color w:val="000000"/>
        </w:rPr>
        <w:t>’, ‘Eetbaar Sint-Andrieskwartier’, ‘businessplan sociale kruideniers in Gent met aandacht voor korte keten’ en ‘Een Leuvense voedselstrategie’.</w:t>
      </w:r>
      <w:bookmarkStart w:id="6" w:name="_GoBack"/>
      <w:bookmarkEnd w:id="6"/>
    </w:p>
    <w:sectPr w:rsidR="0036456D"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CD9" w:rsidRDefault="00550CD9" w:rsidP="00550CD9">
      <w:r>
        <w:separator/>
      </w:r>
    </w:p>
  </w:endnote>
  <w:endnote w:type="continuationSeparator" w:id="0">
    <w:p w:rsidR="00550CD9" w:rsidRDefault="00550CD9" w:rsidP="00550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CD9" w:rsidRDefault="00550CD9" w:rsidP="00550CD9">
      <w:r>
        <w:separator/>
      </w:r>
    </w:p>
  </w:footnote>
  <w:footnote w:type="continuationSeparator" w:id="0">
    <w:p w:rsidR="00550CD9" w:rsidRDefault="00550CD9" w:rsidP="00550C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3D2E"/>
    <w:multiLevelType w:val="hybridMultilevel"/>
    <w:tmpl w:val="D9C4BE2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nsid w:val="007E0448"/>
    <w:multiLevelType w:val="hybridMultilevel"/>
    <w:tmpl w:val="C770A6FA"/>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15F55BD"/>
    <w:multiLevelType w:val="hybridMultilevel"/>
    <w:tmpl w:val="E33E6E9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nsid w:val="06E70B20"/>
    <w:multiLevelType w:val="hybridMultilevel"/>
    <w:tmpl w:val="35323FFE"/>
    <w:lvl w:ilvl="0" w:tplc="0413000F">
      <w:start w:val="1"/>
      <w:numFmt w:val="decimal"/>
      <w:lvlText w:val="%1."/>
      <w:lvlJc w:val="left"/>
      <w:pPr>
        <w:tabs>
          <w:tab w:val="num" w:pos="360"/>
        </w:tabs>
        <w:ind w:left="360" w:hanging="360"/>
      </w:pPr>
      <w:rPr>
        <w:color w:val="auto"/>
      </w:r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4">
    <w:nsid w:val="09430F93"/>
    <w:multiLevelType w:val="hybridMultilevel"/>
    <w:tmpl w:val="D08AC56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nsid w:val="096651E6"/>
    <w:multiLevelType w:val="hybridMultilevel"/>
    <w:tmpl w:val="6AFCE19C"/>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6">
    <w:nsid w:val="1B472454"/>
    <w:multiLevelType w:val="hybridMultilevel"/>
    <w:tmpl w:val="09F4412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1D980FA7"/>
    <w:multiLevelType w:val="hybridMultilevel"/>
    <w:tmpl w:val="4CA0EAF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32CC766B"/>
    <w:multiLevelType w:val="hybridMultilevel"/>
    <w:tmpl w:val="3BF0C686"/>
    <w:lvl w:ilvl="0" w:tplc="0413000F">
      <w:start w:val="1"/>
      <w:numFmt w:val="decimal"/>
      <w:lvlText w:val="%1."/>
      <w:lvlJc w:val="left"/>
      <w:pPr>
        <w:tabs>
          <w:tab w:val="num" w:pos="360"/>
        </w:tabs>
        <w:ind w:left="360" w:hanging="360"/>
      </w:pPr>
    </w:lvl>
    <w:lvl w:ilvl="1" w:tplc="04130005">
      <w:start w:val="1"/>
      <w:numFmt w:val="bullet"/>
      <w:lvlText w:val=""/>
      <w:lvlJc w:val="left"/>
      <w:pPr>
        <w:tabs>
          <w:tab w:val="num" w:pos="1440"/>
        </w:tabs>
        <w:ind w:left="1440" w:hanging="360"/>
      </w:pPr>
      <w:rPr>
        <w:rFonts w:ascii="Wingdings" w:hAnsi="Wingdings" w:hint="default"/>
      </w:r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9">
    <w:nsid w:val="32E666DD"/>
    <w:multiLevelType w:val="hybridMultilevel"/>
    <w:tmpl w:val="2370080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3B945B16"/>
    <w:multiLevelType w:val="hybridMultilevel"/>
    <w:tmpl w:val="21B8D820"/>
    <w:lvl w:ilvl="0" w:tplc="50A068D4">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3ED950CA"/>
    <w:multiLevelType w:val="hybridMultilevel"/>
    <w:tmpl w:val="50203A30"/>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4E2403CC"/>
    <w:multiLevelType w:val="hybridMultilevel"/>
    <w:tmpl w:val="7E3E9DDE"/>
    <w:lvl w:ilvl="0" w:tplc="B6D22E26">
      <w:start w:val="1"/>
      <w:numFmt w:val="decimal"/>
      <w:lvlText w:val="%1."/>
      <w:lvlJc w:val="left"/>
      <w:pPr>
        <w:tabs>
          <w:tab w:val="num" w:pos="360"/>
        </w:tabs>
        <w:ind w:left="360" w:hanging="360"/>
      </w:pPr>
      <w:rPr>
        <w:rFonts w:hint="default"/>
        <w:i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nsid w:val="533138A3"/>
    <w:multiLevelType w:val="hybridMultilevel"/>
    <w:tmpl w:val="DF70747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4">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15">
    <w:nsid w:val="69F76FE1"/>
    <w:multiLevelType w:val="hybridMultilevel"/>
    <w:tmpl w:val="975E9266"/>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6E306E48"/>
    <w:multiLevelType w:val="hybridMultilevel"/>
    <w:tmpl w:val="0E1EDA12"/>
    <w:lvl w:ilvl="0" w:tplc="7F1839FE">
      <w:start w:val="3"/>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17">
    <w:nsid w:val="73902683"/>
    <w:multiLevelType w:val="hybridMultilevel"/>
    <w:tmpl w:val="5074C9B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nsid w:val="784C417A"/>
    <w:multiLevelType w:val="hybridMultilevel"/>
    <w:tmpl w:val="5D0AC3F0"/>
    <w:lvl w:ilvl="0" w:tplc="04C208B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Symbo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Symbol"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4"/>
  </w:num>
  <w:num w:numId="3">
    <w:abstractNumId w:val="8"/>
  </w:num>
  <w:num w:numId="4">
    <w:abstractNumId w:val="1"/>
  </w:num>
  <w:num w:numId="5">
    <w:abstractNumId w:val="18"/>
  </w:num>
  <w:num w:numId="6">
    <w:abstractNumId w:val="11"/>
  </w:num>
  <w:num w:numId="7">
    <w:abstractNumId w:val="15"/>
  </w:num>
  <w:num w:numId="8">
    <w:abstractNumId w:val="12"/>
  </w:num>
  <w:num w:numId="9">
    <w:abstractNumId w:val="13"/>
  </w:num>
  <w:num w:numId="10">
    <w:abstractNumId w:val="4"/>
  </w:num>
  <w:num w:numId="11">
    <w:abstractNumId w:val="7"/>
  </w:num>
  <w:num w:numId="12">
    <w:abstractNumId w:val="6"/>
  </w:num>
  <w:num w:numId="13">
    <w:abstractNumId w:val="0"/>
  </w:num>
  <w:num w:numId="14">
    <w:abstractNumId w:val="2"/>
  </w:num>
  <w:num w:numId="15">
    <w:abstractNumId w:val="9"/>
  </w:num>
  <w:num w:numId="16">
    <w:abstractNumId w:val="16"/>
  </w:num>
  <w:num w:numId="17">
    <w:abstractNumId w:val="17"/>
  </w:num>
  <w:num w:numId="18">
    <w:abstractNumId w:val="10"/>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YQJ6Fr9Bct4QK7R96XRwGvFa2I0=" w:salt="YBcRTfjfSZxrSyl7V7YzZ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1DB"/>
    <w:rsid w:val="00025658"/>
    <w:rsid w:val="00064354"/>
    <w:rsid w:val="000700DB"/>
    <w:rsid w:val="00095C78"/>
    <w:rsid w:val="000976E9"/>
    <w:rsid w:val="000B265A"/>
    <w:rsid w:val="000C409A"/>
    <w:rsid w:val="000C4E8C"/>
    <w:rsid w:val="000F3532"/>
    <w:rsid w:val="00103F3F"/>
    <w:rsid w:val="00160691"/>
    <w:rsid w:val="001819F4"/>
    <w:rsid w:val="00187939"/>
    <w:rsid w:val="001924D1"/>
    <w:rsid w:val="001D5EDF"/>
    <w:rsid w:val="001F1B7C"/>
    <w:rsid w:val="0020452E"/>
    <w:rsid w:val="002051DB"/>
    <w:rsid w:val="0020756A"/>
    <w:rsid w:val="00210C07"/>
    <w:rsid w:val="002477E0"/>
    <w:rsid w:val="00255F70"/>
    <w:rsid w:val="00274040"/>
    <w:rsid w:val="002843DB"/>
    <w:rsid w:val="002A36D2"/>
    <w:rsid w:val="002E2E09"/>
    <w:rsid w:val="002F01B0"/>
    <w:rsid w:val="00326A58"/>
    <w:rsid w:val="00343D8C"/>
    <w:rsid w:val="003537D9"/>
    <w:rsid w:val="00360E5D"/>
    <w:rsid w:val="00361C8B"/>
    <w:rsid w:val="0036456D"/>
    <w:rsid w:val="00383E6D"/>
    <w:rsid w:val="003A1ED9"/>
    <w:rsid w:val="003A3954"/>
    <w:rsid w:val="003B0B98"/>
    <w:rsid w:val="003C4967"/>
    <w:rsid w:val="003C7A81"/>
    <w:rsid w:val="003E3FD0"/>
    <w:rsid w:val="00417533"/>
    <w:rsid w:val="004314D9"/>
    <w:rsid w:val="00461EAE"/>
    <w:rsid w:val="00463FCD"/>
    <w:rsid w:val="00471904"/>
    <w:rsid w:val="00475455"/>
    <w:rsid w:val="0049276A"/>
    <w:rsid w:val="004A58EA"/>
    <w:rsid w:val="004C0DB9"/>
    <w:rsid w:val="004E4428"/>
    <w:rsid w:val="00502717"/>
    <w:rsid w:val="00520A83"/>
    <w:rsid w:val="00531D97"/>
    <w:rsid w:val="00537332"/>
    <w:rsid w:val="00545D2F"/>
    <w:rsid w:val="00550CD9"/>
    <w:rsid w:val="0057454F"/>
    <w:rsid w:val="00582253"/>
    <w:rsid w:val="00593DA1"/>
    <w:rsid w:val="005E2500"/>
    <w:rsid w:val="005E38CA"/>
    <w:rsid w:val="00605C00"/>
    <w:rsid w:val="00652275"/>
    <w:rsid w:val="00652777"/>
    <w:rsid w:val="00655B7D"/>
    <w:rsid w:val="006563FB"/>
    <w:rsid w:val="0069696E"/>
    <w:rsid w:val="006A2B8E"/>
    <w:rsid w:val="006A76E7"/>
    <w:rsid w:val="006C63D0"/>
    <w:rsid w:val="006E50EA"/>
    <w:rsid w:val="006F69CF"/>
    <w:rsid w:val="0071248C"/>
    <w:rsid w:val="007252C7"/>
    <w:rsid w:val="00757A0D"/>
    <w:rsid w:val="00765CAB"/>
    <w:rsid w:val="007A2F03"/>
    <w:rsid w:val="007C2AF1"/>
    <w:rsid w:val="007D0494"/>
    <w:rsid w:val="007D49C2"/>
    <w:rsid w:val="008542BF"/>
    <w:rsid w:val="00862559"/>
    <w:rsid w:val="00877435"/>
    <w:rsid w:val="008A1969"/>
    <w:rsid w:val="008A2B12"/>
    <w:rsid w:val="008D5DB4"/>
    <w:rsid w:val="008D6F7B"/>
    <w:rsid w:val="008E773A"/>
    <w:rsid w:val="009313F2"/>
    <w:rsid w:val="009347E0"/>
    <w:rsid w:val="009456B5"/>
    <w:rsid w:val="009568F5"/>
    <w:rsid w:val="009666FC"/>
    <w:rsid w:val="00996094"/>
    <w:rsid w:val="009A027C"/>
    <w:rsid w:val="009D7043"/>
    <w:rsid w:val="009E093B"/>
    <w:rsid w:val="00A13664"/>
    <w:rsid w:val="00A30112"/>
    <w:rsid w:val="00A47636"/>
    <w:rsid w:val="00A61C86"/>
    <w:rsid w:val="00A82E28"/>
    <w:rsid w:val="00A96688"/>
    <w:rsid w:val="00AA58D4"/>
    <w:rsid w:val="00AD2437"/>
    <w:rsid w:val="00AF7000"/>
    <w:rsid w:val="00B06A7F"/>
    <w:rsid w:val="00B32B02"/>
    <w:rsid w:val="00B337F3"/>
    <w:rsid w:val="00B37A7D"/>
    <w:rsid w:val="00B45040"/>
    <w:rsid w:val="00B45EB2"/>
    <w:rsid w:val="00B535DE"/>
    <w:rsid w:val="00B8787B"/>
    <w:rsid w:val="00B91B20"/>
    <w:rsid w:val="00BC6A14"/>
    <w:rsid w:val="00BE425A"/>
    <w:rsid w:val="00C064A2"/>
    <w:rsid w:val="00C46A55"/>
    <w:rsid w:val="00C81B93"/>
    <w:rsid w:val="00C86ADC"/>
    <w:rsid w:val="00C91441"/>
    <w:rsid w:val="00CC1D69"/>
    <w:rsid w:val="00D22297"/>
    <w:rsid w:val="00D71D99"/>
    <w:rsid w:val="00D754F2"/>
    <w:rsid w:val="00D86A60"/>
    <w:rsid w:val="00DB2DE6"/>
    <w:rsid w:val="00DB41C0"/>
    <w:rsid w:val="00DC4DB6"/>
    <w:rsid w:val="00DF46AC"/>
    <w:rsid w:val="00E55200"/>
    <w:rsid w:val="00E55EE8"/>
    <w:rsid w:val="00E619AA"/>
    <w:rsid w:val="00E728F6"/>
    <w:rsid w:val="00E806BD"/>
    <w:rsid w:val="00E85C8D"/>
    <w:rsid w:val="00E94286"/>
    <w:rsid w:val="00EC6F9E"/>
    <w:rsid w:val="00F02A90"/>
    <w:rsid w:val="00F64DC8"/>
    <w:rsid w:val="00FA29D6"/>
    <w:rsid w:val="00FA7F3A"/>
    <w:rsid w:val="00FD0233"/>
    <w:rsid w:val="00FD3BC5"/>
    <w:rsid w:val="00FD5BF4"/>
    <w:rsid w:val="00FE5406"/>
    <w:rsid w:val="00FF3F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D2437"/>
    <w:pPr>
      <w:widowControl w:val="0"/>
      <w:spacing w:after="120" w:line="240" w:lineRule="atLeast"/>
      <w:ind w:left="720"/>
      <w:contextualSpacing/>
    </w:pPr>
    <w:rPr>
      <w:rFonts w:ascii="Trebuchet MS" w:hAnsi="Trebuchet MS"/>
      <w:sz w:val="20"/>
      <w:szCs w:val="20"/>
      <w:lang w:val="nl-BE"/>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customStyle="1" w:styleId="SVTitel">
    <w:name w:val="SV Titel"/>
    <w:basedOn w:val="Standaard"/>
    <w:rsid w:val="00AD2437"/>
    <w:pPr>
      <w:jc w:val="both"/>
    </w:pPr>
    <w:rPr>
      <w:i/>
      <w:szCs w:val="20"/>
    </w:rPr>
  </w:style>
  <w:style w:type="character" w:styleId="Hyperlink">
    <w:name w:val="Hyperlink"/>
    <w:basedOn w:val="Standaardalinea-lettertype"/>
    <w:rsid w:val="00AD2437"/>
    <w:rPr>
      <w:color w:val="0000FF"/>
      <w:u w:val="single"/>
    </w:rPr>
  </w:style>
  <w:style w:type="paragraph" w:styleId="Documentstructuur">
    <w:name w:val="Document Map"/>
    <w:basedOn w:val="Standaard"/>
    <w:semiHidden/>
    <w:rsid w:val="009456B5"/>
    <w:pPr>
      <w:shd w:val="clear" w:color="auto" w:fill="000080"/>
    </w:pPr>
    <w:rPr>
      <w:rFonts w:ascii="Tahoma" w:hAnsi="Tahoma" w:cs="Tahoma"/>
      <w:sz w:val="20"/>
      <w:szCs w:val="20"/>
    </w:rPr>
  </w:style>
  <w:style w:type="paragraph" w:customStyle="1" w:styleId="Tekstbrief">
    <w:name w:val="Tekst brief"/>
    <w:basedOn w:val="Tekstopmerking"/>
    <w:semiHidden/>
    <w:rsid w:val="00095C78"/>
    <w:pPr>
      <w:tabs>
        <w:tab w:val="left" w:pos="284"/>
        <w:tab w:val="left" w:pos="567"/>
        <w:tab w:val="left" w:pos="851"/>
        <w:tab w:val="center" w:pos="4394"/>
        <w:tab w:val="right" w:pos="8789"/>
      </w:tabs>
    </w:pPr>
    <w:rPr>
      <w:rFonts w:ascii="Arial" w:hAnsi="Arial"/>
      <w:sz w:val="22"/>
      <w:szCs w:val="22"/>
    </w:rPr>
  </w:style>
  <w:style w:type="table" w:styleId="Tabelraster">
    <w:name w:val="Table Grid"/>
    <w:basedOn w:val="Standaardtabel"/>
    <w:rsid w:val="00095C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opmerking">
    <w:name w:val="annotation text"/>
    <w:basedOn w:val="Standaard"/>
    <w:semiHidden/>
    <w:rsid w:val="00095C78"/>
    <w:rPr>
      <w:sz w:val="20"/>
      <w:szCs w:val="20"/>
    </w:rPr>
  </w:style>
  <w:style w:type="paragraph" w:customStyle="1" w:styleId="StandaardSV">
    <w:name w:val="Standaard SV"/>
    <w:basedOn w:val="Standaard"/>
    <w:link w:val="StandaardSVChar"/>
    <w:rsid w:val="00E619AA"/>
    <w:pPr>
      <w:jc w:val="both"/>
    </w:pPr>
    <w:rPr>
      <w:szCs w:val="20"/>
    </w:rPr>
  </w:style>
  <w:style w:type="paragraph" w:styleId="Normaalweb">
    <w:name w:val="Normal (Web)"/>
    <w:basedOn w:val="Standaard"/>
    <w:uiPriority w:val="99"/>
    <w:unhideWhenUsed/>
    <w:rsid w:val="00550CD9"/>
    <w:pPr>
      <w:spacing w:after="240" w:line="360" w:lineRule="atLeast"/>
    </w:pPr>
    <w:rPr>
      <w:sz w:val="24"/>
      <w:lang w:val="nl-BE" w:eastAsia="nl-BE"/>
    </w:rPr>
  </w:style>
  <w:style w:type="paragraph" w:styleId="Voetnoottekst">
    <w:name w:val="footnote text"/>
    <w:basedOn w:val="Standaard"/>
    <w:link w:val="VoetnoottekstChar"/>
    <w:uiPriority w:val="99"/>
    <w:unhideWhenUsed/>
    <w:rsid w:val="00550CD9"/>
    <w:rPr>
      <w:rFonts w:ascii="Calibri" w:eastAsia="Calibri" w:hAnsi="Calibri"/>
      <w:sz w:val="20"/>
      <w:szCs w:val="20"/>
      <w:lang w:val="nl-BE" w:eastAsia="en-US"/>
    </w:rPr>
  </w:style>
  <w:style w:type="character" w:customStyle="1" w:styleId="VoetnoottekstChar">
    <w:name w:val="Voetnoottekst Char"/>
    <w:basedOn w:val="Standaardalinea-lettertype"/>
    <w:link w:val="Voetnoottekst"/>
    <w:uiPriority w:val="99"/>
    <w:rsid w:val="00550CD9"/>
    <w:rPr>
      <w:rFonts w:ascii="Calibri" w:eastAsia="Calibri" w:hAnsi="Calibri"/>
      <w:lang w:eastAsia="en-US"/>
    </w:rPr>
  </w:style>
  <w:style w:type="character" w:customStyle="1" w:styleId="StandaardSVChar">
    <w:name w:val="Standaard SV Char"/>
    <w:link w:val="StandaardSV"/>
    <w:locked/>
    <w:rsid w:val="00550CD9"/>
    <w:rPr>
      <w:sz w:val="22"/>
      <w:lang w:val="nl-NL" w:eastAsia="nl-NL"/>
    </w:rPr>
  </w:style>
  <w:style w:type="character" w:styleId="Voetnootmarkering">
    <w:name w:val="footnote reference"/>
    <w:unhideWhenUsed/>
    <w:rsid w:val="00550CD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D2437"/>
    <w:pPr>
      <w:widowControl w:val="0"/>
      <w:spacing w:after="120" w:line="240" w:lineRule="atLeast"/>
      <w:ind w:left="720"/>
      <w:contextualSpacing/>
    </w:pPr>
    <w:rPr>
      <w:rFonts w:ascii="Trebuchet MS" w:hAnsi="Trebuchet MS"/>
      <w:sz w:val="20"/>
      <w:szCs w:val="20"/>
      <w:lang w:val="nl-BE"/>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customStyle="1" w:styleId="SVTitel">
    <w:name w:val="SV Titel"/>
    <w:basedOn w:val="Standaard"/>
    <w:rsid w:val="00AD2437"/>
    <w:pPr>
      <w:jc w:val="both"/>
    </w:pPr>
    <w:rPr>
      <w:i/>
      <w:szCs w:val="20"/>
    </w:rPr>
  </w:style>
  <w:style w:type="character" w:styleId="Hyperlink">
    <w:name w:val="Hyperlink"/>
    <w:basedOn w:val="Standaardalinea-lettertype"/>
    <w:rsid w:val="00AD2437"/>
    <w:rPr>
      <w:color w:val="0000FF"/>
      <w:u w:val="single"/>
    </w:rPr>
  </w:style>
  <w:style w:type="paragraph" w:styleId="Documentstructuur">
    <w:name w:val="Document Map"/>
    <w:basedOn w:val="Standaard"/>
    <w:semiHidden/>
    <w:rsid w:val="009456B5"/>
    <w:pPr>
      <w:shd w:val="clear" w:color="auto" w:fill="000080"/>
    </w:pPr>
    <w:rPr>
      <w:rFonts w:ascii="Tahoma" w:hAnsi="Tahoma" w:cs="Tahoma"/>
      <w:sz w:val="20"/>
      <w:szCs w:val="20"/>
    </w:rPr>
  </w:style>
  <w:style w:type="paragraph" w:customStyle="1" w:styleId="Tekstbrief">
    <w:name w:val="Tekst brief"/>
    <w:basedOn w:val="Tekstopmerking"/>
    <w:semiHidden/>
    <w:rsid w:val="00095C78"/>
    <w:pPr>
      <w:tabs>
        <w:tab w:val="left" w:pos="284"/>
        <w:tab w:val="left" w:pos="567"/>
        <w:tab w:val="left" w:pos="851"/>
        <w:tab w:val="center" w:pos="4394"/>
        <w:tab w:val="right" w:pos="8789"/>
      </w:tabs>
    </w:pPr>
    <w:rPr>
      <w:rFonts w:ascii="Arial" w:hAnsi="Arial"/>
      <w:sz w:val="22"/>
      <w:szCs w:val="22"/>
    </w:rPr>
  </w:style>
  <w:style w:type="table" w:styleId="Tabelraster">
    <w:name w:val="Table Grid"/>
    <w:basedOn w:val="Standaardtabel"/>
    <w:rsid w:val="00095C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opmerking">
    <w:name w:val="annotation text"/>
    <w:basedOn w:val="Standaard"/>
    <w:semiHidden/>
    <w:rsid w:val="00095C78"/>
    <w:rPr>
      <w:sz w:val="20"/>
      <w:szCs w:val="20"/>
    </w:rPr>
  </w:style>
  <w:style w:type="paragraph" w:customStyle="1" w:styleId="StandaardSV">
    <w:name w:val="Standaard SV"/>
    <w:basedOn w:val="Standaard"/>
    <w:link w:val="StandaardSVChar"/>
    <w:rsid w:val="00E619AA"/>
    <w:pPr>
      <w:jc w:val="both"/>
    </w:pPr>
    <w:rPr>
      <w:szCs w:val="20"/>
    </w:rPr>
  </w:style>
  <w:style w:type="paragraph" w:styleId="Normaalweb">
    <w:name w:val="Normal (Web)"/>
    <w:basedOn w:val="Standaard"/>
    <w:uiPriority w:val="99"/>
    <w:unhideWhenUsed/>
    <w:rsid w:val="00550CD9"/>
    <w:pPr>
      <w:spacing w:after="240" w:line="360" w:lineRule="atLeast"/>
    </w:pPr>
    <w:rPr>
      <w:sz w:val="24"/>
      <w:lang w:val="nl-BE" w:eastAsia="nl-BE"/>
    </w:rPr>
  </w:style>
  <w:style w:type="paragraph" w:styleId="Voetnoottekst">
    <w:name w:val="footnote text"/>
    <w:basedOn w:val="Standaard"/>
    <w:link w:val="VoetnoottekstChar"/>
    <w:uiPriority w:val="99"/>
    <w:unhideWhenUsed/>
    <w:rsid w:val="00550CD9"/>
    <w:rPr>
      <w:rFonts w:ascii="Calibri" w:eastAsia="Calibri" w:hAnsi="Calibri"/>
      <w:sz w:val="20"/>
      <w:szCs w:val="20"/>
      <w:lang w:val="nl-BE" w:eastAsia="en-US"/>
    </w:rPr>
  </w:style>
  <w:style w:type="character" w:customStyle="1" w:styleId="VoetnoottekstChar">
    <w:name w:val="Voetnoottekst Char"/>
    <w:basedOn w:val="Standaardalinea-lettertype"/>
    <w:link w:val="Voetnoottekst"/>
    <w:uiPriority w:val="99"/>
    <w:rsid w:val="00550CD9"/>
    <w:rPr>
      <w:rFonts w:ascii="Calibri" w:eastAsia="Calibri" w:hAnsi="Calibri"/>
      <w:lang w:eastAsia="en-US"/>
    </w:rPr>
  </w:style>
  <w:style w:type="character" w:customStyle="1" w:styleId="StandaardSVChar">
    <w:name w:val="Standaard SV Char"/>
    <w:link w:val="StandaardSV"/>
    <w:locked/>
    <w:rsid w:val="00550CD9"/>
    <w:rPr>
      <w:sz w:val="22"/>
      <w:lang w:val="nl-NL" w:eastAsia="nl-NL"/>
    </w:rPr>
  </w:style>
  <w:style w:type="character" w:styleId="Voetnootmarkering">
    <w:name w:val="footnote reference"/>
    <w:unhideWhenUsed/>
    <w:rsid w:val="00550C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571241">
      <w:bodyDiv w:val="1"/>
      <w:marLeft w:val="0"/>
      <w:marRight w:val="0"/>
      <w:marTop w:val="0"/>
      <w:marBottom w:val="0"/>
      <w:divBdr>
        <w:top w:val="none" w:sz="0" w:space="0" w:color="auto"/>
        <w:left w:val="none" w:sz="0" w:space="0" w:color="auto"/>
        <w:bottom w:val="none" w:sz="0" w:space="0" w:color="auto"/>
        <w:right w:val="none" w:sz="0" w:space="0" w:color="auto"/>
      </w:divBdr>
    </w:div>
    <w:div w:id="1374428698">
      <w:bodyDiv w:val="1"/>
      <w:marLeft w:val="0"/>
      <w:marRight w:val="0"/>
      <w:marTop w:val="0"/>
      <w:marBottom w:val="0"/>
      <w:divBdr>
        <w:top w:val="none" w:sz="0" w:space="0" w:color="auto"/>
        <w:left w:val="none" w:sz="0" w:space="0" w:color="auto"/>
        <w:bottom w:val="none" w:sz="0" w:space="0" w:color="auto"/>
        <w:right w:val="none" w:sz="0" w:space="0" w:color="auto"/>
      </w:divBdr>
    </w:div>
    <w:div w:id="1512329607">
      <w:bodyDiv w:val="1"/>
      <w:marLeft w:val="0"/>
      <w:marRight w:val="0"/>
      <w:marTop w:val="0"/>
      <w:marBottom w:val="0"/>
      <w:divBdr>
        <w:top w:val="none" w:sz="0" w:space="0" w:color="auto"/>
        <w:left w:val="none" w:sz="0" w:space="0" w:color="auto"/>
        <w:bottom w:val="none" w:sz="0" w:space="0" w:color="auto"/>
        <w:right w:val="none" w:sz="0" w:space="0" w:color="auto"/>
      </w:divBdr>
    </w:div>
    <w:div w:id="213752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8B2DD-2C6E-4214-AFB2-9BA779053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1533</Words>
  <Characters>9241</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Antwoord op Schriftelijke Vraag 265</vt:lpstr>
    </vt:vector>
  </TitlesOfParts>
  <Company>Vlaamse Maatschappij voor Sociaal Wonen</Company>
  <LinksUpToDate>false</LinksUpToDate>
  <CharactersWithSpaces>10753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 265</dc:title>
  <dc:subject>Antwoord op Schriftelijke Vraag</dc:subject>
  <dc:creator>Raes, Ellen</dc:creator>
  <cp:lastModifiedBy>Nathalie De Keyzer</cp:lastModifiedBy>
  <cp:revision>3</cp:revision>
  <cp:lastPrinted>1900-12-31T23:00:00Z</cp:lastPrinted>
  <dcterms:created xsi:type="dcterms:W3CDTF">2013-10-29T12:07:00Z</dcterms:created>
  <dcterms:modified xsi:type="dcterms:W3CDTF">2013-11-13T10:08:00Z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2010-05-10T00:00:00Z</vt:lpwstr>
  </property>
  <property fmtid="{D5CDD505-2E9C-101B-9397-08002B2CF9AE}" pid="3" name="Kenmerk">
    <vt:lpwstr/>
  </property>
  <property fmtid="{D5CDD505-2E9C-101B-9397-08002B2CF9AE}" pid="4" name="NaamAfzender">
    <vt:lpwstr>&lt;div&gt;&lt;/div&gt;</vt:lpwstr>
  </property>
  <property fmtid="{D5CDD505-2E9C-101B-9397-08002B2CF9AE}" pid="5" name="AardVanVerzoek">
    <vt:lpwstr/>
  </property>
  <property fmtid="{D5CDD505-2E9C-101B-9397-08002B2CF9AE}" pid="6" name="Extra Opmerkingen">
    <vt:lpwstr>&lt;div&gt;&lt;/div&gt;</vt:lpwstr>
  </property>
  <property fmtid="{D5CDD505-2E9C-101B-9397-08002B2CF9AE}" pid="7" name="AntwoordBinnenDertigDagen">
    <vt:lpwstr>0</vt:lpwstr>
  </property>
  <property fmtid="{D5CDD505-2E9C-101B-9397-08002B2CF9AE}" pid="8" name="Finaal Antwoord">
    <vt:lpwstr>0</vt:lpwstr>
  </property>
  <property fmtid="{D5CDD505-2E9C-101B-9397-08002B2CF9AE}" pid="9" name="ContentType">
    <vt:lpwstr>RWO Document</vt:lpwstr>
  </property>
  <property fmtid="{D5CDD505-2E9C-101B-9397-08002B2CF9AE}" pid="10" name="AanduidenVanInstantie">
    <vt:lpwstr>;#Departement RWO;#</vt:lpwstr>
  </property>
</Properties>
</file>