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52777"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652777"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5277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52777" w:rsidRPr="00326A58">
        <w:rPr>
          <w:b w:val="0"/>
        </w:rPr>
      </w:r>
      <w:r w:rsidR="00652777" w:rsidRPr="00326A58">
        <w:rPr>
          <w:b w:val="0"/>
        </w:rPr>
        <w:fldChar w:fldCharType="separate"/>
      </w:r>
      <w:r w:rsidR="00550CD9">
        <w:rPr>
          <w:b w:val="0"/>
        </w:rPr>
        <w:t>28</w:t>
      </w:r>
      <w:r w:rsidR="0065277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5277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52777">
        <w:rPr>
          <w:b w:val="0"/>
        </w:rPr>
      </w:r>
      <w:r w:rsidR="00652777">
        <w:rPr>
          <w:b w:val="0"/>
        </w:rPr>
        <w:fldChar w:fldCharType="separate"/>
      </w:r>
      <w:r w:rsidR="00550CD9">
        <w:rPr>
          <w:b w:val="0"/>
        </w:rPr>
        <w:t>10</w:t>
      </w:r>
      <w:r w:rsidR="00652777">
        <w:rPr>
          <w:b w:val="0"/>
        </w:rPr>
        <w:fldChar w:fldCharType="end"/>
      </w:r>
      <w:bookmarkEnd w:id="3"/>
      <w:r w:rsidRPr="00326A58">
        <w:rPr>
          <w:b w:val="0"/>
        </w:rPr>
        <w:t xml:space="preserve"> </w:t>
      </w:r>
      <w:bookmarkStart w:id="4" w:name="Dropdown2"/>
      <w:r w:rsidR="00652777">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F0D4D">
        <w:rPr>
          <w:b w:val="0"/>
        </w:rPr>
      </w:r>
      <w:r w:rsidR="00DF0D4D">
        <w:rPr>
          <w:b w:val="0"/>
        </w:rPr>
        <w:fldChar w:fldCharType="separate"/>
      </w:r>
      <w:r w:rsidR="00652777">
        <w:rPr>
          <w:b w:val="0"/>
        </w:rPr>
        <w:fldChar w:fldCharType="end"/>
      </w:r>
      <w:bookmarkEnd w:id="4"/>
      <w:r w:rsidRPr="00326A58">
        <w:rPr>
          <w:b w:val="0"/>
        </w:rPr>
        <w:t xml:space="preserve"> </w:t>
      </w:r>
      <w:bookmarkStart w:id="5" w:name="Dropdown3"/>
      <w:r w:rsidR="0065277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F0D4D">
        <w:rPr>
          <w:b w:val="0"/>
        </w:rPr>
      </w:r>
      <w:r w:rsidR="00DF0D4D">
        <w:rPr>
          <w:b w:val="0"/>
        </w:rPr>
        <w:fldChar w:fldCharType="separate"/>
      </w:r>
      <w:r w:rsidR="00652777">
        <w:rPr>
          <w:b w:val="0"/>
        </w:rPr>
        <w:fldChar w:fldCharType="end"/>
      </w:r>
      <w:bookmarkEnd w:id="5"/>
    </w:p>
    <w:p w:rsidR="000976E9" w:rsidRDefault="000976E9" w:rsidP="000976E9">
      <w:pPr>
        <w:rPr>
          <w:szCs w:val="22"/>
        </w:rPr>
      </w:pPr>
      <w:r>
        <w:rPr>
          <w:szCs w:val="22"/>
        </w:rPr>
        <w:t xml:space="preserve">van </w:t>
      </w:r>
      <w:r w:rsidR="0065277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52777" w:rsidRPr="009D7043">
        <w:rPr>
          <w:rStyle w:val="AntwoordNaamMinisterChar"/>
        </w:rPr>
      </w:r>
      <w:r w:rsidR="00652777" w:rsidRPr="009D7043">
        <w:rPr>
          <w:rStyle w:val="AntwoordNaamMinisterChar"/>
        </w:rPr>
        <w:fldChar w:fldCharType="separate"/>
      </w:r>
      <w:r w:rsidR="00550CD9">
        <w:rPr>
          <w:rStyle w:val="AntwoordNaamMinisterChar"/>
        </w:rPr>
        <w:t>khadija zamouri</w:t>
      </w:r>
      <w:r w:rsidR="0065277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50CD9" w:rsidRDefault="00550CD9" w:rsidP="00550CD9">
      <w:pPr>
        <w:pStyle w:val="StandaardSV"/>
        <w:numPr>
          <w:ilvl w:val="0"/>
          <w:numId w:val="19"/>
        </w:numPr>
        <w:rPr>
          <w:color w:val="000000"/>
        </w:rPr>
      </w:pPr>
      <w:r>
        <w:rPr>
          <w:color w:val="000000"/>
        </w:rPr>
        <w:lastRenderedPageBreak/>
        <w:t xml:space="preserve">Er is reeds een eerste overleg geweest tussen het Agentschap voor Natuur en Bos en het team stedenbeleid van het Agentschap voor Binnenlands Bestuur rond bestaande en geplande instrumenten om centrumsteden te stimuleren om een algehele visie op groene ruimte en parken te ontwikkelen. </w:t>
      </w:r>
    </w:p>
    <w:p w:rsidR="00550CD9" w:rsidRDefault="00550CD9" w:rsidP="00DF0D4D">
      <w:pPr>
        <w:pStyle w:val="StandaardSV"/>
        <w:ind w:left="360"/>
        <w:rPr>
          <w:color w:val="000000"/>
        </w:rPr>
      </w:pPr>
      <w:r w:rsidRPr="00550CD9">
        <w:rPr>
          <w:color w:val="000000"/>
        </w:rPr>
        <w:t xml:space="preserve">Zo loopt in het kader van de stadsmonitor een traject rond ‘de ecologische stad’. Dit krijgt vorm op basis van een bijdrage in de studie ‘Steden binnenstebuiten, analyses op de stadsmonitor 2011”. Hierbij zijn actoren betrokken uit de steden en Vlaamse entiteiten zoals het Instituut voor Natuur- en Bosonderzoek (INBO), de Vlaamse Milieu Maatschappij (VMM), het departement Leefmilieu, Natuur en Energie (LNE), de Openbare Vlaamse Afvalstoffen Maatschappij (OVAM), de Studiedienst van de Vlaamse Regering en het team Stedenbeleid. Momenteel werken ze samen de visie uit op de ‘ecologische stad’ met aandacht voor ecosysteemdiensten. Hierbij gaat heel wat aandacht naar het belang van groen en bos in de stad. Groene ruimte en parken worden hierdoor gekaderd in een algehele ecologische en duurzame visie. Daarna zullen de verschillende betrokken actoren samen een nieuwe geoptimaliseerde </w:t>
      </w:r>
      <w:proofErr w:type="spellStart"/>
      <w:r w:rsidRPr="00550CD9">
        <w:rPr>
          <w:color w:val="000000"/>
        </w:rPr>
        <w:t>indicatorenset</w:t>
      </w:r>
      <w:proofErr w:type="spellEnd"/>
      <w:r w:rsidRPr="00550CD9">
        <w:rPr>
          <w:color w:val="000000"/>
        </w:rPr>
        <w:t xml:space="preserve"> uitwerken. </w:t>
      </w:r>
    </w:p>
    <w:p w:rsidR="00550CD9" w:rsidRDefault="00550CD9" w:rsidP="00DF0D4D">
      <w:pPr>
        <w:pStyle w:val="StandaardSV"/>
        <w:ind w:left="360"/>
        <w:rPr>
          <w:color w:val="000000"/>
          <w:szCs w:val="22"/>
        </w:rPr>
      </w:pPr>
      <w:r w:rsidRPr="00550CD9">
        <w:rPr>
          <w:color w:val="000000"/>
          <w:szCs w:val="22"/>
        </w:rPr>
        <w:t>Verder wordt vanuit het Agentschap voor Natuur en Bos een gemeentelijk groenplan gestimuleerd. Het stedelijk groenplan is een visie van stad/gemeente op het groenbeleid en -beheer. In dat kader konden steden en gemeenten groenbehoeftekaarten opmaken. Een stedelijk groenplan opgemaakt zoals beschreven in de ‘Richtlijn voor de opmaak van een stedelijk groenplan’ en getoetst aan de criteria Harmonisch Park- en Groenbeheer (HPG) komt in aanmerking voor subsidiëring via een samenwerkingsovereenkomst.</w:t>
      </w:r>
    </w:p>
    <w:p w:rsidR="00550CD9" w:rsidRPr="00550CD9" w:rsidRDefault="00550CD9" w:rsidP="00DF0D4D">
      <w:pPr>
        <w:pStyle w:val="StandaardSV"/>
        <w:ind w:left="360"/>
        <w:rPr>
          <w:color w:val="000000"/>
        </w:rPr>
      </w:pPr>
      <w:r w:rsidRPr="00550CD9">
        <w:rPr>
          <w:color w:val="000000"/>
          <w:szCs w:val="22"/>
        </w:rPr>
        <w:t>Vanuit het Agentschap voor Natuur en Bos is er ook een publicatie ‘Investeer in groen, winst verzekerd’ opgemaakt. Deze publicatie zet de baten en positieve effecten van groen in de stad in de kijker aan de hand van goede praktijken en onderbouwde leereffecten.</w:t>
      </w:r>
    </w:p>
    <w:p w:rsidR="00550CD9" w:rsidRDefault="00550CD9" w:rsidP="00DF0D4D">
      <w:pPr>
        <w:pStyle w:val="Normaalweb"/>
        <w:shd w:val="clear" w:color="auto" w:fill="FFFFFF"/>
        <w:spacing w:after="0" w:line="240" w:lineRule="auto"/>
        <w:ind w:left="348"/>
        <w:jc w:val="both"/>
        <w:rPr>
          <w:color w:val="000000"/>
          <w:sz w:val="22"/>
          <w:szCs w:val="22"/>
          <w:lang w:val="nl-NL"/>
        </w:rPr>
      </w:pPr>
      <w:r>
        <w:rPr>
          <w:color w:val="000000"/>
          <w:sz w:val="22"/>
          <w:szCs w:val="22"/>
        </w:rPr>
        <w:t xml:space="preserve">Het Agentschap voor Natuur en Bos stimuleert een groen- en beheerbeleid aan de hand van subsidies voor de aankoop van gronden voor ontwikkeling van stedelijk groen, de opmaak van beheerplannen en de (her)inrichting van groengebieden in de stedelijke omgeving. De projecten die het Agentschap voor Natuur en Bos ondersteunt moeten steeds voldoen aan de uitgangspunten van de beheervisie van het agentschap: het Harmonisch Park- en Groenbeheer. </w:t>
      </w:r>
      <w:r>
        <w:rPr>
          <w:bCs/>
          <w:color w:val="000000"/>
          <w:sz w:val="22"/>
          <w:szCs w:val="22"/>
        </w:rPr>
        <w:t>Er bestaan twee soorten subsidies:</w:t>
      </w:r>
      <w:r>
        <w:rPr>
          <w:color w:val="000000"/>
          <w:sz w:val="22"/>
          <w:szCs w:val="22"/>
        </w:rPr>
        <w:t xml:space="preserve"> de projectoproep groenprojecten en subsidies in het kader van de samenwerkingsovereenkomst. </w:t>
      </w:r>
    </w:p>
    <w:p w:rsidR="00550CD9" w:rsidRDefault="00550CD9" w:rsidP="00DF0D4D">
      <w:pPr>
        <w:ind w:left="348"/>
        <w:jc w:val="both"/>
        <w:rPr>
          <w:color w:val="000000"/>
          <w:szCs w:val="22"/>
        </w:rPr>
      </w:pPr>
      <w:r>
        <w:t xml:space="preserve">Jaarlijks is er ook een oproep ‘groen in de stad’ die steden wil stimuleren innovatief te zijn en een voortrekkersrol op te nemen. Met deze oproep wil collega-minister </w:t>
      </w:r>
      <w:proofErr w:type="spellStart"/>
      <w:r>
        <w:t>Schauvliege</w:t>
      </w:r>
      <w:proofErr w:type="spellEnd"/>
      <w:r>
        <w:t xml:space="preserve"> projecten ondersteunen die zorgen voor meer en beter groen in de verstedelijkte omgeving. De beschikbare subsidies worden verdeeld over één Vlaamse laureaat en over 5 provinciale laureaten. Het ingediende project moet het verhogen van de leefbaarheid tot doel hebben. Dit kan bv. door te zorgen voor meer groen, maar ook een kwaliteitsverhoging van bestaand groen kan hier toe bijdragen. Projecten komen in aanmerking als ze de leefbaarheid in steden en gemeenten verbeteren en daartoe meer en/of beter groen voorzien. De 5 Liv.Com</w:t>
      </w:r>
      <w:r>
        <w:rPr>
          <w:rStyle w:val="Voetnootmarkering"/>
          <w:color w:val="000000"/>
          <w:szCs w:val="22"/>
        </w:rPr>
        <w:footnoteReference w:id="1"/>
      </w:r>
      <w:r>
        <w:t xml:space="preserve"> criteria worden algemeen getoetst. </w:t>
      </w:r>
    </w:p>
    <w:p w:rsidR="00550CD9" w:rsidRDefault="00550CD9" w:rsidP="00DF0D4D">
      <w:pPr>
        <w:ind w:firstLine="351"/>
        <w:jc w:val="both"/>
      </w:pPr>
      <w:r>
        <w:t xml:space="preserve">Een eerste overleg met onroerend erfgoed is voor binnenkort gepland. </w:t>
      </w:r>
    </w:p>
    <w:p w:rsidR="00550CD9" w:rsidRDefault="00550CD9" w:rsidP="00550CD9">
      <w:pPr>
        <w:pStyle w:val="StandaardSV"/>
        <w:tabs>
          <w:tab w:val="left" w:pos="3015"/>
        </w:tabs>
        <w:ind w:left="360"/>
        <w:rPr>
          <w:color w:val="000000"/>
        </w:rPr>
      </w:pPr>
    </w:p>
    <w:p w:rsidR="00550CD9" w:rsidRDefault="00550CD9" w:rsidP="00550CD9">
      <w:pPr>
        <w:pStyle w:val="StandaardSV"/>
        <w:numPr>
          <w:ilvl w:val="0"/>
          <w:numId w:val="19"/>
        </w:numPr>
        <w:rPr>
          <w:color w:val="000000"/>
        </w:rPr>
      </w:pPr>
      <w:r>
        <w:rPr>
          <w:color w:val="000000"/>
        </w:rPr>
        <w:t xml:space="preserve">Voor het overleg rond de ‘ecologische stad’ in functie van de stadsmonitor zijn er reeds drie vergaderingen geweest, een eerste op 10 juni 2013, een tweede op 1 juli 2013 en de meest recente </w:t>
      </w:r>
      <w:r>
        <w:rPr>
          <w:color w:val="000000"/>
        </w:rPr>
        <w:lastRenderedPageBreak/>
        <w:t xml:space="preserve">op 15 oktober 2013. Gedurende de volgende maanden wordt verder intens samengezeten en gewerkt. </w:t>
      </w:r>
    </w:p>
    <w:p w:rsidR="00550CD9" w:rsidRDefault="00550CD9" w:rsidP="00550CD9">
      <w:pPr>
        <w:pStyle w:val="StandaardSV"/>
        <w:ind w:left="360"/>
        <w:rPr>
          <w:color w:val="000000"/>
        </w:rPr>
      </w:pPr>
    </w:p>
    <w:p w:rsidR="00550CD9" w:rsidRPr="00550CD9" w:rsidRDefault="00DF0D4D" w:rsidP="00DF0D4D">
      <w:pPr>
        <w:pStyle w:val="StandaardSV"/>
        <w:numPr>
          <w:ilvl w:val="0"/>
          <w:numId w:val="19"/>
        </w:numPr>
        <w:tabs>
          <w:tab w:val="clear" w:pos="360"/>
          <w:tab w:val="left" w:pos="426"/>
          <w:tab w:val="num" w:pos="709"/>
        </w:tabs>
        <w:ind w:left="709" w:hanging="709"/>
        <w:rPr>
          <w:color w:val="000000"/>
        </w:rPr>
      </w:pPr>
      <w:r>
        <w:rPr>
          <w:color w:val="000000"/>
        </w:rPr>
        <w:t>a)</w:t>
      </w:r>
      <w:r>
        <w:rPr>
          <w:color w:val="000000"/>
        </w:rPr>
        <w:tab/>
      </w:r>
      <w:r w:rsidR="00550CD9">
        <w:rPr>
          <w:color w:val="000000"/>
        </w:rPr>
        <w:t xml:space="preserve">Gezien er reeds redelijk wat instrumenten en tools voor handen zijn, wordt dit gefaseerd bekeken in samenwerking met de betrokken partners. </w:t>
      </w:r>
    </w:p>
    <w:p w:rsidR="00DF0D4D" w:rsidRDefault="00DF0D4D" w:rsidP="00550CD9">
      <w:pPr>
        <w:pStyle w:val="StandaardSV"/>
        <w:ind w:left="708"/>
        <w:rPr>
          <w:color w:val="000000"/>
        </w:rPr>
      </w:pPr>
    </w:p>
    <w:p w:rsidR="00550CD9" w:rsidRDefault="00DF0D4D" w:rsidP="00DF0D4D">
      <w:pPr>
        <w:pStyle w:val="StandaardSV"/>
        <w:ind w:left="708" w:hanging="282"/>
        <w:rPr>
          <w:color w:val="000000"/>
        </w:rPr>
      </w:pPr>
      <w:r>
        <w:rPr>
          <w:color w:val="000000"/>
        </w:rPr>
        <w:t>b)</w:t>
      </w:r>
      <w:r>
        <w:rPr>
          <w:color w:val="000000"/>
        </w:rPr>
        <w:tab/>
      </w:r>
      <w:r w:rsidR="00550CD9">
        <w:rPr>
          <w:color w:val="000000"/>
        </w:rPr>
        <w:t xml:space="preserve">“Thuis in de stad” probeert zeker ‘groen in de stad’ te promoten via het internet en sociale media. Zo is er recent een blogartikel opgemaakt rond het ‘groen lint’ in Oostende op </w:t>
      </w:r>
      <w:hyperlink r:id="rId9" w:history="1">
        <w:r w:rsidR="00550CD9">
          <w:rPr>
            <w:rStyle w:val="Hyperlink"/>
            <w:color w:val="000000"/>
          </w:rPr>
          <w:t>http://blog.thuisindestad.be/groenlint</w:t>
        </w:r>
      </w:hyperlink>
      <w:r w:rsidR="00550CD9">
        <w:rPr>
          <w:color w:val="000000"/>
        </w:rPr>
        <w:t xml:space="preserve">. Ook via de </w:t>
      </w:r>
      <w:proofErr w:type="spellStart"/>
      <w:r w:rsidR="00550CD9">
        <w:rPr>
          <w:color w:val="000000"/>
        </w:rPr>
        <w:t>twitteraccount</w:t>
      </w:r>
      <w:proofErr w:type="spellEnd"/>
      <w:r w:rsidR="00550CD9">
        <w:rPr>
          <w:color w:val="000000"/>
        </w:rPr>
        <w:t xml:space="preserve"> probeert “thuis in de stad” te sensibiliseren door info rond groen in de stad te communiceren.  </w:t>
      </w:r>
    </w:p>
    <w:p w:rsidR="00550CD9" w:rsidRDefault="00550CD9" w:rsidP="00550CD9">
      <w:pPr>
        <w:pStyle w:val="StandaardSV"/>
        <w:rPr>
          <w:color w:val="000000"/>
        </w:rPr>
      </w:pPr>
    </w:p>
    <w:p w:rsidR="00550CD9" w:rsidRDefault="00550CD9" w:rsidP="00550CD9">
      <w:pPr>
        <w:pStyle w:val="StandaardSV"/>
        <w:numPr>
          <w:ilvl w:val="0"/>
          <w:numId w:val="19"/>
        </w:numPr>
        <w:rPr>
          <w:color w:val="000000"/>
        </w:rPr>
      </w:pPr>
      <w:r>
        <w:t xml:space="preserve">In het kader van stadsvernieuwing is in de visietekst ‘Ondersteuning van bijzondere stadsvernieuwingsprojecten: van stadsproject tot bijzonder stadsvernieuwingsproject argumenten voor subsidiëring en ondersteuning’ expliciet aandacht voor fysieke toegankelijkheid opgenomen. Ook in de besluiten betreffende de subsidiëring van stadsvernieuwingsprojecten is er een artikel opgenomen rond de implementatie van de toegankelijkheids-, diversiteits- en/of anti-discriminatieclausule uit het actieplan gelijke kansen. Dit is één van de duurzaamheidscriteria die de jury mee beoordeelt. </w:t>
      </w:r>
    </w:p>
    <w:p w:rsidR="00550CD9" w:rsidRDefault="00550CD9" w:rsidP="00550CD9">
      <w:pPr>
        <w:pStyle w:val="StandaardSV"/>
        <w:ind w:left="360"/>
        <w:rPr>
          <w:color w:val="000000"/>
        </w:rPr>
      </w:pPr>
    </w:p>
    <w:p w:rsidR="00550CD9" w:rsidRDefault="00550CD9" w:rsidP="00550CD9">
      <w:pPr>
        <w:pStyle w:val="StandaardSV"/>
        <w:numPr>
          <w:ilvl w:val="0"/>
          <w:numId w:val="19"/>
        </w:numPr>
        <w:rPr>
          <w:color w:val="000000"/>
        </w:rPr>
      </w:pPr>
      <w:r>
        <w:rPr>
          <w:color w:val="000000"/>
        </w:rPr>
        <w:t xml:space="preserve">Momenteel bestaat er geen </w:t>
      </w:r>
      <w:proofErr w:type="spellStart"/>
      <w:r>
        <w:rPr>
          <w:color w:val="000000"/>
        </w:rPr>
        <w:t>oplijsting</w:t>
      </w:r>
      <w:proofErr w:type="spellEnd"/>
      <w:r>
        <w:rPr>
          <w:color w:val="000000"/>
        </w:rPr>
        <w:t xml:space="preserve"> van groenvoorzieningen met problematische toegang voor mensen met een beperking. Er is wel een technisch vademecum ‘integrale toegankelijkheid van parken’ van het Agentschap Natuur en Bos. Dit is opgemaakt in het kader van het Harmonisch Park- en Groenbeheer. Hierin staan richtlijnen om een park beter toegankelijk te maken voor iedereen, in het bijzonder voor mensen met een handicap. Ook zijn er in 2007 subsidies toegekend in het kader van </w:t>
      </w:r>
      <w:r>
        <w:rPr>
          <w:color w:val="000000"/>
          <w:szCs w:val="22"/>
        </w:rPr>
        <w:t>de projectoproep groenprojecten. De focus was toen</w:t>
      </w:r>
      <w:r>
        <w:rPr>
          <w:color w:val="000000"/>
        </w:rPr>
        <w:t xml:space="preserve"> integrale toegankelijkheid meet een budget van 750.000 euro. </w:t>
      </w:r>
    </w:p>
    <w:p w:rsidR="00550CD9" w:rsidRDefault="00550CD9" w:rsidP="00550CD9">
      <w:pPr>
        <w:pStyle w:val="StandaardSV"/>
        <w:rPr>
          <w:color w:val="000000"/>
        </w:rPr>
      </w:pPr>
    </w:p>
    <w:p w:rsidR="00550CD9" w:rsidRDefault="00550CD9" w:rsidP="00550CD9">
      <w:pPr>
        <w:pStyle w:val="StandaardSV"/>
        <w:numPr>
          <w:ilvl w:val="0"/>
          <w:numId w:val="19"/>
        </w:numPr>
        <w:rPr>
          <w:color w:val="000000"/>
        </w:rPr>
      </w:pPr>
      <w:r>
        <w:rPr>
          <w:color w:val="000000"/>
        </w:rPr>
        <w:t xml:space="preserve">Deze vraag wordt momenteel samen met het Agentschap voor Geografische Informatie Vlaanderen (AGIV) bekeken.  </w:t>
      </w:r>
    </w:p>
    <w:p w:rsidR="00550CD9" w:rsidRDefault="00550CD9" w:rsidP="00550CD9">
      <w:pPr>
        <w:pStyle w:val="StandaardSV"/>
        <w:rPr>
          <w:color w:val="000000"/>
        </w:rPr>
      </w:pPr>
    </w:p>
    <w:p w:rsidR="00550CD9" w:rsidRDefault="00550CD9" w:rsidP="00550CD9">
      <w:pPr>
        <w:pStyle w:val="StandaardSV"/>
        <w:numPr>
          <w:ilvl w:val="0"/>
          <w:numId w:val="19"/>
        </w:numPr>
        <w:rPr>
          <w:color w:val="000000"/>
        </w:rPr>
      </w:pPr>
      <w:r>
        <w:rPr>
          <w:color w:val="000000"/>
        </w:rPr>
        <w:t>De visie in verband met het behoud van historisch waardevolle parken zit vervat in de totaalfocus op Harmonisch Park- en Groenbeheer.</w:t>
      </w:r>
    </w:p>
    <w:p w:rsidR="00550CD9" w:rsidRDefault="00550CD9" w:rsidP="00550CD9">
      <w:pPr>
        <w:pStyle w:val="StandaardSV"/>
        <w:rPr>
          <w:i/>
          <w:color w:val="000000"/>
        </w:rPr>
      </w:pPr>
    </w:p>
    <w:p w:rsidR="00550CD9" w:rsidRDefault="00550CD9" w:rsidP="00550CD9">
      <w:pPr>
        <w:pStyle w:val="StandaardSV"/>
        <w:numPr>
          <w:ilvl w:val="0"/>
          <w:numId w:val="19"/>
        </w:numPr>
        <w:rPr>
          <w:color w:val="000000"/>
        </w:rPr>
      </w:pPr>
      <w:r>
        <w:rPr>
          <w:color w:val="000000"/>
        </w:rPr>
        <w:t xml:space="preserve">Voor een </w:t>
      </w:r>
      <w:proofErr w:type="spellStart"/>
      <w:r>
        <w:rPr>
          <w:color w:val="000000"/>
        </w:rPr>
        <w:t>oplijsting</w:t>
      </w:r>
      <w:proofErr w:type="spellEnd"/>
      <w:r>
        <w:rPr>
          <w:color w:val="000000"/>
        </w:rPr>
        <w:t xml:space="preserve"> van de historisch waardevolle parken dient u zich te richten tot collega-minister Bourgeois, bevoegd voor erfgoed.</w:t>
      </w:r>
    </w:p>
    <w:p w:rsidR="00550CD9" w:rsidRDefault="00550CD9" w:rsidP="00550CD9">
      <w:pPr>
        <w:pStyle w:val="StandaardSV"/>
        <w:rPr>
          <w:color w:val="000000"/>
        </w:rPr>
      </w:pPr>
    </w:p>
    <w:p w:rsidR="00550CD9" w:rsidRDefault="00550CD9" w:rsidP="00DF0D4D">
      <w:pPr>
        <w:pStyle w:val="StandaardSV"/>
        <w:numPr>
          <w:ilvl w:val="0"/>
          <w:numId w:val="19"/>
        </w:numPr>
        <w:tabs>
          <w:tab w:val="clear" w:pos="360"/>
          <w:tab w:val="left" w:pos="426"/>
          <w:tab w:val="num" w:pos="709"/>
        </w:tabs>
        <w:ind w:left="709" w:hanging="709"/>
        <w:rPr>
          <w:color w:val="000000"/>
        </w:rPr>
      </w:pPr>
      <w:r>
        <w:rPr>
          <w:color w:val="000000"/>
        </w:rPr>
        <w:t>a</w:t>
      </w:r>
      <w:r w:rsidR="00DF0D4D">
        <w:t>)</w:t>
      </w:r>
      <w:r w:rsidR="00DF0D4D">
        <w:tab/>
      </w:r>
      <w:r>
        <w:t xml:space="preserve">Voor het ontwikkelen van een gecoördineerde visie gebeurt dit met de kredieten voor de stadsmonitor. Via stadsvernieuwing gebeurt dit ook, waarbij de groenvisie en -inplanting past binnen een duurzaam geïntegreerd stadsproject. Het gebeurt ook via de oproep ‘originele en innovatieve projecten’ waarbij kleinschalig groen, stadslandbouw, </w:t>
      </w:r>
      <w:proofErr w:type="spellStart"/>
      <w:r>
        <w:t>kindvriendelijkheid</w:t>
      </w:r>
      <w:proofErr w:type="spellEnd"/>
      <w:r>
        <w:t xml:space="preserve"> en sociale cohesie vaak hand in hand gaan. </w:t>
      </w:r>
    </w:p>
    <w:p w:rsidR="00550CD9" w:rsidRDefault="00550CD9" w:rsidP="00550CD9">
      <w:pPr>
        <w:pStyle w:val="StandaardSV"/>
        <w:ind w:left="709"/>
        <w:rPr>
          <w:i/>
          <w:color w:val="000000"/>
        </w:rPr>
      </w:pPr>
      <w:r w:rsidRPr="00550CD9">
        <w:rPr>
          <w:color w:val="000000"/>
          <w:szCs w:val="22"/>
        </w:rPr>
        <w:t>Belangrijk is dat er normaal gezien binnen de EFRO-</w:t>
      </w:r>
      <w:proofErr w:type="spellStart"/>
      <w:r w:rsidRPr="00550CD9">
        <w:rPr>
          <w:color w:val="000000"/>
          <w:szCs w:val="22"/>
        </w:rPr>
        <w:t>prioriteitsas</w:t>
      </w:r>
      <w:proofErr w:type="spellEnd"/>
      <w:r w:rsidRPr="00550CD9">
        <w:rPr>
          <w:color w:val="000000"/>
          <w:szCs w:val="22"/>
        </w:rPr>
        <w:t xml:space="preserve"> ‘duurzame stedelijke ontwikkeling’ voor het toekomstige cohesiebeleid 2014-2020 een specifieke doelstelling is weerhouden rond ‘Bevorderen van groen, </w:t>
      </w:r>
      <w:proofErr w:type="spellStart"/>
      <w:r w:rsidRPr="00550CD9">
        <w:rPr>
          <w:color w:val="000000"/>
          <w:szCs w:val="22"/>
        </w:rPr>
        <w:t>groen-blauwe</w:t>
      </w:r>
      <w:proofErr w:type="spellEnd"/>
      <w:r w:rsidRPr="00550CD9">
        <w:rPr>
          <w:color w:val="000000"/>
          <w:szCs w:val="22"/>
        </w:rPr>
        <w:t xml:space="preserve"> netwerken, opvang hemelwater en </w:t>
      </w:r>
      <w:proofErr w:type="spellStart"/>
      <w:r w:rsidRPr="00550CD9">
        <w:rPr>
          <w:color w:val="000000"/>
          <w:szCs w:val="22"/>
        </w:rPr>
        <w:t>klimaatsadaptieve</w:t>
      </w:r>
      <w:proofErr w:type="spellEnd"/>
      <w:r w:rsidRPr="00550CD9">
        <w:rPr>
          <w:color w:val="000000"/>
          <w:szCs w:val="22"/>
        </w:rPr>
        <w:t xml:space="preserve"> ruimte om de socio-economische kosten van klimaatadaptatie tegen te gaan en de biodiversiteit te bevorderen</w:t>
      </w:r>
      <w:r w:rsidRPr="00550CD9">
        <w:rPr>
          <w:color w:val="000000"/>
        </w:rPr>
        <w:t xml:space="preserve">’. Met deze doelstelling zullen de steden kunnen investeren in groen in de stad, daar waar de noden en uitdagingen het hoogst zijn. Dit moet nog gevalideerd worden door de Vlaamse Regering en door de Europese Commissie.  </w:t>
      </w:r>
    </w:p>
    <w:p w:rsidR="00DF0D4D" w:rsidRDefault="00DF0D4D" w:rsidP="00550CD9">
      <w:pPr>
        <w:pStyle w:val="StandaardSV"/>
        <w:ind w:firstLine="708"/>
        <w:rPr>
          <w:color w:val="000000"/>
        </w:rPr>
      </w:pPr>
    </w:p>
    <w:p w:rsidR="00550CD9" w:rsidRDefault="00DF0D4D" w:rsidP="00DF0D4D">
      <w:pPr>
        <w:pStyle w:val="StandaardSV"/>
        <w:ind w:left="709" w:hanging="283"/>
        <w:rPr>
          <w:i/>
          <w:color w:val="000000"/>
        </w:rPr>
      </w:pPr>
      <w:r>
        <w:rPr>
          <w:color w:val="000000"/>
        </w:rPr>
        <w:t>b)</w:t>
      </w:r>
      <w:r>
        <w:rPr>
          <w:color w:val="000000"/>
        </w:rPr>
        <w:tab/>
        <w:t>B</w:t>
      </w:r>
      <w:r w:rsidR="00550CD9">
        <w:rPr>
          <w:color w:val="000000"/>
        </w:rPr>
        <w:t xml:space="preserve">innen mijn mogelijkheden zal ik blijven werken aan meer groen in de steden. </w:t>
      </w:r>
      <w:bookmarkStart w:id="6" w:name="_GoBack"/>
      <w:bookmarkEnd w:id="6"/>
    </w:p>
    <w:sectPr w:rsidR="00550CD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D9" w:rsidRDefault="00550CD9" w:rsidP="00550CD9">
      <w:r>
        <w:separator/>
      </w:r>
    </w:p>
  </w:endnote>
  <w:endnote w:type="continuationSeparator" w:id="0">
    <w:p w:rsidR="00550CD9" w:rsidRDefault="00550CD9" w:rsidP="0055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D9" w:rsidRDefault="00550CD9" w:rsidP="00550CD9">
      <w:r>
        <w:separator/>
      </w:r>
    </w:p>
  </w:footnote>
  <w:footnote w:type="continuationSeparator" w:id="0">
    <w:p w:rsidR="00550CD9" w:rsidRDefault="00550CD9" w:rsidP="00550CD9">
      <w:r>
        <w:continuationSeparator/>
      </w:r>
    </w:p>
  </w:footnote>
  <w:footnote w:id="1">
    <w:p w:rsidR="00550CD9" w:rsidRDefault="00550CD9" w:rsidP="00550CD9">
      <w:pPr>
        <w:pStyle w:val="Voetnoottekst"/>
        <w:rPr>
          <w:lang w:val="en-US"/>
        </w:rPr>
      </w:pPr>
      <w:r>
        <w:rPr>
          <w:rStyle w:val="Voetnootmarkering"/>
        </w:rPr>
        <w:footnoteRef/>
      </w:r>
      <w:r>
        <w:rPr>
          <w:lang w:val="en-US"/>
        </w:rPr>
        <w:t xml:space="preserve"> Liv.com: http://www.livcomawards.com/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2E"/>
    <w:multiLevelType w:val="hybridMultilevel"/>
    <w:tmpl w:val="D9C4BE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5F55BD"/>
    <w:multiLevelType w:val="hybridMultilevel"/>
    <w:tmpl w:val="E33E6E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9430F93"/>
    <w:multiLevelType w:val="hybridMultilevel"/>
    <w:tmpl w:val="D08AC5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96651E6"/>
    <w:multiLevelType w:val="hybridMultilevel"/>
    <w:tmpl w:val="6AFCE1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nsid w:val="1B472454"/>
    <w:multiLevelType w:val="hybridMultilevel"/>
    <w:tmpl w:val="09F441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D980FA7"/>
    <w:multiLevelType w:val="hybridMultilevel"/>
    <w:tmpl w:val="4CA0E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32E666DD"/>
    <w:multiLevelType w:val="hybridMultilevel"/>
    <w:tmpl w:val="237008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B945B16"/>
    <w:multiLevelType w:val="hybridMultilevel"/>
    <w:tmpl w:val="21B8D820"/>
    <w:lvl w:ilvl="0" w:tplc="50A068D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E306E48"/>
    <w:multiLevelType w:val="hybridMultilevel"/>
    <w:tmpl w:val="0E1EDA12"/>
    <w:lvl w:ilvl="0" w:tplc="7F1839FE">
      <w:start w:val="3"/>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73902683"/>
    <w:multiLevelType w:val="hybridMultilevel"/>
    <w:tmpl w:val="5074C9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7"/>
  </w:num>
  <w:num w:numId="4">
    <w:abstractNumId w:val="1"/>
  </w:num>
  <w:num w:numId="5">
    <w:abstractNumId w:val="17"/>
  </w:num>
  <w:num w:numId="6">
    <w:abstractNumId w:val="10"/>
  </w:num>
  <w:num w:numId="7">
    <w:abstractNumId w:val="14"/>
  </w:num>
  <w:num w:numId="8">
    <w:abstractNumId w:val="11"/>
  </w:num>
  <w:num w:numId="9">
    <w:abstractNumId w:val="12"/>
  </w:num>
  <w:num w:numId="10">
    <w:abstractNumId w:val="3"/>
  </w:num>
  <w:num w:numId="11">
    <w:abstractNumId w:val="6"/>
  </w:num>
  <w:num w:numId="12">
    <w:abstractNumId w:val="5"/>
  </w:num>
  <w:num w:numId="13">
    <w:abstractNumId w:val="0"/>
  </w:num>
  <w:num w:numId="14">
    <w:abstractNumId w:val="2"/>
  </w:num>
  <w:num w:numId="15">
    <w:abstractNumId w:val="8"/>
  </w:num>
  <w:num w:numId="16">
    <w:abstractNumId w:val="15"/>
  </w:num>
  <w:num w:numId="17">
    <w:abstractNumId w:val="16"/>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DB"/>
    <w:rsid w:val="00025658"/>
    <w:rsid w:val="00064354"/>
    <w:rsid w:val="000700DB"/>
    <w:rsid w:val="00095C78"/>
    <w:rsid w:val="000976E9"/>
    <w:rsid w:val="000B265A"/>
    <w:rsid w:val="000C409A"/>
    <w:rsid w:val="000C4E8C"/>
    <w:rsid w:val="000F3532"/>
    <w:rsid w:val="00103F3F"/>
    <w:rsid w:val="00160691"/>
    <w:rsid w:val="001819F4"/>
    <w:rsid w:val="00187939"/>
    <w:rsid w:val="001924D1"/>
    <w:rsid w:val="001D5EDF"/>
    <w:rsid w:val="001F1B7C"/>
    <w:rsid w:val="0020452E"/>
    <w:rsid w:val="002051DB"/>
    <w:rsid w:val="0020756A"/>
    <w:rsid w:val="00210C07"/>
    <w:rsid w:val="002477E0"/>
    <w:rsid w:val="00255F70"/>
    <w:rsid w:val="00274040"/>
    <w:rsid w:val="002843DB"/>
    <w:rsid w:val="002A36D2"/>
    <w:rsid w:val="002E2E09"/>
    <w:rsid w:val="002F01B0"/>
    <w:rsid w:val="00326A58"/>
    <w:rsid w:val="00343D8C"/>
    <w:rsid w:val="003537D9"/>
    <w:rsid w:val="00360E5D"/>
    <w:rsid w:val="00361C8B"/>
    <w:rsid w:val="00383E6D"/>
    <w:rsid w:val="003A1ED9"/>
    <w:rsid w:val="003A3954"/>
    <w:rsid w:val="003B0B98"/>
    <w:rsid w:val="003C4967"/>
    <w:rsid w:val="003C7A81"/>
    <w:rsid w:val="003E3FD0"/>
    <w:rsid w:val="00417533"/>
    <w:rsid w:val="004314D9"/>
    <w:rsid w:val="00461EAE"/>
    <w:rsid w:val="00463FCD"/>
    <w:rsid w:val="00471904"/>
    <w:rsid w:val="0049276A"/>
    <w:rsid w:val="004A58EA"/>
    <w:rsid w:val="004C0DB9"/>
    <w:rsid w:val="004E4428"/>
    <w:rsid w:val="00502717"/>
    <w:rsid w:val="00520A83"/>
    <w:rsid w:val="00531D97"/>
    <w:rsid w:val="00537332"/>
    <w:rsid w:val="00545D2F"/>
    <w:rsid w:val="00550CD9"/>
    <w:rsid w:val="0057454F"/>
    <w:rsid w:val="00582253"/>
    <w:rsid w:val="00593DA1"/>
    <w:rsid w:val="005E2500"/>
    <w:rsid w:val="005E38CA"/>
    <w:rsid w:val="00605C00"/>
    <w:rsid w:val="00652275"/>
    <w:rsid w:val="00652777"/>
    <w:rsid w:val="00655B7D"/>
    <w:rsid w:val="006563FB"/>
    <w:rsid w:val="0069696E"/>
    <w:rsid w:val="006A2B8E"/>
    <w:rsid w:val="006A76E7"/>
    <w:rsid w:val="006C63D0"/>
    <w:rsid w:val="006E50EA"/>
    <w:rsid w:val="006F69CF"/>
    <w:rsid w:val="0071248C"/>
    <w:rsid w:val="007252C7"/>
    <w:rsid w:val="00757A0D"/>
    <w:rsid w:val="00765CAB"/>
    <w:rsid w:val="007A2F03"/>
    <w:rsid w:val="007C2AF1"/>
    <w:rsid w:val="007D0494"/>
    <w:rsid w:val="007D49C2"/>
    <w:rsid w:val="008542BF"/>
    <w:rsid w:val="00862559"/>
    <w:rsid w:val="00877435"/>
    <w:rsid w:val="008A1969"/>
    <w:rsid w:val="008A2B12"/>
    <w:rsid w:val="008D5DB4"/>
    <w:rsid w:val="008D6F7B"/>
    <w:rsid w:val="008E773A"/>
    <w:rsid w:val="009313F2"/>
    <w:rsid w:val="009347E0"/>
    <w:rsid w:val="009456B5"/>
    <w:rsid w:val="009568F5"/>
    <w:rsid w:val="009666FC"/>
    <w:rsid w:val="00996094"/>
    <w:rsid w:val="009A027C"/>
    <w:rsid w:val="009D7043"/>
    <w:rsid w:val="009E093B"/>
    <w:rsid w:val="00A13664"/>
    <w:rsid w:val="00A30112"/>
    <w:rsid w:val="00A47636"/>
    <w:rsid w:val="00A61C86"/>
    <w:rsid w:val="00A82E28"/>
    <w:rsid w:val="00A96688"/>
    <w:rsid w:val="00AA58D4"/>
    <w:rsid w:val="00AD2437"/>
    <w:rsid w:val="00AF7000"/>
    <w:rsid w:val="00B06A7F"/>
    <w:rsid w:val="00B32B02"/>
    <w:rsid w:val="00B337F3"/>
    <w:rsid w:val="00B37A7D"/>
    <w:rsid w:val="00B45040"/>
    <w:rsid w:val="00B45EB2"/>
    <w:rsid w:val="00B535DE"/>
    <w:rsid w:val="00B8787B"/>
    <w:rsid w:val="00B91B20"/>
    <w:rsid w:val="00BC6A14"/>
    <w:rsid w:val="00BE425A"/>
    <w:rsid w:val="00C064A2"/>
    <w:rsid w:val="00C46A55"/>
    <w:rsid w:val="00C81B93"/>
    <w:rsid w:val="00C86ADC"/>
    <w:rsid w:val="00C91441"/>
    <w:rsid w:val="00CC1D69"/>
    <w:rsid w:val="00D22297"/>
    <w:rsid w:val="00D71D99"/>
    <w:rsid w:val="00D754F2"/>
    <w:rsid w:val="00D86A60"/>
    <w:rsid w:val="00DB2DE6"/>
    <w:rsid w:val="00DB41C0"/>
    <w:rsid w:val="00DC4DB6"/>
    <w:rsid w:val="00DF0D4D"/>
    <w:rsid w:val="00DF46AC"/>
    <w:rsid w:val="00E55200"/>
    <w:rsid w:val="00E55EE8"/>
    <w:rsid w:val="00E619AA"/>
    <w:rsid w:val="00E728F6"/>
    <w:rsid w:val="00E806BD"/>
    <w:rsid w:val="00E85C8D"/>
    <w:rsid w:val="00E94286"/>
    <w:rsid w:val="00EC6F9E"/>
    <w:rsid w:val="00F02A90"/>
    <w:rsid w:val="00F64DC8"/>
    <w:rsid w:val="00FA29D6"/>
    <w:rsid w:val="00FA7F3A"/>
    <w:rsid w:val="00FD0233"/>
    <w:rsid w:val="00FD3BC5"/>
    <w:rsid w:val="00FD5BF4"/>
    <w:rsid w:val="00FE5406"/>
    <w:rsid w:val="00FF3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link w:val="StandaardSVChar"/>
    <w:rsid w:val="00E619AA"/>
    <w:pPr>
      <w:jc w:val="both"/>
    </w:pPr>
    <w:rPr>
      <w:szCs w:val="20"/>
    </w:rPr>
  </w:style>
  <w:style w:type="paragraph" w:styleId="Normaalweb">
    <w:name w:val="Normal (Web)"/>
    <w:basedOn w:val="Standaard"/>
    <w:uiPriority w:val="99"/>
    <w:unhideWhenUsed/>
    <w:rsid w:val="00550CD9"/>
    <w:pPr>
      <w:spacing w:after="240" w:line="360" w:lineRule="atLeast"/>
    </w:pPr>
    <w:rPr>
      <w:sz w:val="24"/>
      <w:lang w:val="nl-BE" w:eastAsia="nl-BE"/>
    </w:rPr>
  </w:style>
  <w:style w:type="paragraph" w:styleId="Voetnoottekst">
    <w:name w:val="footnote text"/>
    <w:basedOn w:val="Standaard"/>
    <w:link w:val="VoetnoottekstChar"/>
    <w:uiPriority w:val="99"/>
    <w:unhideWhenUsed/>
    <w:rsid w:val="00550CD9"/>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rsid w:val="00550CD9"/>
    <w:rPr>
      <w:rFonts w:ascii="Calibri" w:eastAsia="Calibri" w:hAnsi="Calibri"/>
      <w:lang w:eastAsia="en-US"/>
    </w:rPr>
  </w:style>
  <w:style w:type="character" w:customStyle="1" w:styleId="StandaardSVChar">
    <w:name w:val="Standaard SV Char"/>
    <w:link w:val="StandaardSV"/>
    <w:locked/>
    <w:rsid w:val="00550CD9"/>
    <w:rPr>
      <w:sz w:val="22"/>
      <w:lang w:val="nl-NL" w:eastAsia="nl-NL"/>
    </w:rPr>
  </w:style>
  <w:style w:type="character" w:styleId="Voetnootmarkering">
    <w:name w:val="footnote reference"/>
    <w:unhideWhenUsed/>
    <w:rsid w:val="00550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link w:val="StandaardSVChar"/>
    <w:rsid w:val="00E619AA"/>
    <w:pPr>
      <w:jc w:val="both"/>
    </w:pPr>
    <w:rPr>
      <w:szCs w:val="20"/>
    </w:rPr>
  </w:style>
  <w:style w:type="paragraph" w:styleId="Normaalweb">
    <w:name w:val="Normal (Web)"/>
    <w:basedOn w:val="Standaard"/>
    <w:uiPriority w:val="99"/>
    <w:unhideWhenUsed/>
    <w:rsid w:val="00550CD9"/>
    <w:pPr>
      <w:spacing w:after="240" w:line="360" w:lineRule="atLeast"/>
    </w:pPr>
    <w:rPr>
      <w:sz w:val="24"/>
      <w:lang w:val="nl-BE" w:eastAsia="nl-BE"/>
    </w:rPr>
  </w:style>
  <w:style w:type="paragraph" w:styleId="Voetnoottekst">
    <w:name w:val="footnote text"/>
    <w:basedOn w:val="Standaard"/>
    <w:link w:val="VoetnoottekstChar"/>
    <w:uiPriority w:val="99"/>
    <w:unhideWhenUsed/>
    <w:rsid w:val="00550CD9"/>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rsid w:val="00550CD9"/>
    <w:rPr>
      <w:rFonts w:ascii="Calibri" w:eastAsia="Calibri" w:hAnsi="Calibri"/>
      <w:lang w:eastAsia="en-US"/>
    </w:rPr>
  </w:style>
  <w:style w:type="character" w:customStyle="1" w:styleId="StandaardSVChar">
    <w:name w:val="Standaard SV Char"/>
    <w:link w:val="StandaardSV"/>
    <w:locked/>
    <w:rsid w:val="00550CD9"/>
    <w:rPr>
      <w:sz w:val="22"/>
      <w:lang w:val="nl-NL" w:eastAsia="nl-NL"/>
    </w:rPr>
  </w:style>
  <w:style w:type="character" w:styleId="Voetnootmarkering">
    <w:name w:val="footnote reference"/>
    <w:unhideWhenUsed/>
    <w:rsid w:val="00550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8698">
      <w:bodyDiv w:val="1"/>
      <w:marLeft w:val="0"/>
      <w:marRight w:val="0"/>
      <w:marTop w:val="0"/>
      <w:marBottom w:val="0"/>
      <w:divBdr>
        <w:top w:val="none" w:sz="0" w:space="0" w:color="auto"/>
        <w:left w:val="none" w:sz="0" w:space="0" w:color="auto"/>
        <w:bottom w:val="none" w:sz="0" w:space="0" w:color="auto"/>
        <w:right w:val="none" w:sz="0" w:space="0" w:color="auto"/>
      </w:divBdr>
    </w:div>
    <w:div w:id="1512329607">
      <w:bodyDiv w:val="1"/>
      <w:marLeft w:val="0"/>
      <w:marRight w:val="0"/>
      <w:marTop w:val="0"/>
      <w:marBottom w:val="0"/>
      <w:divBdr>
        <w:top w:val="none" w:sz="0" w:space="0" w:color="auto"/>
        <w:left w:val="none" w:sz="0" w:space="0" w:color="auto"/>
        <w:bottom w:val="none" w:sz="0" w:space="0" w:color="auto"/>
        <w:right w:val="none" w:sz="0" w:space="0" w:color="auto"/>
      </w:divBdr>
    </w:div>
    <w:div w:id="21375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og.thuisindestad.be/groenlin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4780-B4EE-4EEE-BD20-9BB5D94C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Raes, Ellen</dc:creator>
  <cp:lastModifiedBy>Nathalie De Keyzer</cp:lastModifiedBy>
  <cp:revision>3</cp:revision>
  <cp:lastPrinted>1900-12-31T23:00:00Z</cp:lastPrinted>
  <dcterms:created xsi:type="dcterms:W3CDTF">2013-10-29T12:06:00Z</dcterms:created>
  <dcterms:modified xsi:type="dcterms:W3CDTF">2013-11-13T10:04:00Z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