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A50F8"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25D7C">
        <w:rPr>
          <w:szCs w:val="22"/>
        </w:rPr>
        <w:t>freya van den bossche</w:t>
      </w:r>
      <w:r>
        <w:rPr>
          <w:szCs w:val="22"/>
        </w:rPr>
        <w:fldChar w:fldCharType="end"/>
      </w:r>
      <w:bookmarkEnd w:id="0"/>
    </w:p>
    <w:bookmarkStart w:id="1" w:name="Text2"/>
    <w:p w:rsidR="000976E9" w:rsidRPr="00015BF7" w:rsidRDefault="00EA50F8"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A50F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A50F8" w:rsidRPr="00326A58">
        <w:rPr>
          <w:b w:val="0"/>
        </w:rPr>
      </w:r>
      <w:r w:rsidR="00EA50F8" w:rsidRPr="00326A58">
        <w:rPr>
          <w:b w:val="0"/>
        </w:rPr>
        <w:fldChar w:fldCharType="separate"/>
      </w:r>
      <w:r w:rsidR="00AD7916">
        <w:rPr>
          <w:b w:val="0"/>
        </w:rPr>
        <w:t>1</w:t>
      </w:r>
      <w:r w:rsidR="00E244E3">
        <w:rPr>
          <w:b w:val="0"/>
        </w:rPr>
        <w:t>5</w:t>
      </w:r>
      <w:r w:rsidR="00EA50F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A50F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A50F8">
        <w:rPr>
          <w:b w:val="0"/>
        </w:rPr>
      </w:r>
      <w:r w:rsidR="00EA50F8">
        <w:rPr>
          <w:b w:val="0"/>
        </w:rPr>
        <w:fldChar w:fldCharType="separate"/>
      </w:r>
      <w:r w:rsidR="00E244E3">
        <w:rPr>
          <w:b w:val="0"/>
        </w:rPr>
        <w:t>1</w:t>
      </w:r>
      <w:r w:rsidR="00EA50F8">
        <w:rPr>
          <w:b w:val="0"/>
        </w:rPr>
        <w:fldChar w:fldCharType="end"/>
      </w:r>
      <w:bookmarkEnd w:id="3"/>
      <w:r w:rsidRPr="00326A58">
        <w:rPr>
          <w:b w:val="0"/>
        </w:rPr>
        <w:t xml:space="preserve"> </w:t>
      </w:r>
      <w:bookmarkStart w:id="4" w:name="Dropdown2"/>
      <w:r w:rsidR="00EA50F8">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D3574">
        <w:rPr>
          <w:b w:val="0"/>
        </w:rPr>
      </w:r>
      <w:r w:rsidR="003D3574">
        <w:rPr>
          <w:b w:val="0"/>
        </w:rPr>
        <w:fldChar w:fldCharType="separate"/>
      </w:r>
      <w:r w:rsidR="00EA50F8">
        <w:rPr>
          <w:b w:val="0"/>
        </w:rPr>
        <w:fldChar w:fldCharType="end"/>
      </w:r>
      <w:bookmarkEnd w:id="4"/>
      <w:r w:rsidRPr="00326A58">
        <w:rPr>
          <w:b w:val="0"/>
        </w:rPr>
        <w:t xml:space="preserve"> </w:t>
      </w:r>
      <w:bookmarkStart w:id="5" w:name="Dropdown3"/>
      <w:r w:rsidR="00EA50F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D3574">
        <w:rPr>
          <w:b w:val="0"/>
        </w:rPr>
      </w:r>
      <w:r w:rsidR="003D3574">
        <w:rPr>
          <w:b w:val="0"/>
        </w:rPr>
        <w:fldChar w:fldCharType="separate"/>
      </w:r>
      <w:r w:rsidR="00EA50F8">
        <w:rPr>
          <w:b w:val="0"/>
        </w:rPr>
        <w:fldChar w:fldCharType="end"/>
      </w:r>
      <w:bookmarkEnd w:id="5"/>
    </w:p>
    <w:p w:rsidR="000976E9" w:rsidRDefault="000976E9" w:rsidP="000976E9">
      <w:pPr>
        <w:rPr>
          <w:szCs w:val="22"/>
        </w:rPr>
      </w:pPr>
      <w:r>
        <w:rPr>
          <w:szCs w:val="22"/>
        </w:rPr>
        <w:t xml:space="preserve">van </w:t>
      </w:r>
      <w:r w:rsidR="00EA50F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A50F8" w:rsidRPr="009D7043">
        <w:rPr>
          <w:rStyle w:val="AntwoordNaamMinisterChar"/>
        </w:rPr>
      </w:r>
      <w:r w:rsidR="00EA50F8" w:rsidRPr="009D7043">
        <w:rPr>
          <w:rStyle w:val="AntwoordNaamMinisterChar"/>
        </w:rPr>
        <w:fldChar w:fldCharType="separate"/>
      </w:r>
      <w:r w:rsidR="00825D7C">
        <w:rPr>
          <w:rStyle w:val="AntwoordNaamMinisterChar"/>
        </w:rPr>
        <w:t>r</w:t>
      </w:r>
      <w:r w:rsidR="00E244E3">
        <w:rPr>
          <w:rStyle w:val="AntwoordNaamMinisterChar"/>
        </w:rPr>
        <w:t xml:space="preserve">obrecht </w:t>
      </w:r>
      <w:r w:rsidR="00C12067">
        <w:rPr>
          <w:rStyle w:val="AntwoordNaamMinisterChar"/>
        </w:rPr>
        <w:t>b</w:t>
      </w:r>
      <w:r w:rsidR="00E244E3">
        <w:rPr>
          <w:rStyle w:val="AntwoordNaamMinisterChar"/>
        </w:rPr>
        <w:t>othuyne</w:t>
      </w:r>
      <w:r w:rsidR="00EA50F8" w:rsidRPr="009D7043">
        <w:rPr>
          <w:rStyle w:val="AntwoordNaamMinisterChar"/>
        </w:rPr>
        <w:fldChar w:fldCharType="end"/>
      </w:r>
    </w:p>
    <w:p w:rsidR="00326A58" w:rsidRPr="00015BF7" w:rsidRDefault="00326A58" w:rsidP="000976E9">
      <w:pPr>
        <w:rPr>
          <w:szCs w:val="22"/>
        </w:rPr>
      </w:pPr>
    </w:p>
    <w:p w:rsidR="000976E9" w:rsidRPr="00DB41C0" w:rsidRDefault="000976E9" w:rsidP="003D3574">
      <w:pPr>
        <w:pStyle w:val="A-Lijn"/>
      </w:pPr>
    </w:p>
    <w:p w:rsidR="000976E9" w:rsidRPr="00DB41C0" w:rsidRDefault="000976E9" w:rsidP="003D3574">
      <w:pPr>
        <w:pStyle w:val="A-Lijn"/>
      </w:pPr>
    </w:p>
    <w:p w:rsidR="000976E9" w:rsidRDefault="000976E9" w:rsidP="003D3574">
      <w:pPr>
        <w:sectPr w:rsidR="000976E9" w:rsidSect="000976E9">
          <w:type w:val="continuous"/>
          <w:pgSz w:w="11906" w:h="16838"/>
          <w:pgMar w:top="1417" w:right="1417" w:bottom="1417" w:left="1417" w:header="708" w:footer="708" w:gutter="0"/>
          <w:cols w:space="708"/>
          <w:docGrid w:linePitch="360"/>
        </w:sectPr>
      </w:pPr>
    </w:p>
    <w:p w:rsidR="00922186" w:rsidRDefault="00922186" w:rsidP="003D3574">
      <w:pPr>
        <w:pStyle w:val="StandaardSV"/>
        <w:numPr>
          <w:ilvl w:val="0"/>
          <w:numId w:val="11"/>
        </w:numPr>
        <w:tabs>
          <w:tab w:val="left" w:pos="0"/>
        </w:tabs>
        <w:rPr>
          <w:iCs/>
          <w:lang w:val="nl-BE"/>
        </w:rPr>
      </w:pPr>
      <w:r w:rsidRPr="00922186">
        <w:rPr>
          <w:iCs/>
          <w:lang w:val="nl-BE"/>
        </w:rPr>
        <w:lastRenderedPageBreak/>
        <w:t xml:space="preserve">Het feit dat de modeldocumenten van de VMSW ook door derden worden gehanteerd, bewijst dat deze documenten ook buiten de sociale woningbouwsector kwalitatief naar waarde worden geschat. </w:t>
      </w:r>
      <w:r w:rsidR="002B2CE4" w:rsidRPr="00922186">
        <w:rPr>
          <w:iCs/>
          <w:lang w:val="nl-BE"/>
        </w:rPr>
        <w:t xml:space="preserve">De </w:t>
      </w:r>
      <w:r w:rsidR="00E244E3" w:rsidRPr="00922186">
        <w:rPr>
          <w:iCs/>
          <w:lang w:val="nl-BE"/>
        </w:rPr>
        <w:t xml:space="preserve">VMSW </w:t>
      </w:r>
      <w:r w:rsidR="002B2CE4" w:rsidRPr="00922186">
        <w:rPr>
          <w:iCs/>
          <w:lang w:val="nl-BE"/>
        </w:rPr>
        <w:t xml:space="preserve">betracht via de vermelde </w:t>
      </w:r>
      <w:proofErr w:type="spellStart"/>
      <w:r w:rsidR="002B2CE4" w:rsidRPr="00922186">
        <w:rPr>
          <w:iCs/>
          <w:lang w:val="nl-BE"/>
        </w:rPr>
        <w:t>disclaimers</w:t>
      </w:r>
      <w:proofErr w:type="spellEnd"/>
      <w:r w:rsidR="002B2CE4" w:rsidRPr="00922186">
        <w:rPr>
          <w:iCs/>
          <w:lang w:val="nl-BE"/>
        </w:rPr>
        <w:t xml:space="preserve"> in de contracten enkel om maximaal haar belangen te vrijwaren</w:t>
      </w:r>
      <w:r w:rsidR="00262DB1" w:rsidRPr="00922186">
        <w:rPr>
          <w:iCs/>
          <w:lang w:val="nl-BE"/>
        </w:rPr>
        <w:t xml:space="preserve">, </w:t>
      </w:r>
      <w:r w:rsidR="00E244E3" w:rsidRPr="00922186">
        <w:rPr>
          <w:iCs/>
          <w:lang w:val="nl-BE"/>
        </w:rPr>
        <w:t xml:space="preserve">rekening houdend </w:t>
      </w:r>
      <w:r w:rsidR="00262DB1" w:rsidRPr="00922186">
        <w:rPr>
          <w:iCs/>
          <w:lang w:val="nl-BE"/>
        </w:rPr>
        <w:t xml:space="preserve">met het feit </w:t>
      </w:r>
      <w:r w:rsidR="00E244E3" w:rsidRPr="00922186">
        <w:rPr>
          <w:iCs/>
          <w:lang w:val="nl-BE"/>
        </w:rPr>
        <w:t xml:space="preserve">dat zij een taak van algemeen belang waarneemt die gestalte </w:t>
      </w:r>
      <w:r w:rsidRPr="00922186">
        <w:rPr>
          <w:iCs/>
          <w:lang w:val="nl-BE"/>
        </w:rPr>
        <w:t xml:space="preserve">moet </w:t>
      </w:r>
      <w:r w:rsidR="00E244E3" w:rsidRPr="00922186">
        <w:rPr>
          <w:iCs/>
          <w:lang w:val="nl-BE"/>
        </w:rPr>
        <w:t>geven aan het grondrecht op wonen</w:t>
      </w:r>
      <w:r w:rsidR="00531656" w:rsidRPr="00922186">
        <w:rPr>
          <w:iCs/>
          <w:lang w:val="nl-BE"/>
        </w:rPr>
        <w:t>.</w:t>
      </w:r>
      <w:r w:rsidR="002B2CE4" w:rsidRPr="00922186">
        <w:rPr>
          <w:iCs/>
          <w:lang w:val="nl-BE"/>
        </w:rPr>
        <w:t xml:space="preserve"> </w:t>
      </w:r>
      <w:r w:rsidR="00E244E3" w:rsidRPr="00922186">
        <w:rPr>
          <w:iCs/>
          <w:lang w:val="nl-BE"/>
        </w:rPr>
        <w:t>Eventueel onrechtmatige bedingen die met de openbare orde strijdig zouden zijn han</w:t>
      </w:r>
      <w:r w:rsidR="00531656" w:rsidRPr="00922186">
        <w:rPr>
          <w:iCs/>
          <w:lang w:val="nl-BE"/>
        </w:rPr>
        <w:t>teert VMSW vanzelfsprekend niet</w:t>
      </w:r>
      <w:r w:rsidR="00E244E3" w:rsidRPr="00922186">
        <w:rPr>
          <w:iCs/>
          <w:lang w:val="nl-BE"/>
        </w:rPr>
        <w:t>. Deze zouden overigens in geval van geschil voor niet geschreven worden geho</w:t>
      </w:r>
      <w:r w:rsidR="00C12067" w:rsidRPr="00922186">
        <w:rPr>
          <w:iCs/>
          <w:lang w:val="nl-BE"/>
        </w:rPr>
        <w:t>uden door de rechterlijke macht</w:t>
      </w:r>
      <w:r w:rsidR="00E244E3" w:rsidRPr="00922186">
        <w:rPr>
          <w:iCs/>
          <w:lang w:val="nl-BE"/>
        </w:rPr>
        <w:t>.</w:t>
      </w:r>
      <w:r w:rsidRPr="00922186">
        <w:rPr>
          <w:iCs/>
          <w:lang w:val="nl-BE"/>
        </w:rPr>
        <w:t xml:space="preserve"> </w:t>
      </w:r>
      <w:r>
        <w:rPr>
          <w:iCs/>
          <w:lang w:val="nl-BE"/>
        </w:rPr>
        <w:t xml:space="preserve">Maar voor zover bekend bij de VMSW zijn er nooit juridische geschillen voorgekomen, met een onrechtmatig beding in een </w:t>
      </w:r>
      <w:proofErr w:type="spellStart"/>
      <w:r>
        <w:rPr>
          <w:iCs/>
          <w:lang w:val="nl-BE"/>
        </w:rPr>
        <w:t>bouwgerelateerd</w:t>
      </w:r>
      <w:proofErr w:type="spellEnd"/>
      <w:r>
        <w:rPr>
          <w:iCs/>
          <w:lang w:val="nl-BE"/>
        </w:rPr>
        <w:t xml:space="preserve"> contract of bestek als inzet.</w:t>
      </w:r>
    </w:p>
    <w:p w:rsidR="003D3574" w:rsidRPr="00E244E3" w:rsidRDefault="003D3574" w:rsidP="003D3574">
      <w:pPr>
        <w:pStyle w:val="StandaardSV"/>
        <w:tabs>
          <w:tab w:val="left" w:pos="0"/>
        </w:tabs>
        <w:ind w:left="360"/>
        <w:rPr>
          <w:iCs/>
          <w:lang w:val="nl-BE"/>
        </w:rPr>
      </w:pPr>
    </w:p>
    <w:p w:rsidR="00E244E3" w:rsidRDefault="00E244E3" w:rsidP="003D3574">
      <w:pPr>
        <w:pStyle w:val="StandaardSV"/>
        <w:numPr>
          <w:ilvl w:val="0"/>
          <w:numId w:val="11"/>
        </w:numPr>
        <w:tabs>
          <w:tab w:val="left" w:pos="0"/>
        </w:tabs>
        <w:rPr>
          <w:iCs/>
          <w:lang w:val="nl-BE"/>
        </w:rPr>
      </w:pPr>
      <w:r w:rsidRPr="00E244E3">
        <w:rPr>
          <w:iCs/>
          <w:lang w:val="nl-BE"/>
        </w:rPr>
        <w:t>VMSW sch</w:t>
      </w:r>
      <w:r w:rsidR="00922186">
        <w:rPr>
          <w:iCs/>
          <w:lang w:val="nl-BE"/>
        </w:rPr>
        <w:t>r</w:t>
      </w:r>
      <w:r w:rsidRPr="00E244E3">
        <w:rPr>
          <w:iCs/>
          <w:lang w:val="nl-BE"/>
        </w:rPr>
        <w:t xml:space="preserve">ijft haar contracten en bestekken overeenkomstig de beginselen van de wetgeving overheidsopdrachten. </w:t>
      </w:r>
      <w:r w:rsidR="00922186">
        <w:rPr>
          <w:iCs/>
          <w:lang w:val="nl-BE"/>
        </w:rPr>
        <w:t>D</w:t>
      </w:r>
      <w:r w:rsidRPr="00E244E3">
        <w:rPr>
          <w:iCs/>
          <w:lang w:val="nl-BE"/>
        </w:rPr>
        <w:t>e rechterlijke macht zou dit anders ultiem sanctioneren in geval van gesch</w:t>
      </w:r>
      <w:r w:rsidR="00C12067">
        <w:rPr>
          <w:iCs/>
          <w:lang w:val="nl-BE"/>
        </w:rPr>
        <w:t>il</w:t>
      </w:r>
      <w:r w:rsidRPr="00E244E3">
        <w:rPr>
          <w:iCs/>
          <w:lang w:val="nl-BE"/>
        </w:rPr>
        <w:t xml:space="preserve">. </w:t>
      </w:r>
      <w:r w:rsidR="00262DB1">
        <w:rPr>
          <w:iCs/>
          <w:lang w:val="nl-BE"/>
        </w:rPr>
        <w:t xml:space="preserve">Daarnaast reken ik ook op </w:t>
      </w:r>
      <w:r w:rsidRPr="00E244E3">
        <w:rPr>
          <w:iCs/>
          <w:lang w:val="nl-BE"/>
        </w:rPr>
        <w:t xml:space="preserve">het wettigheidstoezicht van het Rekenhof en </w:t>
      </w:r>
      <w:r w:rsidR="00262DB1">
        <w:rPr>
          <w:iCs/>
          <w:lang w:val="nl-BE"/>
        </w:rPr>
        <w:t xml:space="preserve">van het </w:t>
      </w:r>
      <w:r w:rsidRPr="00E244E3">
        <w:rPr>
          <w:iCs/>
          <w:lang w:val="nl-BE"/>
        </w:rPr>
        <w:t>IVA Inspectie.</w:t>
      </w:r>
      <w:r w:rsidR="00262DB1">
        <w:rPr>
          <w:iCs/>
          <w:lang w:val="nl-BE"/>
        </w:rPr>
        <w:t xml:space="preserve"> Ik heb dan ook geen indicaties dat hier een probleem zou zijn.</w:t>
      </w:r>
    </w:p>
    <w:p w:rsidR="003D3574" w:rsidRPr="00E244E3" w:rsidRDefault="003D3574" w:rsidP="003D3574">
      <w:pPr>
        <w:pStyle w:val="StandaardSV"/>
        <w:tabs>
          <w:tab w:val="left" w:pos="0"/>
        </w:tabs>
        <w:rPr>
          <w:iCs/>
          <w:lang w:val="nl-BE"/>
        </w:rPr>
      </w:pPr>
    </w:p>
    <w:p w:rsidR="00922186" w:rsidRDefault="00E244E3" w:rsidP="003D3574">
      <w:pPr>
        <w:pStyle w:val="StandaardSV"/>
        <w:numPr>
          <w:ilvl w:val="0"/>
          <w:numId w:val="11"/>
        </w:numPr>
        <w:tabs>
          <w:tab w:val="left" w:pos="0"/>
        </w:tabs>
        <w:rPr>
          <w:iCs/>
          <w:lang w:val="nl-BE"/>
        </w:rPr>
      </w:pPr>
      <w:r w:rsidRPr="00922186">
        <w:rPr>
          <w:iCs/>
          <w:lang w:val="nl-BE"/>
        </w:rPr>
        <w:t>De conventioneel ingeschreven aansprakelijkheidsverdeling tussen aannemer en architect in de modeldocumenten van VMSW is geheel in lijn met wat rechtsle</w:t>
      </w:r>
      <w:r w:rsidR="00C12067" w:rsidRPr="00922186">
        <w:rPr>
          <w:iCs/>
          <w:lang w:val="nl-BE"/>
        </w:rPr>
        <w:t>er en rechtspraak ter</w:t>
      </w:r>
      <w:r w:rsidR="002B2CE4" w:rsidRPr="00922186">
        <w:rPr>
          <w:iCs/>
          <w:lang w:val="nl-BE"/>
        </w:rPr>
        <w:t xml:space="preserve"> </w:t>
      </w:r>
      <w:r w:rsidR="00C12067" w:rsidRPr="00922186">
        <w:rPr>
          <w:iCs/>
          <w:lang w:val="nl-BE"/>
        </w:rPr>
        <w:t>zake leren</w:t>
      </w:r>
      <w:r w:rsidR="00531656" w:rsidRPr="00922186">
        <w:rPr>
          <w:iCs/>
          <w:lang w:val="nl-BE"/>
        </w:rPr>
        <w:t>.</w:t>
      </w:r>
      <w:r w:rsidR="00922186">
        <w:rPr>
          <w:iCs/>
          <w:lang w:val="nl-BE"/>
        </w:rPr>
        <w:t xml:space="preserve"> </w:t>
      </w:r>
    </w:p>
    <w:p w:rsidR="003D3574" w:rsidRDefault="003D3574" w:rsidP="003D3574">
      <w:pPr>
        <w:pStyle w:val="StandaardSV"/>
        <w:tabs>
          <w:tab w:val="left" w:pos="284"/>
        </w:tabs>
        <w:ind w:left="360"/>
        <w:rPr>
          <w:iCs/>
          <w:lang w:val="nl-BE"/>
        </w:rPr>
      </w:pPr>
    </w:p>
    <w:p w:rsidR="00E244E3" w:rsidRPr="00E244E3" w:rsidRDefault="00E244E3" w:rsidP="003D3574">
      <w:pPr>
        <w:pStyle w:val="StandaardSV"/>
        <w:tabs>
          <w:tab w:val="left" w:pos="284"/>
        </w:tabs>
        <w:ind w:left="360"/>
        <w:rPr>
          <w:iCs/>
          <w:lang w:val="nl-BE"/>
        </w:rPr>
      </w:pPr>
      <w:bookmarkStart w:id="6" w:name="_GoBack"/>
      <w:bookmarkEnd w:id="6"/>
      <w:r w:rsidRPr="00922186">
        <w:rPr>
          <w:iCs/>
          <w:lang w:val="nl-BE"/>
        </w:rPr>
        <w:t xml:space="preserve">Er wordt vanzelfsprekend niet afgeweken van de tienjarige aansprakelijkheid van de architect. Deze raakt immers de openbare orde en </w:t>
      </w:r>
      <w:r w:rsidR="00262DB1" w:rsidRPr="00922186">
        <w:rPr>
          <w:iCs/>
          <w:lang w:val="nl-BE"/>
        </w:rPr>
        <w:t xml:space="preserve">laat </w:t>
      </w:r>
      <w:r w:rsidR="00C12067" w:rsidRPr="00922186">
        <w:rPr>
          <w:iCs/>
          <w:lang w:val="nl-BE"/>
        </w:rPr>
        <w:t>geen contractuele afwijking</w:t>
      </w:r>
      <w:r w:rsidR="00262DB1" w:rsidRPr="00922186">
        <w:rPr>
          <w:iCs/>
          <w:lang w:val="nl-BE"/>
        </w:rPr>
        <w:t>en toe</w:t>
      </w:r>
      <w:r w:rsidRPr="00922186">
        <w:rPr>
          <w:iCs/>
          <w:lang w:val="nl-BE"/>
        </w:rPr>
        <w:t>.</w:t>
      </w:r>
      <w:r w:rsidR="00922186">
        <w:rPr>
          <w:iCs/>
          <w:lang w:val="nl-BE"/>
        </w:rPr>
        <w:t xml:space="preserve"> </w:t>
      </w:r>
      <w:r w:rsidRPr="00E244E3">
        <w:rPr>
          <w:iCs/>
          <w:lang w:val="nl-BE"/>
        </w:rPr>
        <w:t xml:space="preserve">Het ontwerpen van de bouwwerken en het opstellen van plannen en lastenboeken is primair de taak van de </w:t>
      </w:r>
      <w:r w:rsidR="00531656">
        <w:rPr>
          <w:iCs/>
          <w:lang w:val="nl-BE"/>
        </w:rPr>
        <w:t>architect</w:t>
      </w:r>
      <w:r w:rsidRPr="00E244E3">
        <w:rPr>
          <w:iCs/>
          <w:lang w:val="nl-BE"/>
        </w:rPr>
        <w:t>. In beginsel staat de architect dan ook als enige in voor ontwerpfouten. De verplichting van de aannemer om de bouwheer te informeren over de conceptiefouten die hij gezien zijn vakkennis had moeten ontdekken blijft daarbij evenwel onverminderd bestaan</w:t>
      </w:r>
      <w:r w:rsidR="00262DB1">
        <w:rPr>
          <w:iCs/>
          <w:lang w:val="nl-BE"/>
        </w:rPr>
        <w:t>,</w:t>
      </w:r>
      <w:r w:rsidRPr="00E244E3">
        <w:rPr>
          <w:iCs/>
          <w:lang w:val="nl-BE"/>
        </w:rPr>
        <w:t xml:space="preserve"> met alle aansprakelijkheidsri</w:t>
      </w:r>
      <w:r w:rsidR="00C12067">
        <w:rPr>
          <w:iCs/>
          <w:lang w:val="nl-BE"/>
        </w:rPr>
        <w:t>sico’s voor de aannemer van</w:t>
      </w:r>
      <w:r w:rsidR="00262DB1">
        <w:rPr>
          <w:iCs/>
          <w:lang w:val="nl-BE"/>
        </w:rPr>
        <w:t xml:space="preserve"> </w:t>
      </w:r>
      <w:r w:rsidR="00C12067">
        <w:rPr>
          <w:iCs/>
          <w:lang w:val="nl-BE"/>
        </w:rPr>
        <w:t>dien</w:t>
      </w:r>
      <w:r w:rsidRPr="00E244E3">
        <w:rPr>
          <w:iCs/>
          <w:lang w:val="nl-BE"/>
        </w:rPr>
        <w:t>.</w:t>
      </w:r>
      <w:r w:rsidR="00922186">
        <w:rPr>
          <w:iCs/>
          <w:lang w:val="nl-BE"/>
        </w:rPr>
        <w:t xml:space="preserve"> </w:t>
      </w:r>
      <w:r w:rsidRPr="00E244E3">
        <w:rPr>
          <w:iCs/>
          <w:lang w:val="nl-BE"/>
        </w:rPr>
        <w:t xml:space="preserve">In beginsel staat de aannemer </w:t>
      </w:r>
      <w:r w:rsidR="00922186">
        <w:rPr>
          <w:iCs/>
          <w:lang w:val="nl-BE"/>
        </w:rPr>
        <w:t xml:space="preserve">echter enkel </w:t>
      </w:r>
      <w:r w:rsidRPr="00E244E3">
        <w:rPr>
          <w:iCs/>
          <w:lang w:val="nl-BE"/>
        </w:rPr>
        <w:t>in voor de fouten in de mat</w:t>
      </w:r>
      <w:r w:rsidR="00531656">
        <w:rPr>
          <w:iCs/>
          <w:lang w:val="nl-BE"/>
        </w:rPr>
        <w:t>eriële uitvoering van de werken</w:t>
      </w:r>
      <w:r w:rsidRPr="00E244E3">
        <w:rPr>
          <w:iCs/>
          <w:lang w:val="nl-BE"/>
        </w:rPr>
        <w:t xml:space="preserve">. Indien de architect belast was met de controle op de werken, kan deze laatste </w:t>
      </w:r>
      <w:r w:rsidR="00922186">
        <w:rPr>
          <w:iCs/>
          <w:lang w:val="nl-BE"/>
        </w:rPr>
        <w:t xml:space="preserve">trouwens ook </w:t>
      </w:r>
      <w:r w:rsidRPr="00E244E3">
        <w:rPr>
          <w:iCs/>
          <w:lang w:val="nl-BE"/>
        </w:rPr>
        <w:t>worden aangesproken voor de materiële uitvoeringsfouten</w:t>
      </w:r>
      <w:r w:rsidR="00262DB1">
        <w:rPr>
          <w:iCs/>
          <w:lang w:val="nl-BE"/>
        </w:rPr>
        <w:t>, als</w:t>
      </w:r>
      <w:r w:rsidRPr="00E244E3">
        <w:rPr>
          <w:iCs/>
          <w:lang w:val="nl-BE"/>
        </w:rPr>
        <w:t xml:space="preserve"> blijkt dat hij tekort is geschot</w:t>
      </w:r>
      <w:r w:rsidR="00C12067">
        <w:rPr>
          <w:iCs/>
          <w:lang w:val="nl-BE"/>
        </w:rPr>
        <w:t>en in zijn controleverplichting</w:t>
      </w:r>
      <w:r w:rsidRPr="00E244E3">
        <w:rPr>
          <w:iCs/>
          <w:lang w:val="nl-BE"/>
        </w:rPr>
        <w:t>.</w:t>
      </w:r>
    </w:p>
    <w:p w:rsidR="00262DB1" w:rsidRDefault="00262DB1" w:rsidP="003D3574">
      <w:pPr>
        <w:pStyle w:val="StandaardSV"/>
        <w:ind w:left="360"/>
        <w:rPr>
          <w:iCs/>
          <w:lang w:val="nl-BE"/>
        </w:rPr>
      </w:pPr>
    </w:p>
    <w:p w:rsidR="00AD7916" w:rsidRPr="00E244E3" w:rsidRDefault="00E244E3" w:rsidP="003D3574">
      <w:pPr>
        <w:pStyle w:val="StandaardSV"/>
        <w:ind w:left="360"/>
      </w:pPr>
      <w:r w:rsidRPr="00E244E3">
        <w:rPr>
          <w:iCs/>
          <w:lang w:val="nl-BE"/>
        </w:rPr>
        <w:t xml:space="preserve">De door VMSW gehanteerde contractmodellen </w:t>
      </w:r>
      <w:r w:rsidR="00262DB1">
        <w:rPr>
          <w:iCs/>
          <w:lang w:val="nl-BE"/>
        </w:rPr>
        <w:t xml:space="preserve">overschrijden </w:t>
      </w:r>
      <w:r w:rsidRPr="00E244E3">
        <w:rPr>
          <w:iCs/>
          <w:lang w:val="nl-BE"/>
        </w:rPr>
        <w:t>nergens de hierboven gestelde grenzen die op het vlak van aansprakelijkheidsverdeling door de rechtsleer en rechtspraak tussen aanneme</w:t>
      </w:r>
      <w:r w:rsidR="00531656">
        <w:rPr>
          <w:iCs/>
          <w:lang w:val="nl-BE"/>
        </w:rPr>
        <w:t>r en architect worden getrokken</w:t>
      </w:r>
      <w:r w:rsidRPr="00E244E3">
        <w:rPr>
          <w:iCs/>
          <w:lang w:val="nl-BE"/>
        </w:rPr>
        <w:t xml:space="preserve">. Er </w:t>
      </w:r>
      <w:r w:rsidR="00262DB1">
        <w:rPr>
          <w:iCs/>
          <w:lang w:val="nl-BE"/>
        </w:rPr>
        <w:t xml:space="preserve">is voor zover mij bekend </w:t>
      </w:r>
      <w:r w:rsidRPr="00E244E3">
        <w:rPr>
          <w:iCs/>
          <w:lang w:val="nl-BE"/>
        </w:rPr>
        <w:t>dan ook geen sprake van een juridisch onrechtmatige behandeling of benadering va</w:t>
      </w:r>
      <w:r w:rsidR="00265243">
        <w:rPr>
          <w:iCs/>
          <w:lang w:val="nl-BE"/>
        </w:rPr>
        <w:t>n de aannemerswereld in deze</w:t>
      </w:r>
      <w:r w:rsidR="003D0A67">
        <w:rPr>
          <w:iCs/>
          <w:lang w:val="nl-BE"/>
        </w:rPr>
        <w:t>.</w:t>
      </w:r>
      <w:r w:rsidR="00262DB1">
        <w:rPr>
          <w:iCs/>
          <w:lang w:val="nl-BE"/>
        </w:rPr>
        <w:t xml:space="preserve"> Mochten hierover toch twijfels bestaan bij specifieke passages</w:t>
      </w:r>
      <w:r w:rsidR="00922186">
        <w:rPr>
          <w:iCs/>
          <w:lang w:val="nl-BE"/>
        </w:rPr>
        <w:t xml:space="preserve"> in de modelbestekken</w:t>
      </w:r>
      <w:r w:rsidR="00262DB1">
        <w:rPr>
          <w:iCs/>
          <w:lang w:val="nl-BE"/>
        </w:rPr>
        <w:t>, is het aangewezen om de VMSW hiermee te confronteren, zodat dit concreet kan worden besproken.</w:t>
      </w:r>
    </w:p>
    <w:sectPr w:rsidR="00AD7916" w:rsidRPr="00E244E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4E024AB"/>
    <w:multiLevelType w:val="hybridMultilevel"/>
    <w:tmpl w:val="9D345B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4A70AD0"/>
    <w:multiLevelType w:val="hybridMultilevel"/>
    <w:tmpl w:val="1CB218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9"/>
  </w:num>
  <w:num w:numId="6">
    <w:abstractNumId w:val="2"/>
  </w:num>
  <w:num w:numId="7">
    <w:abstractNumId w:val="7"/>
  </w:num>
  <w:num w:numId="8">
    <w:abstractNumId w:val="3"/>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BB0C5B"/>
    <w:rsid w:val="00025658"/>
    <w:rsid w:val="0004017A"/>
    <w:rsid w:val="00095C78"/>
    <w:rsid w:val="000976E9"/>
    <w:rsid w:val="000C409A"/>
    <w:rsid w:val="000C4E8C"/>
    <w:rsid w:val="000F1048"/>
    <w:rsid w:val="000F3532"/>
    <w:rsid w:val="00103F3F"/>
    <w:rsid w:val="00160691"/>
    <w:rsid w:val="00187939"/>
    <w:rsid w:val="001D5EDF"/>
    <w:rsid w:val="001F6134"/>
    <w:rsid w:val="00210C07"/>
    <w:rsid w:val="00226BFF"/>
    <w:rsid w:val="002477E0"/>
    <w:rsid w:val="0025428C"/>
    <w:rsid w:val="00262DB1"/>
    <w:rsid w:val="002636BB"/>
    <w:rsid w:val="00265243"/>
    <w:rsid w:val="00274040"/>
    <w:rsid w:val="00275A02"/>
    <w:rsid w:val="002760C0"/>
    <w:rsid w:val="002843DB"/>
    <w:rsid w:val="002B2CE4"/>
    <w:rsid w:val="00326A58"/>
    <w:rsid w:val="0033442A"/>
    <w:rsid w:val="003A1ED9"/>
    <w:rsid w:val="003C4967"/>
    <w:rsid w:val="003C7A81"/>
    <w:rsid w:val="003D0A67"/>
    <w:rsid w:val="003D3574"/>
    <w:rsid w:val="003E3FD0"/>
    <w:rsid w:val="004314D9"/>
    <w:rsid w:val="00444150"/>
    <w:rsid w:val="00461EAE"/>
    <w:rsid w:val="00463FCD"/>
    <w:rsid w:val="00471904"/>
    <w:rsid w:val="004C0DB9"/>
    <w:rsid w:val="004D1CED"/>
    <w:rsid w:val="004E4428"/>
    <w:rsid w:val="00531656"/>
    <w:rsid w:val="005A27FC"/>
    <w:rsid w:val="005A319E"/>
    <w:rsid w:val="005E38CA"/>
    <w:rsid w:val="00655B7D"/>
    <w:rsid w:val="006563FB"/>
    <w:rsid w:val="0066598B"/>
    <w:rsid w:val="006A76E7"/>
    <w:rsid w:val="006E50EA"/>
    <w:rsid w:val="0071248C"/>
    <w:rsid w:val="007252C7"/>
    <w:rsid w:val="008075BB"/>
    <w:rsid w:val="00815CB7"/>
    <w:rsid w:val="00825D7C"/>
    <w:rsid w:val="008542BF"/>
    <w:rsid w:val="00877435"/>
    <w:rsid w:val="008A1969"/>
    <w:rsid w:val="008D5DB4"/>
    <w:rsid w:val="00922186"/>
    <w:rsid w:val="009347E0"/>
    <w:rsid w:val="009456B5"/>
    <w:rsid w:val="009666FC"/>
    <w:rsid w:val="00996094"/>
    <w:rsid w:val="009B303E"/>
    <w:rsid w:val="009D7043"/>
    <w:rsid w:val="009E6040"/>
    <w:rsid w:val="00A30112"/>
    <w:rsid w:val="00A47636"/>
    <w:rsid w:val="00A61C86"/>
    <w:rsid w:val="00A82E28"/>
    <w:rsid w:val="00A96688"/>
    <w:rsid w:val="00AD2437"/>
    <w:rsid w:val="00AD7916"/>
    <w:rsid w:val="00AF7000"/>
    <w:rsid w:val="00B06A7F"/>
    <w:rsid w:val="00B274BE"/>
    <w:rsid w:val="00B32B02"/>
    <w:rsid w:val="00B379F9"/>
    <w:rsid w:val="00B413FC"/>
    <w:rsid w:val="00B45EB2"/>
    <w:rsid w:val="00B53948"/>
    <w:rsid w:val="00B777F2"/>
    <w:rsid w:val="00BB0C5B"/>
    <w:rsid w:val="00BB44E1"/>
    <w:rsid w:val="00BC005B"/>
    <w:rsid w:val="00BC6A14"/>
    <w:rsid w:val="00BD2BC5"/>
    <w:rsid w:val="00BE425A"/>
    <w:rsid w:val="00C12067"/>
    <w:rsid w:val="00C46A55"/>
    <w:rsid w:val="00C86ADC"/>
    <w:rsid w:val="00C91441"/>
    <w:rsid w:val="00CC1D69"/>
    <w:rsid w:val="00D22297"/>
    <w:rsid w:val="00D71D99"/>
    <w:rsid w:val="00D754F2"/>
    <w:rsid w:val="00DA0612"/>
    <w:rsid w:val="00DB41C0"/>
    <w:rsid w:val="00DC4DB6"/>
    <w:rsid w:val="00DF46AC"/>
    <w:rsid w:val="00E244E3"/>
    <w:rsid w:val="00E3082F"/>
    <w:rsid w:val="00E55200"/>
    <w:rsid w:val="00E806BD"/>
    <w:rsid w:val="00E85C8D"/>
    <w:rsid w:val="00E94286"/>
    <w:rsid w:val="00EA50F8"/>
    <w:rsid w:val="00F02A9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AD7916"/>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AD7916"/>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4498">
      <w:bodyDiv w:val="1"/>
      <w:marLeft w:val="0"/>
      <w:marRight w:val="0"/>
      <w:marTop w:val="0"/>
      <w:marBottom w:val="0"/>
      <w:divBdr>
        <w:top w:val="none" w:sz="0" w:space="0" w:color="auto"/>
        <w:left w:val="none" w:sz="0" w:space="0" w:color="auto"/>
        <w:bottom w:val="none" w:sz="0" w:space="0" w:color="auto"/>
        <w:right w:val="none" w:sz="0" w:space="0" w:color="auto"/>
      </w:divBdr>
    </w:div>
    <w:div w:id="1059209030">
      <w:bodyDiv w:val="1"/>
      <w:marLeft w:val="0"/>
      <w:marRight w:val="0"/>
      <w:marTop w:val="0"/>
      <w:marBottom w:val="0"/>
      <w:divBdr>
        <w:top w:val="none" w:sz="0" w:space="0" w:color="auto"/>
        <w:left w:val="none" w:sz="0" w:space="0" w:color="auto"/>
        <w:bottom w:val="none" w:sz="0" w:space="0" w:color="auto"/>
        <w:right w:val="none" w:sz="0" w:space="0" w:color="auto"/>
      </w:divBdr>
    </w:div>
    <w:div w:id="1081176236">
      <w:bodyDiv w:val="1"/>
      <w:marLeft w:val="0"/>
      <w:marRight w:val="0"/>
      <w:marTop w:val="0"/>
      <w:marBottom w:val="0"/>
      <w:divBdr>
        <w:top w:val="none" w:sz="0" w:space="0" w:color="auto"/>
        <w:left w:val="none" w:sz="0" w:space="0" w:color="auto"/>
        <w:bottom w:val="none" w:sz="0" w:space="0" w:color="auto"/>
        <w:right w:val="none" w:sz="0" w:space="0" w:color="auto"/>
      </w:divBdr>
    </w:div>
    <w:div w:id="1243249249">
      <w:bodyDiv w:val="1"/>
      <w:marLeft w:val="0"/>
      <w:marRight w:val="0"/>
      <w:marTop w:val="0"/>
      <w:marBottom w:val="0"/>
      <w:divBdr>
        <w:top w:val="none" w:sz="0" w:space="0" w:color="auto"/>
        <w:left w:val="none" w:sz="0" w:space="0" w:color="auto"/>
        <w:bottom w:val="none" w:sz="0" w:space="0" w:color="auto"/>
        <w:right w:val="none" w:sz="0" w:space="0" w:color="auto"/>
      </w:divBdr>
    </w:div>
    <w:div w:id="1428423854">
      <w:bodyDiv w:val="1"/>
      <w:marLeft w:val="0"/>
      <w:marRight w:val="0"/>
      <w:marTop w:val="0"/>
      <w:marBottom w:val="0"/>
      <w:divBdr>
        <w:top w:val="none" w:sz="0" w:space="0" w:color="auto"/>
        <w:left w:val="none" w:sz="0" w:space="0" w:color="auto"/>
        <w:bottom w:val="none" w:sz="0" w:space="0" w:color="auto"/>
        <w:right w:val="none" w:sz="0" w:space="0" w:color="auto"/>
      </w:divBdr>
    </w:div>
    <w:div w:id="1605308835">
      <w:bodyDiv w:val="1"/>
      <w:marLeft w:val="0"/>
      <w:marRight w:val="0"/>
      <w:marTop w:val="0"/>
      <w:marBottom w:val="0"/>
      <w:divBdr>
        <w:top w:val="none" w:sz="0" w:space="0" w:color="auto"/>
        <w:left w:val="none" w:sz="0" w:space="0" w:color="auto"/>
        <w:bottom w:val="none" w:sz="0" w:space="0" w:color="auto"/>
        <w:right w:val="none" w:sz="0" w:space="0" w:color="auto"/>
      </w:divBdr>
    </w:div>
    <w:div w:id="1875996807">
      <w:bodyDiv w:val="1"/>
      <w:marLeft w:val="0"/>
      <w:marRight w:val="0"/>
      <w:marTop w:val="0"/>
      <w:marBottom w:val="0"/>
      <w:divBdr>
        <w:top w:val="none" w:sz="0" w:space="0" w:color="auto"/>
        <w:left w:val="none" w:sz="0" w:space="0" w:color="auto"/>
        <w:bottom w:val="none" w:sz="0" w:space="0" w:color="auto"/>
        <w:right w:val="none" w:sz="0" w:space="0" w:color="auto"/>
      </w:divBdr>
    </w:div>
    <w:div w:id="2098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jd0378</dc:creator>
  <cp:lastModifiedBy>Nathalie De Keyzer</cp:lastModifiedBy>
  <cp:revision>3</cp:revision>
  <cp:lastPrinted>2013-10-15T08:57:00Z</cp:lastPrinted>
  <dcterms:created xsi:type="dcterms:W3CDTF">2013-10-15T14:37:00Z</dcterms:created>
  <dcterms:modified xsi:type="dcterms:W3CDTF">2013-11-05T07:51:00Z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