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C91E26"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CF7B32">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186505">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86505">
            <w:rPr>
              <w:sz w:val="22"/>
              <w:szCs w:val="22"/>
              <w:lang w:val="nl-BE"/>
            </w:rPr>
            <w:t>1140</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9-18T00:00:00Z">
            <w:dateFormat w:val="d MMMM yyyy"/>
            <w:lid w:val="nl-BE"/>
            <w:storeMappedDataAs w:val="dateTime"/>
            <w:calendar w:val="gregorian"/>
          </w:date>
        </w:sdtPr>
        <w:sdtEndPr/>
        <w:sdtContent>
          <w:r w:rsidR="00186505">
            <w:rPr>
              <w:sz w:val="22"/>
              <w:szCs w:val="22"/>
              <w:lang w:val="nl-BE"/>
            </w:rPr>
            <w:t>18 september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186505">
            <w:rPr>
              <w:b/>
              <w:caps/>
              <w:sz w:val="18"/>
              <w:szCs w:val="22"/>
              <w:lang w:val="nl-BE"/>
            </w:rPr>
            <w:t>Robrecht Bothuyne</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EA7874">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rsidR="00186505" w:rsidRDefault="00186505" w:rsidP="00EA7874">
      <w:pPr>
        <w:pStyle w:val="StandaardSV"/>
      </w:pPr>
    </w:p>
    <w:p w:rsidR="00EA7874" w:rsidRDefault="00EA7874" w:rsidP="00EA7874">
      <w:pPr>
        <w:pStyle w:val="StandaardSV"/>
      </w:pPr>
    </w:p>
    <w:p w:rsidR="00186505" w:rsidRDefault="00EA7874" w:rsidP="00C91E26">
      <w:pPr>
        <w:pStyle w:val="StandaardSV"/>
        <w:tabs>
          <w:tab w:val="left" w:pos="567"/>
        </w:tabs>
      </w:pPr>
      <w:r>
        <w:t>1</w:t>
      </w:r>
      <w:r w:rsidR="00C91E26">
        <w:t>-</w:t>
      </w:r>
      <w:r w:rsidR="00186505">
        <w:t>2.</w:t>
      </w:r>
      <w:r w:rsidR="00C91E26">
        <w:t xml:space="preserve"> </w:t>
      </w:r>
      <w:r w:rsidR="00C91E26">
        <w:tab/>
      </w:r>
      <w:r w:rsidR="00475BF0">
        <w:t>Deze gegevens zijn terug te vinden op de website van de RVA.</w:t>
      </w:r>
    </w:p>
    <w:p w:rsidR="00EA7874" w:rsidRDefault="00EA7874" w:rsidP="00C91E26">
      <w:pPr>
        <w:pStyle w:val="StandaardSV"/>
        <w:tabs>
          <w:tab w:val="left" w:pos="567"/>
        </w:tabs>
      </w:pPr>
    </w:p>
    <w:p w:rsidR="00186505" w:rsidRPr="00C91E26" w:rsidRDefault="00EA7874" w:rsidP="00C91E26">
      <w:pPr>
        <w:shd w:val="clear" w:color="auto" w:fill="FFFFFF"/>
        <w:tabs>
          <w:tab w:val="left" w:pos="567"/>
        </w:tabs>
        <w:ind w:left="567" w:hanging="567"/>
        <w:jc w:val="both"/>
      </w:pPr>
      <w:r>
        <w:t>3.</w:t>
      </w:r>
      <w:r w:rsidR="00C91E26">
        <w:t xml:space="preserve"> </w:t>
      </w:r>
      <w:r w:rsidR="00C91E26">
        <w:tab/>
      </w:r>
      <w:r w:rsidR="00186505" w:rsidRPr="00475BF0">
        <w:rPr>
          <w:sz w:val="22"/>
          <w:szCs w:val="22"/>
        </w:rPr>
        <w:t>Als Minister van Werk in Vlaanderen ben ik n</w:t>
      </w:r>
      <w:r w:rsidR="00475BF0">
        <w:rPr>
          <w:sz w:val="22"/>
          <w:szCs w:val="22"/>
        </w:rPr>
        <w:t xml:space="preserve">iet bevoegd voor het stelsel van werkloosheid met </w:t>
      </w:r>
      <w:proofErr w:type="spellStart"/>
      <w:r w:rsidR="00475BF0">
        <w:rPr>
          <w:sz w:val="22"/>
          <w:szCs w:val="22"/>
        </w:rPr>
        <w:t>be</w:t>
      </w:r>
      <w:r>
        <w:rPr>
          <w:sz w:val="22"/>
          <w:szCs w:val="22"/>
        </w:rPr>
        <w:softHyphen/>
      </w:r>
      <w:r w:rsidR="00475BF0">
        <w:rPr>
          <w:sz w:val="22"/>
          <w:szCs w:val="22"/>
        </w:rPr>
        <w:t>drijfstoeslag</w:t>
      </w:r>
      <w:proofErr w:type="spellEnd"/>
      <w:r w:rsidR="00475BF0">
        <w:rPr>
          <w:sz w:val="22"/>
          <w:szCs w:val="22"/>
        </w:rPr>
        <w:t xml:space="preserve"> (SWT)</w:t>
      </w:r>
      <w:r w:rsidR="00186505" w:rsidRPr="00475BF0">
        <w:rPr>
          <w:sz w:val="22"/>
          <w:szCs w:val="22"/>
        </w:rPr>
        <w:t>. In tijd</w:t>
      </w:r>
      <w:r w:rsidR="00475BF0">
        <w:rPr>
          <w:sz w:val="22"/>
          <w:szCs w:val="22"/>
        </w:rPr>
        <w:t xml:space="preserve">en van </w:t>
      </w:r>
      <w:proofErr w:type="spellStart"/>
      <w:r w:rsidR="00475BF0">
        <w:rPr>
          <w:sz w:val="22"/>
          <w:szCs w:val="22"/>
        </w:rPr>
        <w:t>arbeidskraptes</w:t>
      </w:r>
      <w:proofErr w:type="spellEnd"/>
      <w:r w:rsidR="00475BF0">
        <w:rPr>
          <w:sz w:val="22"/>
          <w:szCs w:val="22"/>
        </w:rPr>
        <w:t xml:space="preserve"> zet ik </w:t>
      </w:r>
      <w:r w:rsidR="00186505" w:rsidRPr="00475BF0">
        <w:rPr>
          <w:sz w:val="22"/>
          <w:szCs w:val="22"/>
        </w:rPr>
        <w:t xml:space="preserve">in Vlaanderen volop in op een </w:t>
      </w:r>
      <w:proofErr w:type="spellStart"/>
      <w:r w:rsidR="00186505" w:rsidRPr="00475BF0">
        <w:rPr>
          <w:sz w:val="22"/>
          <w:szCs w:val="22"/>
        </w:rPr>
        <w:t>werkzaamheids</w:t>
      </w:r>
      <w:r>
        <w:rPr>
          <w:sz w:val="22"/>
          <w:szCs w:val="22"/>
        </w:rPr>
        <w:softHyphen/>
      </w:r>
      <w:r w:rsidR="00186505" w:rsidRPr="00475BF0">
        <w:rPr>
          <w:sz w:val="22"/>
          <w:szCs w:val="22"/>
        </w:rPr>
        <w:t>verhogend</w:t>
      </w:r>
      <w:proofErr w:type="spellEnd"/>
      <w:r w:rsidR="00186505" w:rsidRPr="00475BF0">
        <w:rPr>
          <w:sz w:val="22"/>
          <w:szCs w:val="22"/>
        </w:rPr>
        <w:t xml:space="preserve"> beleid. Ik geef hier een aantal voorbeelden van mijn beleid. Naar werkloze jongeren toe realiseren we een  </w:t>
      </w:r>
      <w:r w:rsidR="00186505" w:rsidRPr="00475BF0">
        <w:rPr>
          <w:i/>
          <w:sz w:val="22"/>
          <w:szCs w:val="22"/>
        </w:rPr>
        <w:t>jeu</w:t>
      </w:r>
      <w:r w:rsidR="00475BF0">
        <w:rPr>
          <w:i/>
          <w:sz w:val="22"/>
          <w:szCs w:val="22"/>
        </w:rPr>
        <w:t>g</w:t>
      </w:r>
      <w:r w:rsidR="00186505" w:rsidRPr="00475BF0">
        <w:rPr>
          <w:i/>
          <w:sz w:val="22"/>
          <w:szCs w:val="22"/>
        </w:rPr>
        <w:t>dgarantie</w:t>
      </w:r>
      <w:r w:rsidR="00186505" w:rsidRPr="00475BF0">
        <w:rPr>
          <w:sz w:val="22"/>
          <w:szCs w:val="22"/>
        </w:rPr>
        <w:t xml:space="preserve">. We  beginnen met </w:t>
      </w:r>
      <w:proofErr w:type="spellStart"/>
      <w:r w:rsidR="00186505" w:rsidRPr="00475BF0">
        <w:rPr>
          <w:sz w:val="22"/>
          <w:szCs w:val="22"/>
        </w:rPr>
        <w:t>werkinlevingsprojecten</w:t>
      </w:r>
      <w:proofErr w:type="spellEnd"/>
      <w:r w:rsidR="00186505" w:rsidRPr="00475BF0">
        <w:rPr>
          <w:sz w:val="22"/>
          <w:szCs w:val="22"/>
        </w:rPr>
        <w:t xml:space="preserve"> voor jongeren die zonder diploma van de schoolbanken komen. En er zijn de individuele beroepsopleidingen en we moedigen leren op de werkplek aan.  Naar oudere werklozen zetten we in Vlaanderen, in tegenstelling tot de andere gewesten, in op een activerende aanpak voor alle werkzoekenden tot 58 jaar via de </w:t>
      </w:r>
      <w:r w:rsidR="00186505" w:rsidRPr="00475BF0">
        <w:rPr>
          <w:i/>
          <w:sz w:val="22"/>
          <w:szCs w:val="22"/>
        </w:rPr>
        <w:t>systema</w:t>
      </w:r>
      <w:r>
        <w:rPr>
          <w:i/>
          <w:sz w:val="22"/>
          <w:szCs w:val="22"/>
        </w:rPr>
        <w:softHyphen/>
      </w:r>
      <w:r w:rsidR="00186505" w:rsidRPr="00475BF0">
        <w:rPr>
          <w:i/>
          <w:sz w:val="22"/>
          <w:szCs w:val="22"/>
        </w:rPr>
        <w:t>tische aanpak</w:t>
      </w:r>
      <w:r w:rsidR="00186505" w:rsidRPr="00475BF0">
        <w:rPr>
          <w:sz w:val="22"/>
          <w:szCs w:val="22"/>
        </w:rPr>
        <w:t xml:space="preserve">. Voor alle andere werkzoekenden is er het </w:t>
      </w:r>
      <w:r w:rsidR="00186505" w:rsidRPr="00475BF0">
        <w:rPr>
          <w:i/>
          <w:sz w:val="22"/>
          <w:szCs w:val="22"/>
        </w:rPr>
        <w:t>Sluitend Maatpak Plus</w:t>
      </w:r>
      <w:r w:rsidR="00186505" w:rsidRPr="00475BF0">
        <w:rPr>
          <w:sz w:val="22"/>
          <w:szCs w:val="22"/>
        </w:rPr>
        <w:t xml:space="preserve"> dat vertrekt van een klantgericht servicemodel, met een ruim toegankelijke onlinedienstverlening voor zelfredzame werk</w:t>
      </w:r>
      <w:r>
        <w:rPr>
          <w:sz w:val="22"/>
          <w:szCs w:val="22"/>
        </w:rPr>
        <w:softHyphen/>
      </w:r>
      <w:r w:rsidR="00186505" w:rsidRPr="00475BF0">
        <w:rPr>
          <w:sz w:val="22"/>
          <w:szCs w:val="22"/>
        </w:rPr>
        <w:t>zoekenden tot intensieve persoonlijke begeleiding voor werkzoekenden die daar behoefte aan hebben. Ook voor werkenden en bedrijven zet ik in op duurzame inzetbaarheid. Ik</w:t>
      </w:r>
      <w:r w:rsidR="00186505" w:rsidRPr="00475BF0">
        <w:rPr>
          <w:i/>
          <w:sz w:val="22"/>
          <w:szCs w:val="22"/>
        </w:rPr>
        <w:t xml:space="preserve"> </w:t>
      </w:r>
      <w:r w:rsidR="00186505" w:rsidRPr="00475BF0">
        <w:rPr>
          <w:sz w:val="22"/>
          <w:szCs w:val="22"/>
        </w:rPr>
        <w:t xml:space="preserve">geef hier het voorbeeld van </w:t>
      </w:r>
      <w:bookmarkStart w:id="0" w:name="_Toc368057034"/>
      <w:r w:rsidR="00186505" w:rsidRPr="00475BF0">
        <w:rPr>
          <w:sz w:val="22"/>
          <w:szCs w:val="22"/>
        </w:rPr>
        <w:t>de invoering van de Loopbaancheques voor beroepsactieven</w:t>
      </w:r>
      <w:bookmarkEnd w:id="0"/>
      <w:r w:rsidR="00186505" w:rsidRPr="00475BF0">
        <w:rPr>
          <w:sz w:val="22"/>
          <w:szCs w:val="22"/>
        </w:rPr>
        <w:t>, waardoor werkenden hun competenties beter kunnen leren inschatten en meer aan het stuur van hun loopbaan kunnen zitten. Daarnaast  onder</w:t>
      </w:r>
      <w:r>
        <w:rPr>
          <w:sz w:val="22"/>
          <w:szCs w:val="22"/>
        </w:rPr>
        <w:softHyphen/>
      </w:r>
      <w:r w:rsidR="00186505" w:rsidRPr="00475BF0">
        <w:rPr>
          <w:sz w:val="22"/>
          <w:szCs w:val="22"/>
        </w:rPr>
        <w:t>steunen we bedrijven in werkbaar werk en in een strategisch HR- en organisatiebeleid (via loopbaan-en diversiteitsplannen en via ESF projecten mensgericht ondernemen). Om vroegtijdige uitstroom te voorkomen heb ik ook ingezet op sensibilisering van werkgevers en werknemers via de campagne www.dejuistestoel.be.</w:t>
      </w:r>
    </w:p>
    <w:p w:rsidR="00EA7874" w:rsidRDefault="00EA7874" w:rsidP="00EA7874">
      <w:pPr>
        <w:pStyle w:val="StandaardSV"/>
        <w:tabs>
          <w:tab w:val="left" w:pos="360"/>
        </w:tabs>
        <w:rPr>
          <w:szCs w:val="22"/>
        </w:rPr>
      </w:pPr>
    </w:p>
    <w:p w:rsidR="00186505" w:rsidRPr="00C91E26" w:rsidRDefault="00186505" w:rsidP="00C91E26">
      <w:pPr>
        <w:pStyle w:val="StandaardSV"/>
        <w:tabs>
          <w:tab w:val="left" w:pos="360"/>
        </w:tabs>
        <w:ind w:left="567" w:hanging="567"/>
        <w:rPr>
          <w:szCs w:val="22"/>
        </w:rPr>
      </w:pPr>
      <w:r>
        <w:rPr>
          <w:szCs w:val="22"/>
        </w:rPr>
        <w:t>4.</w:t>
      </w:r>
      <w:r w:rsidR="00C91E26">
        <w:rPr>
          <w:szCs w:val="22"/>
        </w:rPr>
        <w:t xml:space="preserve"> </w:t>
      </w:r>
      <w:r w:rsidR="00C91E26">
        <w:rPr>
          <w:szCs w:val="22"/>
        </w:rPr>
        <w:tab/>
      </w:r>
      <w:r w:rsidR="00C91E26">
        <w:rPr>
          <w:szCs w:val="22"/>
        </w:rPr>
        <w:tab/>
      </w:r>
      <w:r>
        <w:t>De VDAB kan enkel gegevens verstrekken over personen die gekend en geregistreerd zijn als klant bij VDAB. De cijfergegevens hebben dus enkel betrekking op personen, met SWT-statuut, die zich bij de VDAB hebben ingeschreven, in de periode 2011, 2012 en januari-juni 2013.</w:t>
      </w:r>
    </w:p>
    <w:p w:rsidR="00186505" w:rsidRDefault="00186505" w:rsidP="00C91E26">
      <w:pPr>
        <w:pStyle w:val="StandaardSV"/>
        <w:tabs>
          <w:tab w:val="left" w:pos="360"/>
        </w:tabs>
        <w:ind w:left="567"/>
      </w:pPr>
      <w:r>
        <w:t xml:space="preserve">Tot slot nog dit: de RVA kent het statuut SWT pas toe na afloop van de verplichte periode in de </w:t>
      </w:r>
      <w:proofErr w:type="spellStart"/>
      <w:r>
        <w:t>tewerkstellingscel</w:t>
      </w:r>
      <w:proofErr w:type="spellEnd"/>
      <w:r>
        <w:t xml:space="preserve"> en nadat de persoon uitkeringen heeft aangevraagd. Wat betekent dat, bovenop de bovenstaande beschreven afbakening van de doelgroep, de VDAB enkel in staat is om cijfergegevens te verstrekken voor diegenen die ook </w:t>
      </w:r>
      <w:r w:rsidRPr="008F0DD1">
        <w:rPr>
          <w:u w:val="single"/>
        </w:rPr>
        <w:t>na</w:t>
      </w:r>
      <w:r>
        <w:t xml:space="preserve"> de verplichte periode in de TWC zijn ingeschreven als werk</w:t>
      </w:r>
      <w:r w:rsidR="00EA7874">
        <w:softHyphen/>
      </w:r>
      <w:r>
        <w:t>zoekende bij de VDAB.</w:t>
      </w:r>
    </w:p>
    <w:p w:rsidR="00186505" w:rsidRDefault="00186505" w:rsidP="00C91E26">
      <w:pPr>
        <w:pStyle w:val="StandaardSV"/>
        <w:tabs>
          <w:tab w:val="left" w:pos="360"/>
        </w:tabs>
        <w:ind w:left="567"/>
      </w:pPr>
      <w:r>
        <w:t>Het SWT-statuut wordt enkel toegekend aan personen van 50 jaar of ouder. De cijfers zijn bijgevolg opgedeeld in de categorieën 50 tot 55 jaar, 55 tot 60 jaar en 60+.</w:t>
      </w:r>
    </w:p>
    <w:p w:rsidR="00284EDD" w:rsidRDefault="00284EDD">
      <w:pPr>
        <w:rPr>
          <w:sz w:val="22"/>
          <w:szCs w:val="20"/>
        </w:rPr>
      </w:pPr>
      <w:r>
        <w:br w:type="page"/>
      </w:r>
    </w:p>
    <w:p w:rsidR="00186505" w:rsidRDefault="00186505" w:rsidP="00186505">
      <w:pPr>
        <w:pStyle w:val="StandaardSV"/>
        <w:tabs>
          <w:tab w:val="left" w:pos="360"/>
        </w:tabs>
        <w:spacing w:before="240"/>
      </w:pPr>
      <w:r w:rsidRPr="009A245D">
        <w:lastRenderedPageBreak/>
        <w:t xml:space="preserve">Tabel </w:t>
      </w:r>
      <w:r>
        <w:t>1</w:t>
      </w:r>
      <w:r w:rsidRPr="009A245D">
        <w:t xml:space="preserve">: aantal personen </w:t>
      </w:r>
      <w:r>
        <w:t xml:space="preserve">die waren </w:t>
      </w:r>
      <w:r w:rsidRPr="009A245D">
        <w:t>ingeschrev</w:t>
      </w:r>
      <w:r>
        <w:t xml:space="preserve">en in een </w:t>
      </w:r>
      <w:proofErr w:type="spellStart"/>
      <w:r>
        <w:t>tewerkstellingscel</w:t>
      </w:r>
      <w:proofErr w:type="spellEnd"/>
      <w:r>
        <w:t xml:space="preserve"> (TWC) en</w:t>
      </w:r>
      <w:r w:rsidRPr="009A245D">
        <w:t xml:space="preserve"> achteraf het statuut S</w:t>
      </w:r>
      <w:r>
        <w:t>WT kregen.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51"/>
        <w:gridCol w:w="1152"/>
        <w:gridCol w:w="1152"/>
        <w:gridCol w:w="1151"/>
        <w:gridCol w:w="1152"/>
        <w:gridCol w:w="1152"/>
      </w:tblGrid>
      <w:tr w:rsidR="00186505" w:rsidTr="00756F6A">
        <w:tc>
          <w:tcPr>
            <w:tcW w:w="2303" w:type="dxa"/>
            <w:vMerge w:val="restart"/>
            <w:shd w:val="clear" w:color="auto" w:fill="auto"/>
          </w:tcPr>
          <w:p w:rsidR="00186505" w:rsidRPr="00454E8B" w:rsidRDefault="00186505" w:rsidP="00756F6A">
            <w:pPr>
              <w:pStyle w:val="StandaardSV"/>
              <w:tabs>
                <w:tab w:val="left" w:pos="360"/>
              </w:tabs>
              <w:spacing w:before="240"/>
              <w:jc w:val="left"/>
              <w:rPr>
                <w:b/>
              </w:rPr>
            </w:pPr>
            <w:r w:rsidRPr="00454E8B">
              <w:rPr>
                <w:b/>
              </w:rPr>
              <w:t>Inschrijving in de TWC in de periode…</w:t>
            </w:r>
          </w:p>
        </w:tc>
        <w:tc>
          <w:tcPr>
            <w:tcW w:w="6910" w:type="dxa"/>
            <w:gridSpan w:val="6"/>
            <w:shd w:val="clear" w:color="auto" w:fill="auto"/>
          </w:tcPr>
          <w:p w:rsidR="00186505" w:rsidRPr="00454E8B" w:rsidRDefault="00186505" w:rsidP="00756F6A">
            <w:pPr>
              <w:pStyle w:val="StandaardSV"/>
              <w:tabs>
                <w:tab w:val="left" w:pos="360"/>
              </w:tabs>
              <w:spacing w:before="240"/>
              <w:jc w:val="center"/>
              <w:rPr>
                <w:b/>
              </w:rPr>
            </w:pPr>
            <w:r w:rsidRPr="00454E8B">
              <w:rPr>
                <w:b/>
              </w:rPr>
              <w:t>Leeftijdscategorie en geslacht</w:t>
            </w:r>
          </w:p>
        </w:tc>
      </w:tr>
      <w:tr w:rsidR="00186505" w:rsidTr="00756F6A">
        <w:tc>
          <w:tcPr>
            <w:tcW w:w="2303" w:type="dxa"/>
            <w:vMerge/>
            <w:shd w:val="clear" w:color="auto" w:fill="auto"/>
          </w:tcPr>
          <w:p w:rsidR="00186505" w:rsidRDefault="00186505" w:rsidP="00756F6A">
            <w:pPr>
              <w:pStyle w:val="StandaardSV"/>
              <w:tabs>
                <w:tab w:val="left" w:pos="360"/>
              </w:tabs>
              <w:spacing w:before="240"/>
            </w:pP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50- &lt;55</w:t>
            </w: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55 -&lt; 60</w:t>
            </w:r>
          </w:p>
        </w:tc>
        <w:tc>
          <w:tcPr>
            <w:tcW w:w="2304"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60+</w:t>
            </w:r>
          </w:p>
        </w:tc>
      </w:tr>
      <w:tr w:rsidR="00186505" w:rsidTr="00756F6A">
        <w:tc>
          <w:tcPr>
            <w:tcW w:w="2303" w:type="dxa"/>
            <w:vMerge/>
            <w:shd w:val="clear" w:color="auto" w:fill="auto"/>
          </w:tcPr>
          <w:p w:rsidR="00186505" w:rsidRDefault="00186505" w:rsidP="00756F6A">
            <w:pPr>
              <w:pStyle w:val="StandaardSV"/>
              <w:tabs>
                <w:tab w:val="left" w:pos="360"/>
              </w:tabs>
              <w:spacing w:before="240"/>
            </w:pP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2011</w:t>
            </w:r>
          </w:p>
        </w:tc>
        <w:tc>
          <w:tcPr>
            <w:tcW w:w="1151" w:type="dxa"/>
            <w:shd w:val="clear" w:color="auto" w:fill="auto"/>
          </w:tcPr>
          <w:p w:rsidR="00186505" w:rsidRDefault="00186505" w:rsidP="00756F6A">
            <w:pPr>
              <w:pStyle w:val="StandaardSV"/>
              <w:tabs>
                <w:tab w:val="left" w:pos="360"/>
              </w:tabs>
              <w:spacing w:before="240"/>
            </w:pPr>
            <w:r>
              <w:t>200</w:t>
            </w:r>
          </w:p>
        </w:tc>
        <w:tc>
          <w:tcPr>
            <w:tcW w:w="1152" w:type="dxa"/>
            <w:shd w:val="clear" w:color="auto" w:fill="auto"/>
          </w:tcPr>
          <w:p w:rsidR="00186505" w:rsidRDefault="00186505" w:rsidP="00756F6A">
            <w:pPr>
              <w:pStyle w:val="StandaardSV"/>
              <w:tabs>
                <w:tab w:val="left" w:pos="360"/>
              </w:tabs>
              <w:spacing w:before="240"/>
            </w:pPr>
            <w:r>
              <w:t>49</w:t>
            </w:r>
          </w:p>
        </w:tc>
        <w:tc>
          <w:tcPr>
            <w:tcW w:w="1152" w:type="dxa"/>
            <w:shd w:val="clear" w:color="auto" w:fill="auto"/>
          </w:tcPr>
          <w:p w:rsidR="00186505" w:rsidRDefault="00186505" w:rsidP="00756F6A">
            <w:pPr>
              <w:pStyle w:val="StandaardSV"/>
              <w:tabs>
                <w:tab w:val="left" w:pos="360"/>
              </w:tabs>
              <w:spacing w:before="240"/>
            </w:pPr>
            <w:r>
              <w:t>68</w:t>
            </w:r>
          </w:p>
        </w:tc>
        <w:tc>
          <w:tcPr>
            <w:tcW w:w="1151" w:type="dxa"/>
            <w:shd w:val="clear" w:color="auto" w:fill="auto"/>
          </w:tcPr>
          <w:p w:rsidR="00186505" w:rsidRDefault="00186505" w:rsidP="00756F6A">
            <w:pPr>
              <w:pStyle w:val="StandaardSV"/>
              <w:tabs>
                <w:tab w:val="left" w:pos="360"/>
              </w:tabs>
              <w:spacing w:before="240"/>
            </w:pPr>
            <w:r>
              <w:t>37</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2012</w:t>
            </w:r>
          </w:p>
        </w:tc>
        <w:tc>
          <w:tcPr>
            <w:tcW w:w="1151" w:type="dxa"/>
            <w:shd w:val="clear" w:color="auto" w:fill="auto"/>
          </w:tcPr>
          <w:p w:rsidR="00186505" w:rsidRDefault="00186505" w:rsidP="00756F6A">
            <w:pPr>
              <w:pStyle w:val="StandaardSV"/>
              <w:tabs>
                <w:tab w:val="left" w:pos="360"/>
              </w:tabs>
              <w:spacing w:before="240"/>
            </w:pPr>
            <w:r>
              <w:t>82</w:t>
            </w:r>
          </w:p>
        </w:tc>
        <w:tc>
          <w:tcPr>
            <w:tcW w:w="1152" w:type="dxa"/>
            <w:shd w:val="clear" w:color="auto" w:fill="auto"/>
          </w:tcPr>
          <w:p w:rsidR="00186505" w:rsidRDefault="00186505" w:rsidP="00756F6A">
            <w:pPr>
              <w:pStyle w:val="StandaardSV"/>
              <w:tabs>
                <w:tab w:val="left" w:pos="360"/>
              </w:tabs>
              <w:spacing w:before="240"/>
            </w:pPr>
            <w:r>
              <w:t>27</w:t>
            </w:r>
          </w:p>
        </w:tc>
        <w:tc>
          <w:tcPr>
            <w:tcW w:w="1152" w:type="dxa"/>
            <w:shd w:val="clear" w:color="auto" w:fill="auto"/>
          </w:tcPr>
          <w:p w:rsidR="00186505" w:rsidRDefault="00186505" w:rsidP="00756F6A">
            <w:pPr>
              <w:pStyle w:val="StandaardSV"/>
              <w:tabs>
                <w:tab w:val="left" w:pos="360"/>
              </w:tabs>
              <w:spacing w:before="240"/>
            </w:pPr>
            <w:r>
              <w:t>79</w:t>
            </w:r>
          </w:p>
        </w:tc>
        <w:tc>
          <w:tcPr>
            <w:tcW w:w="1151" w:type="dxa"/>
            <w:shd w:val="clear" w:color="auto" w:fill="auto"/>
          </w:tcPr>
          <w:p w:rsidR="00186505" w:rsidRDefault="00186505" w:rsidP="00756F6A">
            <w:pPr>
              <w:pStyle w:val="StandaardSV"/>
              <w:tabs>
                <w:tab w:val="left" w:pos="360"/>
              </w:tabs>
              <w:spacing w:before="240"/>
            </w:pPr>
            <w:r>
              <w:t>35</w:t>
            </w:r>
          </w:p>
        </w:tc>
        <w:tc>
          <w:tcPr>
            <w:tcW w:w="1152"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2013</w:t>
            </w:r>
          </w:p>
        </w:tc>
        <w:tc>
          <w:tcPr>
            <w:tcW w:w="1151" w:type="dxa"/>
            <w:shd w:val="clear" w:color="auto" w:fill="auto"/>
          </w:tcPr>
          <w:p w:rsidR="00186505" w:rsidRDefault="00186505" w:rsidP="00756F6A">
            <w:pPr>
              <w:pStyle w:val="StandaardSV"/>
              <w:tabs>
                <w:tab w:val="left" w:pos="360"/>
              </w:tabs>
              <w:spacing w:before="240"/>
            </w:pPr>
            <w:r>
              <w:t>3</w:t>
            </w:r>
          </w:p>
        </w:tc>
        <w:tc>
          <w:tcPr>
            <w:tcW w:w="1152" w:type="dxa"/>
            <w:shd w:val="clear" w:color="auto" w:fill="auto"/>
          </w:tcPr>
          <w:p w:rsidR="00186505" w:rsidRDefault="00186505" w:rsidP="00756F6A">
            <w:pPr>
              <w:pStyle w:val="StandaardSV"/>
              <w:tabs>
                <w:tab w:val="left" w:pos="360"/>
              </w:tabs>
              <w:spacing w:before="240"/>
            </w:pPr>
            <w:r>
              <w:t>2</w:t>
            </w:r>
          </w:p>
        </w:tc>
        <w:tc>
          <w:tcPr>
            <w:tcW w:w="1152" w:type="dxa"/>
            <w:shd w:val="clear" w:color="auto" w:fill="auto"/>
          </w:tcPr>
          <w:p w:rsidR="00186505" w:rsidRDefault="00186505" w:rsidP="00756F6A">
            <w:pPr>
              <w:pStyle w:val="StandaardSV"/>
              <w:tabs>
                <w:tab w:val="left" w:pos="360"/>
              </w:tabs>
              <w:spacing w:before="240"/>
            </w:pPr>
            <w:r>
              <w:t>3</w:t>
            </w:r>
          </w:p>
        </w:tc>
        <w:tc>
          <w:tcPr>
            <w:tcW w:w="1151" w:type="dxa"/>
            <w:shd w:val="clear" w:color="auto" w:fill="auto"/>
          </w:tcPr>
          <w:p w:rsidR="00186505" w:rsidRDefault="00186505" w:rsidP="00756F6A">
            <w:pPr>
              <w:pStyle w:val="StandaardSV"/>
              <w:tabs>
                <w:tab w:val="left" w:pos="360"/>
              </w:tabs>
              <w:spacing w:before="240"/>
            </w:pPr>
            <w:r>
              <w:t>3</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bl>
    <w:p w:rsidR="00EA7874" w:rsidRDefault="00EA7874" w:rsidP="00EA7874">
      <w:pPr>
        <w:pStyle w:val="StandaardSV"/>
        <w:tabs>
          <w:tab w:val="left" w:pos="360"/>
        </w:tabs>
      </w:pPr>
    </w:p>
    <w:p w:rsidR="00186505" w:rsidRDefault="00186505" w:rsidP="00EA7874">
      <w:pPr>
        <w:pStyle w:val="StandaardSV"/>
        <w:tabs>
          <w:tab w:val="left" w:pos="360"/>
        </w:tabs>
      </w:pPr>
      <w:r>
        <w:t xml:space="preserve">Opmerking: het aantal in 2013 is nog zeer klein. Dit komt omdat ze al minstens 6 maand moeten ingeschreven zijn in de </w:t>
      </w:r>
      <w:proofErr w:type="spellStart"/>
      <w:r>
        <w:t>tewerkstellingscel</w:t>
      </w:r>
      <w:proofErr w:type="spellEnd"/>
      <w:r>
        <w:t>, waarna moet nagegaan worden of ze het statuut SWT hebben verkregen.</w:t>
      </w:r>
    </w:p>
    <w:p w:rsidR="00EA7874" w:rsidRDefault="00EA7874" w:rsidP="00EA7874">
      <w:pPr>
        <w:pStyle w:val="StandaardSV"/>
        <w:tabs>
          <w:tab w:val="left" w:pos="360"/>
        </w:tabs>
      </w:pPr>
    </w:p>
    <w:p w:rsidR="00EA7874" w:rsidRDefault="00186505" w:rsidP="00EA7874">
      <w:pPr>
        <w:pStyle w:val="StandaardSV"/>
        <w:tabs>
          <w:tab w:val="left" w:pos="360"/>
        </w:tabs>
      </w:pPr>
      <w:r>
        <w:t xml:space="preserve">5. </w:t>
      </w:r>
      <w:r>
        <w:br/>
      </w:r>
    </w:p>
    <w:p w:rsidR="00186505" w:rsidRDefault="00186505" w:rsidP="00EA7874">
      <w:pPr>
        <w:pStyle w:val="StandaardSV"/>
        <w:tabs>
          <w:tab w:val="left" w:pos="360"/>
        </w:tabs>
      </w:pPr>
      <w:r>
        <w:t>Tabel 2: aantal personen uit  tabel 1 die outplacement volgden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51"/>
        <w:gridCol w:w="1152"/>
        <w:gridCol w:w="1152"/>
        <w:gridCol w:w="1151"/>
        <w:gridCol w:w="1152"/>
        <w:gridCol w:w="1152"/>
      </w:tblGrid>
      <w:tr w:rsidR="00186505" w:rsidRPr="00454E8B" w:rsidTr="00756F6A">
        <w:tc>
          <w:tcPr>
            <w:tcW w:w="2303" w:type="dxa"/>
            <w:vMerge w:val="restart"/>
            <w:shd w:val="clear" w:color="auto" w:fill="auto"/>
          </w:tcPr>
          <w:p w:rsidR="00186505" w:rsidRPr="00454E8B" w:rsidRDefault="00186505" w:rsidP="00756F6A">
            <w:pPr>
              <w:pStyle w:val="StandaardSV"/>
              <w:tabs>
                <w:tab w:val="left" w:pos="360"/>
              </w:tabs>
              <w:spacing w:before="240"/>
              <w:rPr>
                <w:b/>
              </w:rPr>
            </w:pPr>
            <w:r w:rsidRPr="00454E8B">
              <w:rPr>
                <w:b/>
              </w:rPr>
              <w:t>Periode</w:t>
            </w:r>
          </w:p>
        </w:tc>
        <w:tc>
          <w:tcPr>
            <w:tcW w:w="6910" w:type="dxa"/>
            <w:gridSpan w:val="6"/>
            <w:shd w:val="clear" w:color="auto" w:fill="auto"/>
          </w:tcPr>
          <w:p w:rsidR="00186505" w:rsidRPr="00454E8B" w:rsidRDefault="00186505" w:rsidP="00756F6A">
            <w:pPr>
              <w:pStyle w:val="StandaardSV"/>
              <w:tabs>
                <w:tab w:val="left" w:pos="360"/>
              </w:tabs>
              <w:spacing w:before="240"/>
              <w:jc w:val="center"/>
              <w:rPr>
                <w:b/>
              </w:rPr>
            </w:pPr>
            <w:r w:rsidRPr="00454E8B">
              <w:rPr>
                <w:b/>
              </w:rPr>
              <w:t>Leeftijdscategorie en geslacht</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50- &lt;55</w:t>
            </w: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55 -&lt; 60</w:t>
            </w:r>
          </w:p>
        </w:tc>
        <w:tc>
          <w:tcPr>
            <w:tcW w:w="2304"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60+</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2011</w:t>
            </w:r>
          </w:p>
        </w:tc>
        <w:tc>
          <w:tcPr>
            <w:tcW w:w="1151" w:type="dxa"/>
            <w:shd w:val="clear" w:color="auto" w:fill="auto"/>
          </w:tcPr>
          <w:p w:rsidR="00186505" w:rsidRDefault="00186505" w:rsidP="00756F6A">
            <w:pPr>
              <w:pStyle w:val="StandaardSV"/>
              <w:tabs>
                <w:tab w:val="left" w:pos="360"/>
              </w:tabs>
              <w:spacing w:before="240"/>
            </w:pPr>
            <w:r>
              <w:t>198</w:t>
            </w:r>
          </w:p>
        </w:tc>
        <w:tc>
          <w:tcPr>
            <w:tcW w:w="1152" w:type="dxa"/>
            <w:shd w:val="clear" w:color="auto" w:fill="auto"/>
          </w:tcPr>
          <w:p w:rsidR="00186505" w:rsidRDefault="00186505" w:rsidP="00756F6A">
            <w:pPr>
              <w:pStyle w:val="StandaardSV"/>
              <w:tabs>
                <w:tab w:val="left" w:pos="360"/>
              </w:tabs>
              <w:spacing w:before="240"/>
            </w:pPr>
            <w:r>
              <w:t>49</w:t>
            </w:r>
          </w:p>
        </w:tc>
        <w:tc>
          <w:tcPr>
            <w:tcW w:w="1152" w:type="dxa"/>
            <w:shd w:val="clear" w:color="auto" w:fill="auto"/>
          </w:tcPr>
          <w:p w:rsidR="00186505" w:rsidRDefault="00186505" w:rsidP="00756F6A">
            <w:pPr>
              <w:pStyle w:val="StandaardSV"/>
              <w:tabs>
                <w:tab w:val="left" w:pos="360"/>
              </w:tabs>
              <w:spacing w:before="240"/>
            </w:pPr>
            <w:r>
              <w:t>68</w:t>
            </w:r>
          </w:p>
        </w:tc>
        <w:tc>
          <w:tcPr>
            <w:tcW w:w="1151" w:type="dxa"/>
            <w:shd w:val="clear" w:color="auto" w:fill="auto"/>
          </w:tcPr>
          <w:p w:rsidR="00186505" w:rsidRDefault="00186505" w:rsidP="00756F6A">
            <w:pPr>
              <w:pStyle w:val="StandaardSV"/>
              <w:tabs>
                <w:tab w:val="left" w:pos="360"/>
              </w:tabs>
              <w:spacing w:before="240"/>
            </w:pPr>
            <w:r>
              <w:t>37</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2012</w:t>
            </w:r>
          </w:p>
        </w:tc>
        <w:tc>
          <w:tcPr>
            <w:tcW w:w="1151" w:type="dxa"/>
            <w:shd w:val="clear" w:color="auto" w:fill="auto"/>
          </w:tcPr>
          <w:p w:rsidR="00186505" w:rsidRDefault="00186505" w:rsidP="00756F6A">
            <w:pPr>
              <w:pStyle w:val="StandaardSV"/>
              <w:tabs>
                <w:tab w:val="left" w:pos="360"/>
              </w:tabs>
              <w:spacing w:before="240"/>
            </w:pPr>
            <w:r>
              <w:t>79</w:t>
            </w:r>
          </w:p>
        </w:tc>
        <w:tc>
          <w:tcPr>
            <w:tcW w:w="1152" w:type="dxa"/>
            <w:shd w:val="clear" w:color="auto" w:fill="auto"/>
          </w:tcPr>
          <w:p w:rsidR="00186505" w:rsidRDefault="00186505" w:rsidP="00756F6A">
            <w:pPr>
              <w:pStyle w:val="StandaardSV"/>
              <w:tabs>
                <w:tab w:val="left" w:pos="360"/>
              </w:tabs>
              <w:spacing w:before="240"/>
            </w:pPr>
            <w:r>
              <w:t>26</w:t>
            </w:r>
          </w:p>
        </w:tc>
        <w:tc>
          <w:tcPr>
            <w:tcW w:w="1152" w:type="dxa"/>
            <w:shd w:val="clear" w:color="auto" w:fill="auto"/>
          </w:tcPr>
          <w:p w:rsidR="00186505" w:rsidRDefault="00186505" w:rsidP="00756F6A">
            <w:pPr>
              <w:pStyle w:val="StandaardSV"/>
              <w:tabs>
                <w:tab w:val="left" w:pos="360"/>
              </w:tabs>
              <w:spacing w:before="240"/>
            </w:pPr>
            <w:r>
              <w:t>79</w:t>
            </w:r>
          </w:p>
        </w:tc>
        <w:tc>
          <w:tcPr>
            <w:tcW w:w="1151" w:type="dxa"/>
            <w:shd w:val="clear" w:color="auto" w:fill="auto"/>
          </w:tcPr>
          <w:p w:rsidR="00186505" w:rsidRDefault="00186505" w:rsidP="00756F6A">
            <w:pPr>
              <w:pStyle w:val="StandaardSV"/>
              <w:tabs>
                <w:tab w:val="left" w:pos="360"/>
              </w:tabs>
              <w:spacing w:before="240"/>
            </w:pPr>
            <w:r>
              <w:t>35</w:t>
            </w:r>
          </w:p>
        </w:tc>
        <w:tc>
          <w:tcPr>
            <w:tcW w:w="1152"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2013</w:t>
            </w:r>
          </w:p>
        </w:tc>
        <w:tc>
          <w:tcPr>
            <w:tcW w:w="1151" w:type="dxa"/>
            <w:shd w:val="clear" w:color="auto" w:fill="auto"/>
          </w:tcPr>
          <w:p w:rsidR="00186505" w:rsidRDefault="00186505" w:rsidP="00756F6A">
            <w:pPr>
              <w:pStyle w:val="StandaardSV"/>
              <w:tabs>
                <w:tab w:val="left" w:pos="360"/>
              </w:tabs>
              <w:spacing w:before="240"/>
            </w:pPr>
            <w:r>
              <w:t>2</w:t>
            </w:r>
          </w:p>
        </w:tc>
        <w:tc>
          <w:tcPr>
            <w:tcW w:w="1152" w:type="dxa"/>
            <w:shd w:val="clear" w:color="auto" w:fill="auto"/>
          </w:tcPr>
          <w:p w:rsidR="00186505" w:rsidRDefault="00186505" w:rsidP="00756F6A">
            <w:pPr>
              <w:pStyle w:val="StandaardSV"/>
              <w:tabs>
                <w:tab w:val="left" w:pos="360"/>
              </w:tabs>
              <w:spacing w:before="240"/>
            </w:pPr>
            <w:r>
              <w:t>2</w:t>
            </w:r>
          </w:p>
        </w:tc>
        <w:tc>
          <w:tcPr>
            <w:tcW w:w="1152" w:type="dxa"/>
            <w:shd w:val="clear" w:color="auto" w:fill="auto"/>
          </w:tcPr>
          <w:p w:rsidR="00186505" w:rsidRDefault="00186505" w:rsidP="00756F6A">
            <w:pPr>
              <w:pStyle w:val="StandaardSV"/>
              <w:tabs>
                <w:tab w:val="left" w:pos="360"/>
              </w:tabs>
              <w:spacing w:before="240"/>
            </w:pPr>
            <w:r>
              <w:t>3</w:t>
            </w:r>
          </w:p>
        </w:tc>
        <w:tc>
          <w:tcPr>
            <w:tcW w:w="1151" w:type="dxa"/>
            <w:shd w:val="clear" w:color="auto" w:fill="auto"/>
          </w:tcPr>
          <w:p w:rsidR="00186505" w:rsidRDefault="00186505" w:rsidP="00756F6A">
            <w:pPr>
              <w:pStyle w:val="StandaardSV"/>
              <w:tabs>
                <w:tab w:val="left" w:pos="360"/>
              </w:tabs>
              <w:spacing w:before="240"/>
            </w:pPr>
            <w:r>
              <w:t>3</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bl>
    <w:p w:rsidR="00EA7874" w:rsidRDefault="00EA7874" w:rsidP="00EA7874">
      <w:pPr>
        <w:pStyle w:val="StandaardSV"/>
        <w:tabs>
          <w:tab w:val="left" w:pos="360"/>
        </w:tabs>
      </w:pPr>
    </w:p>
    <w:p w:rsidR="00EA7874" w:rsidRDefault="00186505" w:rsidP="00EA7874">
      <w:pPr>
        <w:pStyle w:val="StandaardSV"/>
        <w:tabs>
          <w:tab w:val="left" w:pos="360"/>
        </w:tabs>
      </w:pPr>
      <w:r>
        <w:t xml:space="preserve">6. </w:t>
      </w:r>
      <w:r>
        <w:br/>
      </w:r>
    </w:p>
    <w:p w:rsidR="00186505" w:rsidRDefault="00186505" w:rsidP="00EA7874">
      <w:pPr>
        <w:pStyle w:val="StandaardSV"/>
        <w:tabs>
          <w:tab w:val="left" w:pos="360"/>
        </w:tabs>
      </w:pPr>
      <w:r>
        <w:t>Tabel 3: Uitstroom naar werk voor de personen in tabel 2, gemeten 6 maanden na het einde van het outplacement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51"/>
        <w:gridCol w:w="1152"/>
        <w:gridCol w:w="1152"/>
        <w:gridCol w:w="1151"/>
        <w:gridCol w:w="1152"/>
        <w:gridCol w:w="1152"/>
      </w:tblGrid>
      <w:tr w:rsidR="00186505" w:rsidRPr="00454E8B" w:rsidTr="00756F6A">
        <w:tc>
          <w:tcPr>
            <w:tcW w:w="2303" w:type="dxa"/>
            <w:vMerge w:val="restart"/>
            <w:shd w:val="clear" w:color="auto" w:fill="auto"/>
          </w:tcPr>
          <w:p w:rsidR="00186505" w:rsidRPr="00454E8B" w:rsidRDefault="00186505" w:rsidP="00756F6A">
            <w:pPr>
              <w:pStyle w:val="StandaardSV"/>
              <w:tabs>
                <w:tab w:val="left" w:pos="360"/>
              </w:tabs>
              <w:spacing w:before="240"/>
              <w:rPr>
                <w:b/>
              </w:rPr>
            </w:pPr>
            <w:r w:rsidRPr="00454E8B">
              <w:rPr>
                <w:b/>
              </w:rPr>
              <w:t>Periode</w:t>
            </w:r>
          </w:p>
        </w:tc>
        <w:tc>
          <w:tcPr>
            <w:tcW w:w="6910" w:type="dxa"/>
            <w:gridSpan w:val="6"/>
            <w:shd w:val="clear" w:color="auto" w:fill="auto"/>
          </w:tcPr>
          <w:p w:rsidR="00186505" w:rsidRPr="00454E8B" w:rsidRDefault="00186505" w:rsidP="00756F6A">
            <w:pPr>
              <w:pStyle w:val="StandaardSV"/>
              <w:tabs>
                <w:tab w:val="left" w:pos="360"/>
              </w:tabs>
              <w:spacing w:before="240"/>
              <w:jc w:val="center"/>
              <w:rPr>
                <w:b/>
              </w:rPr>
            </w:pPr>
            <w:r w:rsidRPr="00454E8B">
              <w:rPr>
                <w:b/>
              </w:rPr>
              <w:t>Leeftijdscategorie en geslacht</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50- &lt;55</w:t>
            </w: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55 -&lt; 60</w:t>
            </w:r>
          </w:p>
        </w:tc>
        <w:tc>
          <w:tcPr>
            <w:tcW w:w="2304"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60+</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2011</w:t>
            </w:r>
          </w:p>
        </w:tc>
        <w:tc>
          <w:tcPr>
            <w:tcW w:w="1151" w:type="dxa"/>
            <w:shd w:val="clear" w:color="auto" w:fill="auto"/>
          </w:tcPr>
          <w:p w:rsidR="00186505" w:rsidRDefault="00186505" w:rsidP="00756F6A">
            <w:pPr>
              <w:pStyle w:val="StandaardSV"/>
              <w:tabs>
                <w:tab w:val="left" w:pos="360"/>
              </w:tabs>
              <w:spacing w:before="240"/>
            </w:pPr>
            <w:r>
              <w:t>20</w:t>
            </w:r>
          </w:p>
        </w:tc>
        <w:tc>
          <w:tcPr>
            <w:tcW w:w="1152"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3</w:t>
            </w:r>
          </w:p>
        </w:tc>
        <w:tc>
          <w:tcPr>
            <w:tcW w:w="1151"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2012</w:t>
            </w:r>
          </w:p>
        </w:tc>
        <w:tc>
          <w:tcPr>
            <w:tcW w:w="1151" w:type="dxa"/>
            <w:shd w:val="clear" w:color="auto" w:fill="auto"/>
          </w:tcPr>
          <w:p w:rsidR="00186505" w:rsidRDefault="00186505" w:rsidP="00756F6A">
            <w:pPr>
              <w:pStyle w:val="StandaardSV"/>
              <w:tabs>
                <w:tab w:val="left" w:pos="360"/>
              </w:tabs>
              <w:spacing w:before="240"/>
            </w:pPr>
            <w:r>
              <w:t>5</w:t>
            </w:r>
          </w:p>
        </w:tc>
        <w:tc>
          <w:tcPr>
            <w:tcW w:w="1152" w:type="dxa"/>
            <w:shd w:val="clear" w:color="auto" w:fill="auto"/>
          </w:tcPr>
          <w:p w:rsidR="00186505" w:rsidRDefault="00186505" w:rsidP="00756F6A">
            <w:pPr>
              <w:pStyle w:val="StandaardSV"/>
              <w:tabs>
                <w:tab w:val="left" w:pos="360"/>
              </w:tabs>
              <w:spacing w:before="240"/>
            </w:pPr>
            <w:r>
              <w:t>2</w:t>
            </w:r>
          </w:p>
        </w:tc>
        <w:tc>
          <w:tcPr>
            <w:tcW w:w="1152" w:type="dxa"/>
            <w:shd w:val="clear" w:color="auto" w:fill="auto"/>
          </w:tcPr>
          <w:p w:rsidR="00186505" w:rsidRDefault="00186505" w:rsidP="00756F6A">
            <w:pPr>
              <w:pStyle w:val="StandaardSV"/>
              <w:tabs>
                <w:tab w:val="left" w:pos="360"/>
              </w:tabs>
              <w:spacing w:before="240"/>
            </w:pPr>
            <w:r>
              <w:t>2</w:t>
            </w:r>
          </w:p>
        </w:tc>
        <w:tc>
          <w:tcPr>
            <w:tcW w:w="1151"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2013</w:t>
            </w:r>
          </w:p>
        </w:tc>
        <w:tc>
          <w:tcPr>
            <w:tcW w:w="1151"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1"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bl>
    <w:p w:rsidR="00186505" w:rsidRDefault="00186505" w:rsidP="00EA7874">
      <w:pPr>
        <w:pStyle w:val="StandaardSV"/>
        <w:tabs>
          <w:tab w:val="left" w:pos="360"/>
        </w:tabs>
      </w:pPr>
    </w:p>
    <w:p w:rsidR="00EA7874" w:rsidRDefault="00EA7874">
      <w:pPr>
        <w:rPr>
          <w:sz w:val="22"/>
          <w:szCs w:val="20"/>
        </w:rPr>
      </w:pPr>
      <w:r>
        <w:br w:type="page"/>
      </w:r>
    </w:p>
    <w:p w:rsidR="00EA7874" w:rsidRDefault="00186505" w:rsidP="00EA7874">
      <w:pPr>
        <w:pStyle w:val="StandaardSV"/>
        <w:tabs>
          <w:tab w:val="left" w:pos="360"/>
        </w:tabs>
      </w:pPr>
      <w:r>
        <w:lastRenderedPageBreak/>
        <w:t xml:space="preserve">7. </w:t>
      </w:r>
      <w:r>
        <w:br/>
      </w:r>
    </w:p>
    <w:p w:rsidR="00186505" w:rsidRDefault="00186505" w:rsidP="00EA7874">
      <w:pPr>
        <w:pStyle w:val="StandaardSV"/>
        <w:tabs>
          <w:tab w:val="left" w:pos="360"/>
        </w:tabs>
      </w:pPr>
      <w:r>
        <w:t>Tabel 4: Aantal personen uit de tabel 2 die een opleiding binnen de VDAB hebben gevolgd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51"/>
        <w:gridCol w:w="1152"/>
        <w:gridCol w:w="1152"/>
        <w:gridCol w:w="1151"/>
        <w:gridCol w:w="1152"/>
        <w:gridCol w:w="1152"/>
      </w:tblGrid>
      <w:tr w:rsidR="00186505" w:rsidRPr="00454E8B" w:rsidTr="00756F6A">
        <w:tc>
          <w:tcPr>
            <w:tcW w:w="2303" w:type="dxa"/>
            <w:vMerge w:val="restart"/>
            <w:shd w:val="clear" w:color="auto" w:fill="auto"/>
          </w:tcPr>
          <w:p w:rsidR="00186505" w:rsidRPr="00454E8B" w:rsidRDefault="00186505" w:rsidP="00756F6A">
            <w:pPr>
              <w:pStyle w:val="StandaardSV"/>
              <w:tabs>
                <w:tab w:val="left" w:pos="360"/>
              </w:tabs>
              <w:spacing w:before="240"/>
              <w:rPr>
                <w:b/>
              </w:rPr>
            </w:pPr>
            <w:r w:rsidRPr="00454E8B">
              <w:rPr>
                <w:b/>
              </w:rPr>
              <w:t>Periode</w:t>
            </w:r>
          </w:p>
        </w:tc>
        <w:tc>
          <w:tcPr>
            <w:tcW w:w="6910" w:type="dxa"/>
            <w:gridSpan w:val="6"/>
            <w:shd w:val="clear" w:color="auto" w:fill="auto"/>
          </w:tcPr>
          <w:p w:rsidR="00186505" w:rsidRPr="00454E8B" w:rsidRDefault="00186505" w:rsidP="00756F6A">
            <w:pPr>
              <w:pStyle w:val="StandaardSV"/>
              <w:tabs>
                <w:tab w:val="left" w:pos="360"/>
              </w:tabs>
              <w:spacing w:before="240"/>
              <w:jc w:val="center"/>
              <w:rPr>
                <w:b/>
              </w:rPr>
            </w:pPr>
            <w:r w:rsidRPr="00454E8B">
              <w:rPr>
                <w:b/>
              </w:rPr>
              <w:t>Leeftijdscategorie en geslacht</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50- &lt;55</w:t>
            </w: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55 -&lt; 60</w:t>
            </w:r>
          </w:p>
        </w:tc>
        <w:tc>
          <w:tcPr>
            <w:tcW w:w="2304"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60+</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2011</w:t>
            </w:r>
          </w:p>
        </w:tc>
        <w:tc>
          <w:tcPr>
            <w:tcW w:w="1151" w:type="dxa"/>
            <w:shd w:val="clear" w:color="auto" w:fill="auto"/>
          </w:tcPr>
          <w:p w:rsidR="00186505" w:rsidRDefault="00186505" w:rsidP="00756F6A">
            <w:pPr>
              <w:pStyle w:val="StandaardSV"/>
              <w:tabs>
                <w:tab w:val="left" w:pos="360"/>
              </w:tabs>
              <w:spacing w:before="240"/>
            </w:pPr>
            <w:r>
              <w:t>10</w:t>
            </w:r>
          </w:p>
        </w:tc>
        <w:tc>
          <w:tcPr>
            <w:tcW w:w="1152" w:type="dxa"/>
            <w:shd w:val="clear" w:color="auto" w:fill="auto"/>
          </w:tcPr>
          <w:p w:rsidR="00186505" w:rsidRDefault="00186505" w:rsidP="00756F6A">
            <w:pPr>
              <w:pStyle w:val="StandaardSV"/>
              <w:tabs>
                <w:tab w:val="left" w:pos="360"/>
              </w:tabs>
              <w:spacing w:before="240"/>
            </w:pPr>
            <w:r>
              <w:t>4</w:t>
            </w:r>
          </w:p>
        </w:tc>
        <w:tc>
          <w:tcPr>
            <w:tcW w:w="1152" w:type="dxa"/>
            <w:shd w:val="clear" w:color="auto" w:fill="auto"/>
          </w:tcPr>
          <w:p w:rsidR="00186505" w:rsidRDefault="00186505" w:rsidP="00756F6A">
            <w:pPr>
              <w:pStyle w:val="StandaardSV"/>
              <w:tabs>
                <w:tab w:val="left" w:pos="360"/>
              </w:tabs>
              <w:spacing w:before="240"/>
            </w:pPr>
            <w:r>
              <w:t>4</w:t>
            </w:r>
          </w:p>
        </w:tc>
        <w:tc>
          <w:tcPr>
            <w:tcW w:w="1151"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2012</w:t>
            </w:r>
          </w:p>
        </w:tc>
        <w:tc>
          <w:tcPr>
            <w:tcW w:w="1151" w:type="dxa"/>
            <w:shd w:val="clear" w:color="auto" w:fill="auto"/>
          </w:tcPr>
          <w:p w:rsidR="00186505" w:rsidRDefault="00186505" w:rsidP="00756F6A">
            <w:pPr>
              <w:pStyle w:val="StandaardSV"/>
              <w:tabs>
                <w:tab w:val="left" w:pos="360"/>
              </w:tabs>
              <w:spacing w:before="240"/>
            </w:pPr>
            <w:r>
              <w:t>4</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2</w:t>
            </w:r>
          </w:p>
        </w:tc>
        <w:tc>
          <w:tcPr>
            <w:tcW w:w="1151" w:type="dxa"/>
            <w:shd w:val="clear" w:color="auto" w:fill="auto"/>
          </w:tcPr>
          <w:p w:rsidR="00186505" w:rsidRDefault="00186505" w:rsidP="00756F6A">
            <w:pPr>
              <w:pStyle w:val="StandaardSV"/>
              <w:tabs>
                <w:tab w:val="left" w:pos="360"/>
              </w:tabs>
              <w:spacing w:before="240"/>
            </w:pPr>
            <w:r>
              <w:t>1</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2013</w:t>
            </w:r>
          </w:p>
        </w:tc>
        <w:tc>
          <w:tcPr>
            <w:tcW w:w="1151"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1"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bl>
    <w:p w:rsidR="00186505" w:rsidRDefault="00186505" w:rsidP="00EA7874">
      <w:pPr>
        <w:pStyle w:val="StandaardSV"/>
        <w:tabs>
          <w:tab w:val="left" w:pos="360"/>
        </w:tabs>
      </w:pPr>
    </w:p>
    <w:p w:rsidR="00C91E26" w:rsidRDefault="00C91E26" w:rsidP="00EA7874">
      <w:pPr>
        <w:pStyle w:val="StandaardSV"/>
        <w:tabs>
          <w:tab w:val="left" w:pos="360"/>
        </w:tabs>
      </w:pPr>
    </w:p>
    <w:p w:rsidR="00186505" w:rsidRDefault="00C91E26" w:rsidP="00C91E26">
      <w:pPr>
        <w:pStyle w:val="StandaardSV"/>
        <w:tabs>
          <w:tab w:val="left" w:pos="360"/>
        </w:tabs>
        <w:ind w:left="426" w:hanging="426"/>
      </w:pPr>
      <w:r>
        <w:t xml:space="preserve">8. </w:t>
      </w:r>
      <w:r>
        <w:tab/>
      </w:r>
      <w:r>
        <w:tab/>
      </w:r>
      <w:r w:rsidR="00186505">
        <w:t xml:space="preserve">Er zijn voor de gevraagde periodes geen personen uit tabel 4 die na hun opleiding uitgestroomd zijn naar werk. </w:t>
      </w:r>
    </w:p>
    <w:p w:rsidR="00EA7874" w:rsidRDefault="00EA7874" w:rsidP="00EA7874">
      <w:pPr>
        <w:pStyle w:val="StandaardSV"/>
        <w:tabs>
          <w:tab w:val="left" w:pos="360"/>
        </w:tabs>
      </w:pPr>
    </w:p>
    <w:p w:rsidR="00186505" w:rsidRDefault="00C91E26" w:rsidP="00C91E26">
      <w:pPr>
        <w:pStyle w:val="StandaardSV"/>
        <w:tabs>
          <w:tab w:val="left" w:pos="360"/>
        </w:tabs>
        <w:ind w:left="426" w:hanging="426"/>
      </w:pPr>
      <w:r>
        <w:t xml:space="preserve">9. </w:t>
      </w:r>
      <w:r>
        <w:tab/>
      </w:r>
      <w:r>
        <w:tab/>
      </w:r>
      <w:r w:rsidR="00186505">
        <w:t>SWT-</w:t>
      </w:r>
      <w:proofErr w:type="spellStart"/>
      <w:r w:rsidR="00186505">
        <w:t>ers</w:t>
      </w:r>
      <w:proofErr w:type="spellEnd"/>
      <w:r w:rsidR="00186505">
        <w:t xml:space="preserve"> ontvangen in hoofdzaak via een consulent passende vacatures, niet via automatische matching aangezien ze ressorteren onder het afsprakenkader “samen op de bres voor 50+”. Een vacatureverwijzing gebeurt pas als de kandidaat ook werkelijk klaar is voor een nieuwe stap in zijn/haar loopbaan en de werkgever open staat voor een oudere werknemer. In de onderstaande tabel staan het aantal vacatureverwijzingen.</w:t>
      </w:r>
    </w:p>
    <w:p w:rsidR="00EA7874" w:rsidRDefault="00EA7874" w:rsidP="00C91E26">
      <w:pPr>
        <w:pStyle w:val="StandaardSV"/>
        <w:tabs>
          <w:tab w:val="left" w:pos="360"/>
        </w:tabs>
        <w:ind w:left="426" w:hanging="426"/>
        <w:rPr>
          <w:iCs/>
        </w:rPr>
      </w:pPr>
    </w:p>
    <w:p w:rsidR="00186505" w:rsidRDefault="00C91E26" w:rsidP="00C91E26">
      <w:pPr>
        <w:pStyle w:val="StandaardSV"/>
        <w:tabs>
          <w:tab w:val="left" w:pos="360"/>
        </w:tabs>
        <w:ind w:left="426" w:hanging="426"/>
        <w:rPr>
          <w:iCs/>
        </w:rPr>
      </w:pPr>
      <w:r>
        <w:rPr>
          <w:iCs/>
        </w:rPr>
        <w:tab/>
      </w:r>
      <w:r>
        <w:rPr>
          <w:iCs/>
        </w:rPr>
        <w:tab/>
      </w:r>
      <w:r w:rsidR="00186505">
        <w:rPr>
          <w:iCs/>
        </w:rPr>
        <w:t xml:space="preserve">De VDAB beschikt niet over specifieke gegevens van de niet- en wel vrijgestelden. Vermoedelijk schrijft de overgrote meerderheid van de “kandidaat- bruggepensioneerden” zich in bij een </w:t>
      </w:r>
      <w:proofErr w:type="spellStart"/>
      <w:r w:rsidR="00186505">
        <w:rPr>
          <w:iCs/>
        </w:rPr>
        <w:t>tewerk</w:t>
      </w:r>
      <w:r w:rsidR="00EA7874">
        <w:rPr>
          <w:iCs/>
        </w:rPr>
        <w:softHyphen/>
      </w:r>
      <w:r w:rsidR="00186505">
        <w:rPr>
          <w:iCs/>
        </w:rPr>
        <w:t>stellingscel</w:t>
      </w:r>
      <w:proofErr w:type="spellEnd"/>
      <w:r w:rsidR="00186505">
        <w:rPr>
          <w:iCs/>
        </w:rPr>
        <w:t xml:space="preserve"> vanwege de verplichting. Het weigeren van deelname aan de </w:t>
      </w:r>
      <w:proofErr w:type="spellStart"/>
      <w:r w:rsidR="00186505">
        <w:rPr>
          <w:iCs/>
        </w:rPr>
        <w:t>tewerkstellingscel</w:t>
      </w:r>
      <w:proofErr w:type="spellEnd"/>
      <w:r w:rsidR="00186505">
        <w:rPr>
          <w:iCs/>
        </w:rPr>
        <w:t xml:space="preserve"> betekent immers dat men geen recht heeft op een uitkering in kader van het stelsel van werkloosheid met bedrijfstoeslag (uitzonderingen daargelaten).</w:t>
      </w:r>
    </w:p>
    <w:p w:rsidR="00EA7874" w:rsidRDefault="00EA7874" w:rsidP="00EA7874">
      <w:pPr>
        <w:pStyle w:val="StandaardSV"/>
        <w:tabs>
          <w:tab w:val="left" w:pos="360"/>
        </w:tabs>
      </w:pPr>
    </w:p>
    <w:p w:rsidR="00186505" w:rsidRDefault="00186505" w:rsidP="00EA7874">
      <w:pPr>
        <w:pStyle w:val="StandaardSV"/>
        <w:tabs>
          <w:tab w:val="left" w:pos="360"/>
        </w:tabs>
      </w:pPr>
      <w:r>
        <w:t xml:space="preserve">Tabel 5: Het aantal vacatureverwijzingen dat de VDAB heeft gerealiseerd naar personen met een SWT-statuut toe die bovendien ingeschreven zijn / waren bij de VDAB.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51"/>
        <w:gridCol w:w="1152"/>
        <w:gridCol w:w="1152"/>
        <w:gridCol w:w="1151"/>
        <w:gridCol w:w="1152"/>
        <w:gridCol w:w="1152"/>
      </w:tblGrid>
      <w:tr w:rsidR="00186505" w:rsidRPr="00454E8B" w:rsidTr="00756F6A">
        <w:tc>
          <w:tcPr>
            <w:tcW w:w="2303" w:type="dxa"/>
            <w:vMerge w:val="restart"/>
            <w:shd w:val="clear" w:color="auto" w:fill="auto"/>
          </w:tcPr>
          <w:p w:rsidR="00186505" w:rsidRPr="00454E8B" w:rsidRDefault="00186505" w:rsidP="00756F6A">
            <w:pPr>
              <w:pStyle w:val="StandaardSV"/>
              <w:tabs>
                <w:tab w:val="left" w:pos="360"/>
              </w:tabs>
              <w:spacing w:before="240"/>
              <w:rPr>
                <w:b/>
              </w:rPr>
            </w:pPr>
            <w:r w:rsidRPr="00454E8B">
              <w:rPr>
                <w:b/>
              </w:rPr>
              <w:t>Periode</w:t>
            </w:r>
          </w:p>
        </w:tc>
        <w:tc>
          <w:tcPr>
            <w:tcW w:w="6910" w:type="dxa"/>
            <w:gridSpan w:val="6"/>
            <w:shd w:val="clear" w:color="auto" w:fill="auto"/>
          </w:tcPr>
          <w:p w:rsidR="00186505" w:rsidRPr="00454E8B" w:rsidRDefault="00186505" w:rsidP="00756F6A">
            <w:pPr>
              <w:pStyle w:val="StandaardSV"/>
              <w:tabs>
                <w:tab w:val="left" w:pos="360"/>
              </w:tabs>
              <w:spacing w:before="240"/>
              <w:jc w:val="center"/>
              <w:rPr>
                <w:b/>
              </w:rPr>
            </w:pPr>
            <w:r w:rsidRPr="00454E8B">
              <w:rPr>
                <w:b/>
              </w:rPr>
              <w:t>Leeftijdscategorie en geslacht</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50- &lt;55</w:t>
            </w:r>
          </w:p>
        </w:tc>
        <w:tc>
          <w:tcPr>
            <w:tcW w:w="2303"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55 -&lt; 60</w:t>
            </w:r>
          </w:p>
        </w:tc>
        <w:tc>
          <w:tcPr>
            <w:tcW w:w="2304" w:type="dxa"/>
            <w:gridSpan w:val="2"/>
            <w:shd w:val="clear" w:color="auto" w:fill="auto"/>
          </w:tcPr>
          <w:p w:rsidR="00186505" w:rsidRPr="00454E8B" w:rsidRDefault="00186505" w:rsidP="00756F6A">
            <w:pPr>
              <w:pStyle w:val="StandaardSV"/>
              <w:tabs>
                <w:tab w:val="left" w:pos="360"/>
              </w:tabs>
              <w:spacing w:before="240"/>
              <w:jc w:val="center"/>
              <w:rPr>
                <w:b/>
              </w:rPr>
            </w:pPr>
            <w:r w:rsidRPr="00454E8B">
              <w:rPr>
                <w:b/>
              </w:rPr>
              <w:t>60+</w:t>
            </w:r>
          </w:p>
        </w:tc>
      </w:tr>
      <w:tr w:rsidR="00186505" w:rsidRPr="00454E8B" w:rsidTr="00756F6A">
        <w:tc>
          <w:tcPr>
            <w:tcW w:w="2303" w:type="dxa"/>
            <w:vMerge/>
            <w:shd w:val="clear" w:color="auto" w:fill="auto"/>
          </w:tcPr>
          <w:p w:rsidR="00186505" w:rsidRDefault="00186505" w:rsidP="00756F6A">
            <w:pPr>
              <w:pStyle w:val="StandaardSV"/>
              <w:tabs>
                <w:tab w:val="left" w:pos="360"/>
              </w:tabs>
              <w:spacing w:before="240"/>
            </w:pP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1"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M</w:t>
            </w:r>
          </w:p>
        </w:tc>
        <w:tc>
          <w:tcPr>
            <w:tcW w:w="1152" w:type="dxa"/>
            <w:shd w:val="clear" w:color="auto" w:fill="auto"/>
          </w:tcPr>
          <w:p w:rsidR="00186505" w:rsidRPr="00454E8B" w:rsidRDefault="00186505" w:rsidP="00756F6A">
            <w:pPr>
              <w:pStyle w:val="StandaardSV"/>
              <w:tabs>
                <w:tab w:val="left" w:pos="360"/>
              </w:tabs>
              <w:spacing w:before="240"/>
              <w:jc w:val="center"/>
              <w:rPr>
                <w:b/>
              </w:rPr>
            </w:pPr>
            <w:r w:rsidRPr="00454E8B">
              <w:rPr>
                <w:b/>
              </w:rPr>
              <w:t>V</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2011</w:t>
            </w:r>
          </w:p>
        </w:tc>
        <w:tc>
          <w:tcPr>
            <w:tcW w:w="1151" w:type="dxa"/>
            <w:shd w:val="clear" w:color="auto" w:fill="auto"/>
          </w:tcPr>
          <w:p w:rsidR="00186505" w:rsidRDefault="00186505" w:rsidP="00756F6A">
            <w:pPr>
              <w:pStyle w:val="StandaardSV"/>
              <w:tabs>
                <w:tab w:val="left" w:pos="360"/>
              </w:tabs>
              <w:spacing w:before="240"/>
            </w:pPr>
            <w:r>
              <w:t>272</w:t>
            </w:r>
          </w:p>
        </w:tc>
        <w:tc>
          <w:tcPr>
            <w:tcW w:w="1152" w:type="dxa"/>
            <w:shd w:val="clear" w:color="auto" w:fill="auto"/>
          </w:tcPr>
          <w:p w:rsidR="00186505" w:rsidRDefault="00186505" w:rsidP="00756F6A">
            <w:pPr>
              <w:pStyle w:val="StandaardSV"/>
              <w:tabs>
                <w:tab w:val="left" w:pos="360"/>
              </w:tabs>
              <w:spacing w:before="240"/>
            </w:pPr>
            <w:r>
              <w:t>62</w:t>
            </w:r>
          </w:p>
        </w:tc>
        <w:tc>
          <w:tcPr>
            <w:tcW w:w="1152" w:type="dxa"/>
            <w:shd w:val="clear" w:color="auto" w:fill="auto"/>
          </w:tcPr>
          <w:p w:rsidR="00186505" w:rsidRDefault="00186505" w:rsidP="00756F6A">
            <w:pPr>
              <w:pStyle w:val="StandaardSV"/>
              <w:tabs>
                <w:tab w:val="left" w:pos="360"/>
              </w:tabs>
              <w:spacing w:before="240"/>
            </w:pPr>
            <w:r>
              <w:t>210</w:t>
            </w:r>
          </w:p>
        </w:tc>
        <w:tc>
          <w:tcPr>
            <w:tcW w:w="1151" w:type="dxa"/>
            <w:shd w:val="clear" w:color="auto" w:fill="auto"/>
          </w:tcPr>
          <w:p w:rsidR="00186505" w:rsidRDefault="00186505" w:rsidP="00756F6A">
            <w:pPr>
              <w:pStyle w:val="StandaardSV"/>
              <w:tabs>
                <w:tab w:val="left" w:pos="360"/>
              </w:tabs>
              <w:spacing w:before="240"/>
            </w:pPr>
            <w:r>
              <w:t>51</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2012</w:t>
            </w:r>
          </w:p>
        </w:tc>
        <w:tc>
          <w:tcPr>
            <w:tcW w:w="1151" w:type="dxa"/>
            <w:shd w:val="clear" w:color="auto" w:fill="auto"/>
          </w:tcPr>
          <w:p w:rsidR="00186505" w:rsidRDefault="00186505" w:rsidP="00756F6A">
            <w:pPr>
              <w:pStyle w:val="StandaardSV"/>
              <w:tabs>
                <w:tab w:val="left" w:pos="360"/>
              </w:tabs>
              <w:spacing w:before="240"/>
            </w:pPr>
            <w:r>
              <w:t>432</w:t>
            </w:r>
          </w:p>
        </w:tc>
        <w:tc>
          <w:tcPr>
            <w:tcW w:w="1152" w:type="dxa"/>
            <w:shd w:val="clear" w:color="auto" w:fill="auto"/>
          </w:tcPr>
          <w:p w:rsidR="00186505" w:rsidRDefault="00186505" w:rsidP="00756F6A">
            <w:pPr>
              <w:pStyle w:val="StandaardSV"/>
              <w:tabs>
                <w:tab w:val="left" w:pos="360"/>
              </w:tabs>
              <w:spacing w:before="240"/>
            </w:pPr>
            <w:r>
              <w:t>56</w:t>
            </w:r>
          </w:p>
        </w:tc>
        <w:tc>
          <w:tcPr>
            <w:tcW w:w="1152" w:type="dxa"/>
            <w:shd w:val="clear" w:color="auto" w:fill="auto"/>
          </w:tcPr>
          <w:p w:rsidR="00186505" w:rsidRDefault="00186505" w:rsidP="00756F6A">
            <w:pPr>
              <w:pStyle w:val="StandaardSV"/>
              <w:tabs>
                <w:tab w:val="left" w:pos="360"/>
              </w:tabs>
              <w:spacing w:before="240"/>
            </w:pPr>
            <w:r>
              <w:t>302</w:t>
            </w:r>
          </w:p>
        </w:tc>
        <w:tc>
          <w:tcPr>
            <w:tcW w:w="1151" w:type="dxa"/>
            <w:shd w:val="clear" w:color="auto" w:fill="auto"/>
          </w:tcPr>
          <w:p w:rsidR="00186505" w:rsidRDefault="00186505" w:rsidP="00756F6A">
            <w:pPr>
              <w:pStyle w:val="StandaardSV"/>
              <w:tabs>
                <w:tab w:val="left" w:pos="360"/>
              </w:tabs>
              <w:spacing w:before="240"/>
            </w:pPr>
            <w:r>
              <w:t>114</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r w:rsidR="00186505" w:rsidTr="00756F6A">
        <w:tc>
          <w:tcPr>
            <w:tcW w:w="2303" w:type="dxa"/>
            <w:shd w:val="clear" w:color="auto" w:fill="auto"/>
          </w:tcPr>
          <w:p w:rsidR="00186505" w:rsidRPr="00454E8B" w:rsidRDefault="00186505" w:rsidP="00756F6A">
            <w:pPr>
              <w:pStyle w:val="StandaardSV"/>
              <w:tabs>
                <w:tab w:val="left" w:pos="360"/>
              </w:tabs>
              <w:spacing w:before="240"/>
              <w:rPr>
                <w:b/>
              </w:rPr>
            </w:pPr>
            <w:r w:rsidRPr="00454E8B">
              <w:rPr>
                <w:b/>
              </w:rPr>
              <w:t>2013</w:t>
            </w:r>
          </w:p>
        </w:tc>
        <w:tc>
          <w:tcPr>
            <w:tcW w:w="1151" w:type="dxa"/>
            <w:shd w:val="clear" w:color="auto" w:fill="auto"/>
          </w:tcPr>
          <w:p w:rsidR="00186505" w:rsidRDefault="00186505" w:rsidP="00756F6A">
            <w:pPr>
              <w:pStyle w:val="StandaardSV"/>
              <w:tabs>
                <w:tab w:val="left" w:pos="360"/>
              </w:tabs>
              <w:spacing w:before="240"/>
            </w:pPr>
            <w:r>
              <w:t>76</w:t>
            </w:r>
          </w:p>
        </w:tc>
        <w:tc>
          <w:tcPr>
            <w:tcW w:w="1152" w:type="dxa"/>
            <w:shd w:val="clear" w:color="auto" w:fill="auto"/>
          </w:tcPr>
          <w:p w:rsidR="00186505" w:rsidRDefault="00186505" w:rsidP="00756F6A">
            <w:pPr>
              <w:pStyle w:val="StandaardSV"/>
              <w:tabs>
                <w:tab w:val="left" w:pos="360"/>
              </w:tabs>
              <w:spacing w:before="240"/>
            </w:pPr>
            <w:r>
              <w:t>17</w:t>
            </w:r>
          </w:p>
        </w:tc>
        <w:tc>
          <w:tcPr>
            <w:tcW w:w="1152" w:type="dxa"/>
            <w:shd w:val="clear" w:color="auto" w:fill="auto"/>
          </w:tcPr>
          <w:p w:rsidR="00186505" w:rsidRDefault="00186505" w:rsidP="00756F6A">
            <w:pPr>
              <w:pStyle w:val="StandaardSV"/>
              <w:tabs>
                <w:tab w:val="left" w:pos="360"/>
              </w:tabs>
              <w:spacing w:before="240"/>
            </w:pPr>
            <w:r>
              <w:t>160</w:t>
            </w:r>
          </w:p>
        </w:tc>
        <w:tc>
          <w:tcPr>
            <w:tcW w:w="1151" w:type="dxa"/>
            <w:shd w:val="clear" w:color="auto" w:fill="auto"/>
          </w:tcPr>
          <w:p w:rsidR="00186505" w:rsidRDefault="00186505" w:rsidP="00756F6A">
            <w:pPr>
              <w:pStyle w:val="StandaardSV"/>
              <w:tabs>
                <w:tab w:val="left" w:pos="360"/>
              </w:tabs>
              <w:spacing w:before="240"/>
            </w:pPr>
            <w:r>
              <w:t>40</w:t>
            </w:r>
          </w:p>
        </w:tc>
        <w:tc>
          <w:tcPr>
            <w:tcW w:w="1152" w:type="dxa"/>
            <w:shd w:val="clear" w:color="auto" w:fill="auto"/>
          </w:tcPr>
          <w:p w:rsidR="00186505" w:rsidRDefault="00186505" w:rsidP="00756F6A">
            <w:pPr>
              <w:pStyle w:val="StandaardSV"/>
              <w:tabs>
                <w:tab w:val="left" w:pos="360"/>
              </w:tabs>
              <w:spacing w:before="240"/>
            </w:pPr>
            <w:r>
              <w:t>0</w:t>
            </w:r>
          </w:p>
        </w:tc>
        <w:tc>
          <w:tcPr>
            <w:tcW w:w="1152" w:type="dxa"/>
            <w:shd w:val="clear" w:color="auto" w:fill="auto"/>
          </w:tcPr>
          <w:p w:rsidR="00186505" w:rsidRDefault="00186505" w:rsidP="00756F6A">
            <w:pPr>
              <w:pStyle w:val="StandaardSV"/>
              <w:tabs>
                <w:tab w:val="left" w:pos="360"/>
              </w:tabs>
              <w:spacing w:before="240"/>
            </w:pPr>
            <w:r>
              <w:t>0</w:t>
            </w:r>
          </w:p>
        </w:tc>
      </w:tr>
    </w:tbl>
    <w:p w:rsidR="00186505" w:rsidRDefault="00186505" w:rsidP="00EA7874">
      <w:pPr>
        <w:pStyle w:val="StandaardSV"/>
        <w:tabs>
          <w:tab w:val="left" w:pos="360"/>
        </w:tabs>
        <w:rPr>
          <w:iCs/>
        </w:rPr>
      </w:pPr>
    </w:p>
    <w:p w:rsidR="00C91E26" w:rsidRDefault="00C91E26" w:rsidP="00EA7874">
      <w:pPr>
        <w:pStyle w:val="StandaardSV"/>
        <w:tabs>
          <w:tab w:val="left" w:pos="360"/>
        </w:tabs>
      </w:pPr>
    </w:p>
    <w:p w:rsidR="00284EDD" w:rsidRDefault="00C91E26" w:rsidP="00C91E26">
      <w:pPr>
        <w:pStyle w:val="StandaardSV"/>
        <w:tabs>
          <w:tab w:val="left" w:pos="360"/>
        </w:tabs>
        <w:ind w:left="426" w:hanging="426"/>
      </w:pPr>
      <w:r>
        <w:t xml:space="preserve">10. </w:t>
      </w:r>
      <w:r>
        <w:tab/>
      </w:r>
      <w:r>
        <w:tab/>
      </w:r>
      <w:r w:rsidR="00186505">
        <w:t xml:space="preserve">Bij de overgrote meerderheid bestaat de activering erin dat ze worden ingeschreven in de </w:t>
      </w:r>
      <w:proofErr w:type="spellStart"/>
      <w:r w:rsidR="00186505">
        <w:t>tewerk</w:t>
      </w:r>
      <w:r w:rsidR="00EA7874">
        <w:softHyphen/>
      </w:r>
      <w:r w:rsidR="00186505">
        <w:t>stellingscel</w:t>
      </w:r>
      <w:proofErr w:type="spellEnd"/>
      <w:r w:rsidR="00186505">
        <w:t xml:space="preserve"> en vervolgens instappen in een outplacementbegeleiding.</w:t>
      </w:r>
    </w:p>
    <w:p w:rsidR="00186505" w:rsidRDefault="00186505" w:rsidP="00C91E26">
      <w:pPr>
        <w:pStyle w:val="StandaardSV"/>
        <w:tabs>
          <w:tab w:val="left" w:pos="360"/>
        </w:tabs>
        <w:ind w:left="426" w:hanging="426"/>
      </w:pPr>
      <w:r>
        <w:br/>
        <w:t>SWT-</w:t>
      </w:r>
      <w:proofErr w:type="spellStart"/>
      <w:r>
        <w:t>ers</w:t>
      </w:r>
      <w:proofErr w:type="spellEnd"/>
      <w:r>
        <w:t xml:space="preserve"> die na het outplacement nog geen duurzame tewerkstelling hebben gevonden kunnen in</w:t>
      </w:r>
      <w:r w:rsidR="00EA7874">
        <w:softHyphen/>
      </w:r>
      <w:r>
        <w:t>stap</w:t>
      </w:r>
      <w:r w:rsidR="00EA7874">
        <w:softHyphen/>
      </w:r>
      <w:r>
        <w:t xml:space="preserve">pen in een bemiddelings- en begeleidingstraject bij de VDAB, </w:t>
      </w:r>
      <w:proofErr w:type="spellStart"/>
      <w:r>
        <w:t>ikv</w:t>
      </w:r>
      <w:proofErr w:type="spellEnd"/>
      <w:r>
        <w:t xml:space="preserve"> de 50plus-werking. Deze aanpak staat garant voor een traject dat ruimte biedt voor bemiddeling op maat van de 50-plusser. Dit verliep in de periode januari – juli 2013 veelal via de 50+clubs van de VDAB. Een </w:t>
      </w:r>
      <w:r>
        <w:lastRenderedPageBreak/>
        <w:t>maatgerichte aanpak is belangrijk om de drempels naar een gepaste tewerkstelling, waar een aantal 50-plussers mee kampen, op een gepaste manier aan te pakken.</w:t>
      </w:r>
    </w:p>
    <w:p w:rsidR="00EA7874" w:rsidRDefault="00EA7874" w:rsidP="00EA7874">
      <w:pPr>
        <w:pStyle w:val="StandaardSV"/>
        <w:tabs>
          <w:tab w:val="left" w:pos="360"/>
        </w:tabs>
      </w:pPr>
    </w:p>
    <w:p w:rsidR="00186505" w:rsidRDefault="00186505" w:rsidP="00C91E26">
      <w:pPr>
        <w:pStyle w:val="StandaardSV"/>
        <w:tabs>
          <w:tab w:val="left" w:pos="360"/>
        </w:tabs>
        <w:ind w:left="426" w:hanging="426"/>
      </w:pPr>
      <w:r>
        <w:t xml:space="preserve">11. </w:t>
      </w:r>
      <w:r w:rsidR="00C91E26">
        <w:tab/>
      </w:r>
      <w:r w:rsidR="00C91E26">
        <w:tab/>
      </w:r>
      <w:bookmarkStart w:id="1" w:name="_GoBack"/>
      <w:bookmarkEnd w:id="1"/>
      <w:r>
        <w:t xml:space="preserve">Praktisch iedereen van de </w:t>
      </w:r>
      <w:proofErr w:type="spellStart"/>
      <w:r>
        <w:t>SWTers</w:t>
      </w:r>
      <w:proofErr w:type="spellEnd"/>
      <w:r>
        <w:t xml:space="preserve">, die ingeschreven zijn in een </w:t>
      </w:r>
      <w:proofErr w:type="spellStart"/>
      <w:r>
        <w:t>tewerkstellingscel</w:t>
      </w:r>
      <w:proofErr w:type="spellEnd"/>
      <w:r>
        <w:t xml:space="preserve"> volgt ook out</w:t>
      </w:r>
      <w:r w:rsidR="00EA7874">
        <w:softHyphen/>
      </w:r>
      <w:r>
        <w:t xml:space="preserve">placement. Dat is positief. Maar de uitstroom naar werk blijft zeer gering. Het vooruitzicht om na deelname aan een </w:t>
      </w:r>
      <w:proofErr w:type="spellStart"/>
      <w:r>
        <w:t>tewerkstellingscel</w:t>
      </w:r>
      <w:proofErr w:type="spellEnd"/>
      <w:r>
        <w:t>/outplacement te kunnen terugvallen op een verhoogde werkloos</w:t>
      </w:r>
      <w:r w:rsidR="00EA7874">
        <w:softHyphen/>
      </w:r>
      <w:r>
        <w:t>heidsuitkering in het SWT stelsel heeft allicht een ontradend effect op het zoekgedrag van deze werk</w:t>
      </w:r>
      <w:r w:rsidR="00EA7874">
        <w:softHyphen/>
      </w:r>
      <w:r>
        <w:t>lozen.</w:t>
      </w:r>
    </w:p>
    <w:sectPr w:rsidR="00186505" w:rsidSect="00EA7874">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5D" w:rsidRDefault="0042135D" w:rsidP="00464A7A">
      <w:r>
        <w:separator/>
      </w:r>
    </w:p>
  </w:endnote>
  <w:endnote w:type="continuationSeparator" w:id="0">
    <w:p w:rsidR="0042135D" w:rsidRDefault="0042135D"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5D" w:rsidRDefault="0042135D" w:rsidP="00464A7A">
      <w:r>
        <w:separator/>
      </w:r>
    </w:p>
  </w:footnote>
  <w:footnote w:type="continuationSeparator" w:id="0">
    <w:p w:rsidR="0042135D" w:rsidRDefault="0042135D"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E004658"/>
    <w:multiLevelType w:val="hybridMultilevel"/>
    <w:tmpl w:val="E280C622"/>
    <w:lvl w:ilvl="0" w:tplc="6152EEE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EB47B7B"/>
    <w:multiLevelType w:val="hybridMultilevel"/>
    <w:tmpl w:val="59F2FF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2"/>
  </w:num>
  <w:num w:numId="4">
    <w:abstractNumId w:val="3"/>
  </w:num>
  <w:num w:numId="5">
    <w:abstractNumId w:val="12"/>
  </w:num>
  <w:num w:numId="6">
    <w:abstractNumId w:val="6"/>
  </w:num>
  <w:num w:numId="7">
    <w:abstractNumId w:val="5"/>
  </w:num>
  <w:num w:numId="8">
    <w:abstractNumId w:val="9"/>
  </w:num>
  <w:num w:numId="9">
    <w:abstractNumId w:val="8"/>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86505"/>
    <w:rsid w:val="001A5B8A"/>
    <w:rsid w:val="002173F0"/>
    <w:rsid w:val="002277F6"/>
    <w:rsid w:val="00232BC7"/>
    <w:rsid w:val="00275808"/>
    <w:rsid w:val="002775A9"/>
    <w:rsid w:val="00284EDD"/>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2135D"/>
    <w:rsid w:val="00451B13"/>
    <w:rsid w:val="00462E13"/>
    <w:rsid w:val="00463D2B"/>
    <w:rsid w:val="00464A7A"/>
    <w:rsid w:val="00475BF0"/>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1102"/>
    <w:rsid w:val="0068216A"/>
    <w:rsid w:val="006856A0"/>
    <w:rsid w:val="006918D8"/>
    <w:rsid w:val="00696243"/>
    <w:rsid w:val="006A4CA8"/>
    <w:rsid w:val="006B7FCC"/>
    <w:rsid w:val="006C178B"/>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179FA"/>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6200A"/>
    <w:rsid w:val="00C91E26"/>
    <w:rsid w:val="00CB244B"/>
    <w:rsid w:val="00CB3A85"/>
    <w:rsid w:val="00CF7B32"/>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A7874"/>
    <w:rsid w:val="00EB1EE1"/>
    <w:rsid w:val="00EC7346"/>
    <w:rsid w:val="00ED0183"/>
    <w:rsid w:val="00ED7FBB"/>
    <w:rsid w:val="00EE0092"/>
    <w:rsid w:val="00F6262A"/>
    <w:rsid w:val="00F84CFC"/>
    <w:rsid w:val="00F95777"/>
    <w:rsid w:val="00FB38CB"/>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link w:val="LijstalineaChar"/>
    <w:uiPriority w:val="99"/>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18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Char">
    <w:name w:val="Lijstalinea Char"/>
    <w:link w:val="Lijstalinea"/>
    <w:uiPriority w:val="99"/>
    <w:rsid w:val="0018650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link w:val="LijstalineaChar"/>
    <w:uiPriority w:val="99"/>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18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Char">
    <w:name w:val="Lijstalinea Char"/>
    <w:link w:val="Lijstalinea"/>
    <w:uiPriority w:val="99"/>
    <w:rsid w:val="0018650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CB6"/>
    <w:rsid w:val="008D3E7A"/>
    <w:rsid w:val="00955364"/>
    <w:rsid w:val="00A639BC"/>
    <w:rsid w:val="00A86254"/>
    <w:rsid w:val="00B2424A"/>
    <w:rsid w:val="00B431D8"/>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151096d7a063ea3c134c97223d8b3104">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1bb11781909af6ded2c8d74cebef1e4f"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indexed="true"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1140 Werkloosheid met bedrijfstoeslag - Activering doelgroep</Titel_x0020_vraag>
    <Vraagnummer xmlns="7a2e3783-fe9a-4a2f-bbf4-debb4ac58a5c">1140</Vraagnummer>
    <DatumVraag xmlns="7a2e3783-fe9a-4a2f-bbf4-debb4ac58a5c">2013-09-17T22:00:00+00:00</DatumVraag>
    <DocumentSetDescription xmlns="http://schemas.microsoft.com/sharepoint/v3" xsi:nil="true"/>
    <Antwoord_x0020_vereist xmlns="7a2e3783-fe9a-4a2f-bbf4-debb4ac58a5c">2013-10-06T22:00:00+00:00</Antwoord_x0020_vereist>
    <Onderwerp_x0020_vraag xmlns="7a2e3783-fe9a-4a2f-bbf4-debb4ac58a5c">Werkloosheid met bedrijfstoeslag - Activering doelgroep</Onderwerp_x0020_vraag>
    <TaxCatchAll xmlns="7a2e3783-fe9a-4a2f-bbf4-debb4ac58a5c"/>
    <Antwoordnummer xmlns="7a2e3783-fe9a-4a2f-bbf4-debb4ac58a5c">1140</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In behandeling</Doorloopstatus>
    <Behandelaar xmlns="7a2e3783-fe9a-4a2f-bbf4-debb4ac58a5c">
      <UserInfo>
        <DisplayName>De Lathouwer, Lieve</DisplayName>
        <AccountId>109</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909</DocSetId>
    <Extern_x0020_Agentschap xmlns="ad923ab5-f988-4e82-b3fb-7226e10f96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9E707A-6C39-4997-A89E-AB561A5B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98DB8-679A-49E4-AA34-B450138B57AB}">
  <ds:schemaRefs>
    <ds:schemaRef ds:uri="http://www.w3.org/XML/1998/namespace"/>
    <ds:schemaRef ds:uri="http://schemas.microsoft.com/sharepoint/v3"/>
    <ds:schemaRef ds:uri="http://schemas.microsoft.com/office/2006/documentManagement/types"/>
    <ds:schemaRef ds:uri="ec82e040-88e9-4975-bc13-a42fab7bb9ce"/>
    <ds:schemaRef ds:uri="ad923ab5-f988-4e82-b3fb-7226e10f961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a2e3783-fe9a-4a2f-bbf4-debb4ac58a5c"/>
    <ds:schemaRef ds:uri="http://purl.org/dc/terms/"/>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FE309EBC-3DFD-4D16-9ED4-F3A62A43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5262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Werkloosheid bedrijfstoeslag</vt:lpstr>
      <vt:lpstr/>
    </vt:vector>
  </TitlesOfParts>
  <Company>MVG</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Werkloosheid bedrijfstoeslag</dc:title>
  <dc:creator>De Lathouwer, Lieve</dc:creator>
  <cp:lastModifiedBy>wro</cp:lastModifiedBy>
  <cp:revision>3</cp:revision>
  <cp:lastPrinted>2013-10-18T07:32:00Z</cp:lastPrinted>
  <dcterms:created xsi:type="dcterms:W3CDTF">2013-10-23T12:36:00Z</dcterms:created>
  <dcterms:modified xsi:type="dcterms:W3CDTF">2013-10-31T12:29:00Z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56532b93-b087-46ee-8be2-0e27958404a8</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ies>
</file>