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556F" w14:textId="094E2B84" w:rsidR="0068216A" w:rsidRPr="00D03794" w:rsidRDefault="0037596D"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171183">
            <w:rPr>
              <w:b/>
              <w:bCs/>
              <w:caps/>
              <w:sz w:val="18"/>
              <w:szCs w:val="22"/>
              <w:lang w:val="nl-BE"/>
            </w:rPr>
            <w:t>Philippe Muyters</w:t>
          </w:r>
        </w:sdtContent>
      </w:sdt>
    </w:p>
    <w:p w14:paraId="12773022" w14:textId="321404E4"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171183">
            <w:rPr>
              <w:caps/>
              <w:sz w:val="18"/>
              <w:szCs w:val="22"/>
              <w:lang w:val="nl-BE"/>
            </w:rPr>
            <w:t>Financiën, Begroting, Werk, Ruimtelijke Ordening en Sport</w:t>
          </w:r>
        </w:sdtContent>
      </w:sdt>
    </w:p>
    <w:p w14:paraId="017E53A9" w14:textId="77777777" w:rsidR="0068216A" w:rsidRPr="005628FF" w:rsidRDefault="0068216A" w:rsidP="003F1093">
      <w:pPr>
        <w:pBdr>
          <w:bottom w:val="single" w:sz="4" w:space="1" w:color="auto"/>
        </w:pBdr>
        <w:jc w:val="both"/>
        <w:rPr>
          <w:sz w:val="22"/>
          <w:szCs w:val="22"/>
          <w:lang w:val="nl-BE"/>
        </w:rPr>
      </w:pPr>
    </w:p>
    <w:p w14:paraId="665C1C8F" w14:textId="77777777" w:rsidR="0068216A" w:rsidRPr="005628FF" w:rsidRDefault="0068216A" w:rsidP="003F1093">
      <w:pPr>
        <w:jc w:val="both"/>
        <w:rPr>
          <w:sz w:val="22"/>
          <w:szCs w:val="22"/>
        </w:rPr>
      </w:pPr>
    </w:p>
    <w:p w14:paraId="76C0938E"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54E9B2AF" w14:textId="703F4738"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171183">
            <w:rPr>
              <w:sz w:val="22"/>
              <w:szCs w:val="22"/>
              <w:lang w:val="nl-BE"/>
            </w:rPr>
            <w:t>1146</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9-20T00:00:00Z">
            <w:dateFormat w:val="d MMMM yyyy"/>
            <w:lid w:val="nl-BE"/>
            <w:storeMappedDataAs w:val="dateTime"/>
            <w:calendar w:val="gregorian"/>
          </w:date>
        </w:sdtPr>
        <w:sdtEndPr/>
        <w:sdtContent>
          <w:r w:rsidR="00171183">
            <w:rPr>
              <w:sz w:val="22"/>
              <w:szCs w:val="22"/>
              <w:lang w:val="nl-BE"/>
            </w:rPr>
            <w:t>20 september 2013</w:t>
          </w:r>
        </w:sdtContent>
      </w:sdt>
    </w:p>
    <w:p w14:paraId="2478C668" w14:textId="3DA74827"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171183">
            <w:rPr>
              <w:b/>
              <w:caps/>
              <w:sz w:val="18"/>
              <w:szCs w:val="22"/>
              <w:lang w:val="nl-BE"/>
            </w:rPr>
            <w:t>Bjorn Rzoska</w:t>
          </w:r>
        </w:sdtContent>
      </w:sdt>
    </w:p>
    <w:p w14:paraId="48604DA9" w14:textId="77777777" w:rsidR="0068216A" w:rsidRPr="005628FF" w:rsidRDefault="0068216A" w:rsidP="003F1093">
      <w:pPr>
        <w:pBdr>
          <w:bottom w:val="single" w:sz="4" w:space="1" w:color="auto"/>
        </w:pBdr>
        <w:jc w:val="both"/>
        <w:rPr>
          <w:sz w:val="22"/>
          <w:szCs w:val="22"/>
        </w:rPr>
      </w:pPr>
    </w:p>
    <w:p w14:paraId="2068AD9A" w14:textId="77777777" w:rsidR="0068216A" w:rsidRPr="005628FF" w:rsidRDefault="0068216A" w:rsidP="003F1093">
      <w:pPr>
        <w:jc w:val="both"/>
        <w:rPr>
          <w:sz w:val="22"/>
          <w:szCs w:val="22"/>
        </w:rPr>
        <w:sectPr w:rsidR="0068216A" w:rsidRPr="005628FF" w:rsidSect="0037596D">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6AD8A224" w14:textId="77777777" w:rsidR="0068216A" w:rsidRPr="005628FF" w:rsidRDefault="0068216A" w:rsidP="003F1093">
      <w:pPr>
        <w:jc w:val="both"/>
        <w:rPr>
          <w:sz w:val="22"/>
          <w:szCs w:val="22"/>
        </w:rPr>
      </w:pPr>
    </w:p>
    <w:p w14:paraId="13D13DEF" w14:textId="77777777" w:rsidR="00CB244B" w:rsidRPr="00CB244B" w:rsidRDefault="00CB244B" w:rsidP="00651886">
      <w:pPr>
        <w:pStyle w:val="StandaardSV"/>
      </w:pPr>
    </w:p>
    <w:p w14:paraId="30235393" w14:textId="6B653C86" w:rsidR="00171183" w:rsidRDefault="0037596D" w:rsidP="0037596D">
      <w:pPr>
        <w:pStyle w:val="StandaardSV"/>
        <w:tabs>
          <w:tab w:val="left" w:pos="709"/>
        </w:tabs>
        <w:ind w:left="709" w:hanging="709"/>
      </w:pPr>
      <w:r>
        <w:t>1.en 2.</w:t>
      </w:r>
      <w:r>
        <w:tab/>
      </w:r>
      <w:r w:rsidR="00171183">
        <w:t>De VDAB rapporteert voor deze vraag enkel over uitstroompercentages na 12 maanden om de vergelijking tussen de verschillende groepen mogelijk te maken (enkel in het kader van het jeugdwerkplan kunnen er uitstroompercentages na 4 maanden gegeven worden). Het maat</w:t>
      </w:r>
      <w:r>
        <w:softHyphen/>
      </w:r>
      <w:r w:rsidR="00171183">
        <w:t>werk in het jeugdwerkplan bepaalt dat de begeleiding afhankelijk is van de scholingsgraad van de jonge werkzoekende.</w:t>
      </w:r>
    </w:p>
    <w:p w14:paraId="564A00F9" w14:textId="25CFD6B2" w:rsidR="00171183" w:rsidRDefault="00171183" w:rsidP="0037596D">
      <w:pPr>
        <w:pStyle w:val="StandaardSV"/>
        <w:tabs>
          <w:tab w:val="left" w:pos="709"/>
        </w:tabs>
        <w:ind w:left="709"/>
      </w:pPr>
      <w:r>
        <w:t>Hierna de tabellen van de instroom in de werkloosheid én de uitstroomcijfers uit de werkloos</w:t>
      </w:r>
      <w:r w:rsidR="0037596D">
        <w:softHyphen/>
      </w:r>
      <w:r>
        <w:t xml:space="preserve">heid (waarvan naar werk) volgens scholingsgraad en leeftijdscategorie vanaf  2008. </w:t>
      </w:r>
    </w:p>
    <w:p w14:paraId="701430BD" w14:textId="77777777" w:rsidR="00171183" w:rsidRDefault="00171183" w:rsidP="0037596D">
      <w:pPr>
        <w:pStyle w:val="StandaardSV"/>
        <w:ind w:firstLine="708"/>
      </w:pPr>
      <w:r>
        <w:t>Er kunnen slechts instroom- en uitstroomcijfers worden gegeven vanaf 2008.</w:t>
      </w:r>
    </w:p>
    <w:p w14:paraId="519EAC29" w14:textId="77777777" w:rsidR="00171183" w:rsidRDefault="00171183" w:rsidP="00171183">
      <w:pPr>
        <w:pStyle w:val="StandaardSV"/>
      </w:pPr>
    </w:p>
    <w:tbl>
      <w:tblPr>
        <w:tblW w:w="11058" w:type="dxa"/>
        <w:tblInd w:w="-923" w:type="dxa"/>
        <w:tblLayout w:type="fixed"/>
        <w:tblCellMar>
          <w:left w:w="70" w:type="dxa"/>
          <w:right w:w="70" w:type="dxa"/>
        </w:tblCellMar>
        <w:tblLook w:val="04A0" w:firstRow="1" w:lastRow="0" w:firstColumn="1" w:lastColumn="0" w:noHBand="0" w:noVBand="1"/>
      </w:tblPr>
      <w:tblGrid>
        <w:gridCol w:w="993"/>
        <w:gridCol w:w="1134"/>
        <w:gridCol w:w="993"/>
        <w:gridCol w:w="1134"/>
        <w:gridCol w:w="992"/>
        <w:gridCol w:w="850"/>
        <w:gridCol w:w="851"/>
        <w:gridCol w:w="850"/>
        <w:gridCol w:w="851"/>
        <w:gridCol w:w="709"/>
        <w:gridCol w:w="992"/>
        <w:gridCol w:w="709"/>
      </w:tblGrid>
      <w:tr w:rsidR="00171183" w:rsidRPr="00297BAD" w14:paraId="060AB0D7" w14:textId="77777777" w:rsidTr="0042337C">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46086"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tcPr>
          <w:p w14:paraId="0757C47B" w14:textId="77777777" w:rsidR="00171183" w:rsidRPr="00297BAD" w:rsidRDefault="00171183" w:rsidP="0042337C">
            <w:pPr>
              <w:pStyle w:val="StandaardSV"/>
              <w:rPr>
                <w:b/>
                <w:bCs/>
              </w:rPr>
            </w:pPr>
          </w:p>
        </w:tc>
        <w:tc>
          <w:tcPr>
            <w:tcW w:w="2127" w:type="dxa"/>
            <w:gridSpan w:val="2"/>
            <w:tcBorders>
              <w:top w:val="single" w:sz="4" w:space="0" w:color="auto"/>
              <w:left w:val="single" w:sz="4" w:space="0" w:color="auto"/>
              <w:bottom w:val="single" w:sz="4" w:space="0" w:color="auto"/>
              <w:right w:val="single" w:sz="4" w:space="0" w:color="auto"/>
            </w:tcBorders>
          </w:tcPr>
          <w:p w14:paraId="4D196751" w14:textId="77777777" w:rsidR="00171183" w:rsidRPr="00297BAD" w:rsidRDefault="00171183" w:rsidP="0042337C">
            <w:pPr>
              <w:pStyle w:val="StandaardSV"/>
              <w:jc w:val="center"/>
              <w:rPr>
                <w:b/>
                <w:bCs/>
              </w:rPr>
            </w:pPr>
            <w:r w:rsidRPr="00297BAD">
              <w:rPr>
                <w:b/>
                <w:bCs/>
              </w:rPr>
              <w:t>Gemiddelde instroom*</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9D76F3" w14:textId="7054D217" w:rsidR="00171183" w:rsidRPr="00297BAD" w:rsidRDefault="00171183" w:rsidP="0042337C">
            <w:pPr>
              <w:pStyle w:val="StandaardSV"/>
              <w:rPr>
                <w:b/>
                <w:bCs/>
              </w:rPr>
            </w:pPr>
            <w:r w:rsidRPr="00297BAD">
              <w:rPr>
                <w:b/>
                <w:bCs/>
              </w:rPr>
              <w:t>Gemiddelde uitstroom uit de werk</w:t>
            </w:r>
            <w:r w:rsidR="0037596D">
              <w:rPr>
                <w:b/>
                <w:bCs/>
              </w:rPr>
              <w:softHyphen/>
            </w:r>
            <w:bookmarkStart w:id="0" w:name="_GoBack"/>
            <w:bookmarkEnd w:id="0"/>
            <w:r w:rsidRPr="00297BAD">
              <w:rPr>
                <w:b/>
                <w:bCs/>
              </w:rPr>
              <w:t>loosheid na 12 maanden</w:t>
            </w:r>
          </w:p>
        </w:tc>
        <w:tc>
          <w:tcPr>
            <w:tcW w:w="3261" w:type="dxa"/>
            <w:gridSpan w:val="4"/>
            <w:tcBorders>
              <w:top w:val="single" w:sz="4" w:space="0" w:color="auto"/>
              <w:left w:val="nil"/>
              <w:bottom w:val="single" w:sz="4" w:space="0" w:color="auto"/>
              <w:right w:val="single" w:sz="4" w:space="0" w:color="auto"/>
            </w:tcBorders>
            <w:shd w:val="clear" w:color="auto" w:fill="auto"/>
            <w:hideMark/>
          </w:tcPr>
          <w:p w14:paraId="4DE93107" w14:textId="77777777" w:rsidR="00171183" w:rsidRPr="00297BAD" w:rsidRDefault="00171183" w:rsidP="0042337C">
            <w:pPr>
              <w:pStyle w:val="StandaardSV"/>
              <w:rPr>
                <w:b/>
                <w:bCs/>
              </w:rPr>
            </w:pPr>
            <w:r w:rsidRPr="00297BAD">
              <w:rPr>
                <w:b/>
                <w:bCs/>
              </w:rPr>
              <w:t>Gemiddelde uitstroom naar werk na 12 maanden</w:t>
            </w:r>
          </w:p>
        </w:tc>
      </w:tr>
      <w:tr w:rsidR="00171183" w:rsidRPr="00297BAD" w14:paraId="4CD16BA9"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2ECCAB" w14:textId="77777777" w:rsidR="00171183" w:rsidRPr="00297BAD" w:rsidRDefault="00171183" w:rsidP="0042337C">
            <w:pPr>
              <w:pStyle w:val="StandaardSV"/>
              <w:rPr>
                <w:b/>
                <w:bCs/>
              </w:rPr>
            </w:pPr>
            <w:r w:rsidRPr="00297BAD">
              <w:rPr>
                <w:b/>
                <w:bCs/>
              </w:rPr>
              <w:t>Jaar instroom</w:t>
            </w:r>
          </w:p>
        </w:tc>
        <w:tc>
          <w:tcPr>
            <w:tcW w:w="1134" w:type="dxa"/>
            <w:tcBorders>
              <w:top w:val="single" w:sz="4" w:space="0" w:color="auto"/>
              <w:left w:val="nil"/>
              <w:bottom w:val="single" w:sz="4" w:space="0" w:color="auto"/>
              <w:right w:val="single" w:sz="4" w:space="0" w:color="auto"/>
            </w:tcBorders>
          </w:tcPr>
          <w:p w14:paraId="156EAE8A" w14:textId="77777777" w:rsidR="00171183" w:rsidRPr="00297BAD" w:rsidRDefault="00171183" w:rsidP="0042337C">
            <w:pPr>
              <w:pStyle w:val="StandaardSV"/>
            </w:pPr>
          </w:p>
        </w:tc>
        <w:tc>
          <w:tcPr>
            <w:tcW w:w="993" w:type="dxa"/>
            <w:tcBorders>
              <w:top w:val="single" w:sz="4" w:space="0" w:color="auto"/>
              <w:left w:val="single" w:sz="4" w:space="0" w:color="auto"/>
              <w:bottom w:val="single" w:sz="4" w:space="0" w:color="auto"/>
              <w:right w:val="single" w:sz="4" w:space="0" w:color="auto"/>
            </w:tcBorders>
            <w:vAlign w:val="bottom"/>
          </w:tcPr>
          <w:p w14:paraId="522AA59F" w14:textId="77777777" w:rsidR="00171183" w:rsidRPr="00297BAD" w:rsidRDefault="00171183" w:rsidP="0042337C">
            <w:pPr>
              <w:pStyle w:val="StandaardSV"/>
              <w:jc w:val="center"/>
            </w:pPr>
            <w:r w:rsidRPr="00297BAD">
              <w:t>Totaal</w:t>
            </w:r>
          </w:p>
        </w:tc>
        <w:tc>
          <w:tcPr>
            <w:tcW w:w="1134" w:type="dxa"/>
            <w:tcBorders>
              <w:top w:val="single" w:sz="4" w:space="0" w:color="auto"/>
              <w:left w:val="single" w:sz="4" w:space="0" w:color="auto"/>
              <w:bottom w:val="single" w:sz="4" w:space="0" w:color="auto"/>
              <w:right w:val="single" w:sz="4" w:space="0" w:color="auto"/>
            </w:tcBorders>
            <w:vAlign w:val="bottom"/>
          </w:tcPr>
          <w:p w14:paraId="49209529" w14:textId="77777777" w:rsidR="00171183" w:rsidRPr="00297BAD" w:rsidRDefault="00171183" w:rsidP="0042337C">
            <w:pPr>
              <w:pStyle w:val="StandaardSV"/>
              <w:jc w:val="center"/>
            </w:pPr>
            <w:proofErr w:type="spellStart"/>
            <w:r w:rsidRPr="00297BAD">
              <w:t>Laag</w:t>
            </w:r>
            <w:r>
              <w:t>-</w:t>
            </w:r>
            <w:r w:rsidRPr="00297BAD">
              <w:t>geschoold</w:t>
            </w:r>
            <w:proofErr w:type="spellEnd"/>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71BEB" w14:textId="77777777" w:rsidR="00171183" w:rsidRPr="00297BAD" w:rsidRDefault="00171183" w:rsidP="0042337C">
            <w:pPr>
              <w:pStyle w:val="StandaardSV"/>
              <w:jc w:val="center"/>
            </w:pPr>
            <w:r w:rsidRPr="00297BAD">
              <w:t>Totaal</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C6A790" w14:textId="77777777" w:rsidR="00171183" w:rsidRPr="00297BAD" w:rsidRDefault="00171183" w:rsidP="0042337C">
            <w:pPr>
              <w:pStyle w:val="StandaardSV"/>
            </w:pPr>
            <w:r w:rsidRPr="00297BAD">
              <w:t>Laaggeschoold</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172B11" w14:textId="77777777" w:rsidR="00171183" w:rsidRPr="00297BAD" w:rsidRDefault="00171183" w:rsidP="0042337C">
            <w:pPr>
              <w:pStyle w:val="StandaardSV"/>
              <w:jc w:val="center"/>
            </w:pPr>
            <w:r w:rsidRPr="00297BAD">
              <w:t>Totaal</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DBD6EF" w14:textId="77777777" w:rsidR="00171183" w:rsidRPr="00297BAD" w:rsidRDefault="00171183" w:rsidP="0042337C">
            <w:pPr>
              <w:pStyle w:val="StandaardSV"/>
            </w:pPr>
            <w:r w:rsidRPr="00297BAD">
              <w:t>Laaggeschoold</w:t>
            </w:r>
          </w:p>
        </w:tc>
      </w:tr>
      <w:tr w:rsidR="00171183" w:rsidRPr="00297BAD" w14:paraId="69157471"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1C0E42" w14:textId="77777777" w:rsidR="00171183" w:rsidRPr="00297BAD" w:rsidRDefault="00171183" w:rsidP="0042337C">
            <w:pPr>
              <w:pStyle w:val="StandaardSV"/>
            </w:pPr>
            <w:r w:rsidRPr="00297BAD">
              <w:t>2008</w:t>
            </w:r>
          </w:p>
        </w:tc>
        <w:tc>
          <w:tcPr>
            <w:tcW w:w="1134" w:type="dxa"/>
            <w:tcBorders>
              <w:top w:val="single" w:sz="4" w:space="0" w:color="auto"/>
              <w:left w:val="nil"/>
              <w:bottom w:val="single" w:sz="4" w:space="0" w:color="auto"/>
              <w:right w:val="single" w:sz="4" w:space="0" w:color="auto"/>
            </w:tcBorders>
            <w:vAlign w:val="bottom"/>
          </w:tcPr>
          <w:p w14:paraId="645BC7FA" w14:textId="77777777" w:rsidR="00171183" w:rsidRPr="00297BAD" w:rsidRDefault="00171183" w:rsidP="0042337C">
            <w:pPr>
              <w:pStyle w:val="StandaardSV"/>
            </w:pPr>
            <w:r w:rsidRPr="00297BAD">
              <w:t>-25 jaar</w:t>
            </w:r>
          </w:p>
        </w:tc>
        <w:tc>
          <w:tcPr>
            <w:tcW w:w="993" w:type="dxa"/>
            <w:tcBorders>
              <w:top w:val="nil"/>
              <w:left w:val="single" w:sz="4" w:space="0" w:color="auto"/>
              <w:bottom w:val="single" w:sz="4" w:space="0" w:color="auto"/>
              <w:right w:val="single" w:sz="4" w:space="0" w:color="auto"/>
            </w:tcBorders>
            <w:vAlign w:val="bottom"/>
          </w:tcPr>
          <w:p w14:paraId="30139F08" w14:textId="77777777" w:rsidR="00171183" w:rsidRPr="00297BAD" w:rsidRDefault="00171183" w:rsidP="0042337C">
            <w:pPr>
              <w:pStyle w:val="StandaardSV"/>
            </w:pPr>
            <w:r w:rsidRPr="00297BAD">
              <w:t>7.618</w:t>
            </w:r>
          </w:p>
        </w:tc>
        <w:tc>
          <w:tcPr>
            <w:tcW w:w="1134" w:type="dxa"/>
            <w:tcBorders>
              <w:top w:val="nil"/>
              <w:left w:val="single" w:sz="4" w:space="0" w:color="auto"/>
              <w:bottom w:val="single" w:sz="4" w:space="0" w:color="auto"/>
              <w:right w:val="single" w:sz="4" w:space="0" w:color="auto"/>
            </w:tcBorders>
            <w:vAlign w:val="bottom"/>
          </w:tcPr>
          <w:p w14:paraId="7BC8CE3E" w14:textId="77777777" w:rsidR="00171183" w:rsidRPr="00297BAD" w:rsidRDefault="00171183" w:rsidP="0042337C">
            <w:pPr>
              <w:pStyle w:val="StandaardSV"/>
            </w:pPr>
            <w:r w:rsidRPr="00297BAD">
              <w:t>2.670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19D26A5" w14:textId="77777777" w:rsidR="00171183" w:rsidRPr="00297BAD" w:rsidRDefault="00171183" w:rsidP="0042337C">
            <w:pPr>
              <w:pStyle w:val="StandaardSV"/>
            </w:pPr>
            <w:r w:rsidRPr="00297BAD">
              <w:t>5.512</w:t>
            </w:r>
          </w:p>
        </w:tc>
        <w:tc>
          <w:tcPr>
            <w:tcW w:w="850" w:type="dxa"/>
            <w:tcBorders>
              <w:top w:val="nil"/>
              <w:left w:val="nil"/>
              <w:bottom w:val="single" w:sz="4" w:space="0" w:color="auto"/>
              <w:right w:val="single" w:sz="4" w:space="0" w:color="auto"/>
            </w:tcBorders>
            <w:shd w:val="clear" w:color="auto" w:fill="auto"/>
            <w:noWrap/>
            <w:vAlign w:val="bottom"/>
            <w:hideMark/>
          </w:tcPr>
          <w:p w14:paraId="64E0672C" w14:textId="77777777" w:rsidR="00171183" w:rsidRPr="00297BAD" w:rsidRDefault="00171183" w:rsidP="0042337C">
            <w:pPr>
              <w:pStyle w:val="StandaardSV"/>
            </w:pPr>
            <w:r w:rsidRPr="00297BAD">
              <w:t>72%</w:t>
            </w:r>
          </w:p>
        </w:tc>
        <w:tc>
          <w:tcPr>
            <w:tcW w:w="851" w:type="dxa"/>
            <w:tcBorders>
              <w:top w:val="nil"/>
              <w:left w:val="nil"/>
              <w:bottom w:val="single" w:sz="4" w:space="0" w:color="auto"/>
              <w:right w:val="single" w:sz="4" w:space="0" w:color="auto"/>
            </w:tcBorders>
            <w:shd w:val="clear" w:color="auto" w:fill="auto"/>
            <w:noWrap/>
            <w:vAlign w:val="bottom"/>
            <w:hideMark/>
          </w:tcPr>
          <w:p w14:paraId="0FE2FE05" w14:textId="77777777" w:rsidR="00171183" w:rsidRPr="00297BAD" w:rsidRDefault="00171183" w:rsidP="0042337C">
            <w:pPr>
              <w:pStyle w:val="StandaardSV"/>
            </w:pPr>
            <w:r w:rsidRPr="00297BAD">
              <w:t>1.570</w:t>
            </w:r>
          </w:p>
        </w:tc>
        <w:tc>
          <w:tcPr>
            <w:tcW w:w="850" w:type="dxa"/>
            <w:tcBorders>
              <w:top w:val="nil"/>
              <w:left w:val="nil"/>
              <w:bottom w:val="single" w:sz="4" w:space="0" w:color="auto"/>
              <w:right w:val="single" w:sz="4" w:space="0" w:color="auto"/>
            </w:tcBorders>
            <w:shd w:val="clear" w:color="auto" w:fill="auto"/>
            <w:noWrap/>
            <w:vAlign w:val="bottom"/>
            <w:hideMark/>
          </w:tcPr>
          <w:p w14:paraId="1237C309" w14:textId="77777777" w:rsidR="00171183" w:rsidRPr="00297BAD" w:rsidRDefault="00171183" w:rsidP="0042337C">
            <w:pPr>
              <w:pStyle w:val="StandaardSV"/>
            </w:pPr>
            <w:r w:rsidRPr="00297BAD">
              <w:t>59%</w:t>
            </w:r>
          </w:p>
        </w:tc>
        <w:tc>
          <w:tcPr>
            <w:tcW w:w="851" w:type="dxa"/>
            <w:tcBorders>
              <w:top w:val="nil"/>
              <w:left w:val="nil"/>
              <w:bottom w:val="single" w:sz="4" w:space="0" w:color="auto"/>
              <w:right w:val="single" w:sz="4" w:space="0" w:color="auto"/>
            </w:tcBorders>
            <w:shd w:val="clear" w:color="auto" w:fill="auto"/>
            <w:noWrap/>
            <w:vAlign w:val="bottom"/>
            <w:hideMark/>
          </w:tcPr>
          <w:p w14:paraId="0041F31C" w14:textId="77777777" w:rsidR="00171183" w:rsidRPr="00297BAD" w:rsidRDefault="00171183" w:rsidP="0042337C">
            <w:pPr>
              <w:pStyle w:val="StandaardSV"/>
            </w:pPr>
            <w:r w:rsidRPr="00297BAD">
              <w:t>4.364</w:t>
            </w:r>
          </w:p>
        </w:tc>
        <w:tc>
          <w:tcPr>
            <w:tcW w:w="709" w:type="dxa"/>
            <w:tcBorders>
              <w:top w:val="nil"/>
              <w:left w:val="nil"/>
              <w:bottom w:val="single" w:sz="4" w:space="0" w:color="auto"/>
              <w:right w:val="single" w:sz="4" w:space="0" w:color="auto"/>
            </w:tcBorders>
            <w:shd w:val="clear" w:color="auto" w:fill="auto"/>
            <w:noWrap/>
            <w:vAlign w:val="bottom"/>
            <w:hideMark/>
          </w:tcPr>
          <w:p w14:paraId="7D182D8B" w14:textId="77777777" w:rsidR="00171183" w:rsidRPr="00297BAD" w:rsidRDefault="00171183" w:rsidP="0042337C">
            <w:pPr>
              <w:pStyle w:val="StandaardSV"/>
            </w:pPr>
            <w:r w:rsidRPr="00297BAD">
              <w:t>57%</w:t>
            </w:r>
          </w:p>
        </w:tc>
        <w:tc>
          <w:tcPr>
            <w:tcW w:w="992" w:type="dxa"/>
            <w:tcBorders>
              <w:top w:val="nil"/>
              <w:left w:val="nil"/>
              <w:bottom w:val="single" w:sz="4" w:space="0" w:color="auto"/>
              <w:right w:val="single" w:sz="4" w:space="0" w:color="auto"/>
            </w:tcBorders>
            <w:shd w:val="clear" w:color="auto" w:fill="auto"/>
            <w:noWrap/>
            <w:vAlign w:val="bottom"/>
            <w:hideMark/>
          </w:tcPr>
          <w:p w14:paraId="23982C6E" w14:textId="77777777" w:rsidR="00171183" w:rsidRPr="00297BAD" w:rsidRDefault="00171183" w:rsidP="0042337C">
            <w:pPr>
              <w:pStyle w:val="StandaardSV"/>
            </w:pPr>
            <w:r w:rsidRPr="00297BAD">
              <w:t>1.116</w:t>
            </w:r>
          </w:p>
        </w:tc>
        <w:tc>
          <w:tcPr>
            <w:tcW w:w="709" w:type="dxa"/>
            <w:tcBorders>
              <w:top w:val="nil"/>
              <w:left w:val="nil"/>
              <w:bottom w:val="single" w:sz="4" w:space="0" w:color="auto"/>
              <w:right w:val="single" w:sz="4" w:space="0" w:color="auto"/>
            </w:tcBorders>
            <w:shd w:val="clear" w:color="auto" w:fill="auto"/>
            <w:noWrap/>
            <w:vAlign w:val="bottom"/>
            <w:hideMark/>
          </w:tcPr>
          <w:p w14:paraId="1FED2E49" w14:textId="77777777" w:rsidR="00171183" w:rsidRPr="00297BAD" w:rsidRDefault="00171183" w:rsidP="0042337C">
            <w:pPr>
              <w:pStyle w:val="StandaardSV"/>
            </w:pPr>
            <w:r w:rsidRPr="00297BAD">
              <w:t>42%</w:t>
            </w:r>
          </w:p>
        </w:tc>
      </w:tr>
      <w:tr w:rsidR="00171183" w:rsidRPr="00297BAD" w14:paraId="4DEAB7F9"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210FA7"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4A627C7E" w14:textId="77777777" w:rsidR="00171183" w:rsidRPr="00297BAD" w:rsidRDefault="00171183" w:rsidP="0042337C">
            <w:pPr>
              <w:pStyle w:val="StandaardSV"/>
            </w:pPr>
            <w:r w:rsidRPr="00297BAD">
              <w:t>25-50 jaar</w:t>
            </w:r>
          </w:p>
        </w:tc>
        <w:tc>
          <w:tcPr>
            <w:tcW w:w="993" w:type="dxa"/>
            <w:tcBorders>
              <w:top w:val="nil"/>
              <w:left w:val="single" w:sz="4" w:space="0" w:color="auto"/>
              <w:bottom w:val="single" w:sz="4" w:space="0" w:color="auto"/>
              <w:right w:val="single" w:sz="4" w:space="0" w:color="auto"/>
            </w:tcBorders>
            <w:vAlign w:val="bottom"/>
          </w:tcPr>
          <w:p w14:paraId="3F4ECD4F" w14:textId="77777777" w:rsidR="00171183" w:rsidRPr="00297BAD" w:rsidRDefault="00171183" w:rsidP="0042337C">
            <w:pPr>
              <w:pStyle w:val="StandaardSV"/>
            </w:pPr>
            <w:r w:rsidRPr="00297BAD">
              <w:t>10.652</w:t>
            </w:r>
          </w:p>
        </w:tc>
        <w:tc>
          <w:tcPr>
            <w:tcW w:w="1134" w:type="dxa"/>
            <w:tcBorders>
              <w:top w:val="nil"/>
              <w:left w:val="single" w:sz="4" w:space="0" w:color="auto"/>
              <w:bottom w:val="single" w:sz="4" w:space="0" w:color="auto"/>
              <w:right w:val="single" w:sz="4" w:space="0" w:color="auto"/>
            </w:tcBorders>
            <w:vAlign w:val="bottom"/>
          </w:tcPr>
          <w:p w14:paraId="4D2719E1" w14:textId="77777777" w:rsidR="00171183" w:rsidRPr="00297BAD" w:rsidRDefault="00171183" w:rsidP="0042337C">
            <w:pPr>
              <w:pStyle w:val="StandaardSV"/>
            </w:pPr>
            <w:r w:rsidRPr="00297BAD">
              <w:t>4.370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0189FD5" w14:textId="77777777" w:rsidR="00171183" w:rsidRPr="00297BAD" w:rsidRDefault="00171183" w:rsidP="0042337C">
            <w:pPr>
              <w:pStyle w:val="StandaardSV"/>
            </w:pPr>
            <w:r w:rsidRPr="00297BAD">
              <w:t>6.742</w:t>
            </w:r>
          </w:p>
        </w:tc>
        <w:tc>
          <w:tcPr>
            <w:tcW w:w="850" w:type="dxa"/>
            <w:tcBorders>
              <w:top w:val="nil"/>
              <w:left w:val="nil"/>
              <w:bottom w:val="single" w:sz="4" w:space="0" w:color="auto"/>
              <w:right w:val="single" w:sz="4" w:space="0" w:color="auto"/>
            </w:tcBorders>
            <w:shd w:val="clear" w:color="auto" w:fill="auto"/>
            <w:noWrap/>
            <w:vAlign w:val="bottom"/>
            <w:hideMark/>
          </w:tcPr>
          <w:p w14:paraId="7BB89913" w14:textId="77777777" w:rsidR="00171183" w:rsidRPr="00297BAD" w:rsidRDefault="00171183" w:rsidP="0042337C">
            <w:pPr>
              <w:pStyle w:val="StandaardSV"/>
            </w:pPr>
            <w:r w:rsidRPr="00297BAD">
              <w:t>63%</w:t>
            </w:r>
          </w:p>
        </w:tc>
        <w:tc>
          <w:tcPr>
            <w:tcW w:w="851" w:type="dxa"/>
            <w:tcBorders>
              <w:top w:val="nil"/>
              <w:left w:val="nil"/>
              <w:bottom w:val="single" w:sz="4" w:space="0" w:color="auto"/>
              <w:right w:val="single" w:sz="4" w:space="0" w:color="auto"/>
            </w:tcBorders>
            <w:shd w:val="clear" w:color="auto" w:fill="auto"/>
            <w:noWrap/>
            <w:vAlign w:val="bottom"/>
            <w:hideMark/>
          </w:tcPr>
          <w:p w14:paraId="73D560EA" w14:textId="77777777" w:rsidR="00171183" w:rsidRPr="00297BAD" w:rsidRDefault="00171183" w:rsidP="0042337C">
            <w:pPr>
              <w:pStyle w:val="StandaardSV"/>
            </w:pPr>
            <w:r w:rsidRPr="00297BAD">
              <w:t>2.581</w:t>
            </w:r>
          </w:p>
        </w:tc>
        <w:tc>
          <w:tcPr>
            <w:tcW w:w="850" w:type="dxa"/>
            <w:tcBorders>
              <w:top w:val="nil"/>
              <w:left w:val="nil"/>
              <w:bottom w:val="single" w:sz="4" w:space="0" w:color="auto"/>
              <w:right w:val="single" w:sz="4" w:space="0" w:color="auto"/>
            </w:tcBorders>
            <w:shd w:val="clear" w:color="auto" w:fill="auto"/>
            <w:noWrap/>
            <w:vAlign w:val="bottom"/>
            <w:hideMark/>
          </w:tcPr>
          <w:p w14:paraId="5BF3EA51" w14:textId="77777777" w:rsidR="00171183" w:rsidRPr="00297BAD" w:rsidRDefault="00171183" w:rsidP="0042337C">
            <w:pPr>
              <w:pStyle w:val="StandaardSV"/>
            </w:pPr>
            <w:r w:rsidRPr="00297BAD">
              <w:t>59%</w:t>
            </w:r>
          </w:p>
        </w:tc>
        <w:tc>
          <w:tcPr>
            <w:tcW w:w="851" w:type="dxa"/>
            <w:tcBorders>
              <w:top w:val="nil"/>
              <w:left w:val="nil"/>
              <w:bottom w:val="single" w:sz="4" w:space="0" w:color="auto"/>
              <w:right w:val="single" w:sz="4" w:space="0" w:color="auto"/>
            </w:tcBorders>
            <w:shd w:val="clear" w:color="auto" w:fill="auto"/>
            <w:noWrap/>
            <w:vAlign w:val="bottom"/>
            <w:hideMark/>
          </w:tcPr>
          <w:p w14:paraId="37710243" w14:textId="77777777" w:rsidR="00171183" w:rsidRPr="00297BAD" w:rsidRDefault="00171183" w:rsidP="0042337C">
            <w:pPr>
              <w:pStyle w:val="StandaardSV"/>
            </w:pPr>
            <w:r w:rsidRPr="00297BAD">
              <w:t>5.106</w:t>
            </w:r>
          </w:p>
        </w:tc>
        <w:tc>
          <w:tcPr>
            <w:tcW w:w="709" w:type="dxa"/>
            <w:tcBorders>
              <w:top w:val="nil"/>
              <w:left w:val="nil"/>
              <w:bottom w:val="single" w:sz="4" w:space="0" w:color="auto"/>
              <w:right w:val="single" w:sz="4" w:space="0" w:color="auto"/>
            </w:tcBorders>
            <w:shd w:val="clear" w:color="auto" w:fill="auto"/>
            <w:noWrap/>
            <w:vAlign w:val="bottom"/>
            <w:hideMark/>
          </w:tcPr>
          <w:p w14:paraId="0570A035" w14:textId="77777777" w:rsidR="00171183" w:rsidRPr="00297BAD" w:rsidRDefault="00171183" w:rsidP="0042337C">
            <w:pPr>
              <w:pStyle w:val="StandaardSV"/>
            </w:pPr>
            <w:r w:rsidRPr="00297BAD">
              <w:t>48%</w:t>
            </w:r>
          </w:p>
        </w:tc>
        <w:tc>
          <w:tcPr>
            <w:tcW w:w="992" w:type="dxa"/>
            <w:tcBorders>
              <w:top w:val="nil"/>
              <w:left w:val="nil"/>
              <w:bottom w:val="single" w:sz="4" w:space="0" w:color="auto"/>
              <w:right w:val="single" w:sz="4" w:space="0" w:color="auto"/>
            </w:tcBorders>
            <w:shd w:val="clear" w:color="auto" w:fill="auto"/>
            <w:noWrap/>
            <w:vAlign w:val="bottom"/>
            <w:hideMark/>
          </w:tcPr>
          <w:p w14:paraId="4CBEB8E4" w14:textId="77777777" w:rsidR="00171183" w:rsidRPr="00297BAD" w:rsidRDefault="00171183" w:rsidP="0042337C">
            <w:pPr>
              <w:pStyle w:val="StandaardSV"/>
            </w:pPr>
            <w:r w:rsidRPr="00297BAD">
              <w:t>1.818</w:t>
            </w:r>
          </w:p>
        </w:tc>
        <w:tc>
          <w:tcPr>
            <w:tcW w:w="709" w:type="dxa"/>
            <w:tcBorders>
              <w:top w:val="nil"/>
              <w:left w:val="nil"/>
              <w:bottom w:val="single" w:sz="4" w:space="0" w:color="auto"/>
              <w:right w:val="single" w:sz="4" w:space="0" w:color="auto"/>
            </w:tcBorders>
            <w:shd w:val="clear" w:color="auto" w:fill="auto"/>
            <w:noWrap/>
            <w:vAlign w:val="bottom"/>
            <w:hideMark/>
          </w:tcPr>
          <w:p w14:paraId="4BC7E00A" w14:textId="77777777" w:rsidR="00171183" w:rsidRPr="00297BAD" w:rsidRDefault="00171183" w:rsidP="0042337C">
            <w:pPr>
              <w:pStyle w:val="StandaardSV"/>
            </w:pPr>
            <w:r w:rsidRPr="00297BAD">
              <w:t>42%</w:t>
            </w:r>
          </w:p>
        </w:tc>
      </w:tr>
      <w:tr w:rsidR="00171183" w:rsidRPr="00297BAD" w14:paraId="3BEBACF3"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0A0AB37"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6ED53C10" w14:textId="77777777" w:rsidR="00171183" w:rsidRPr="00297BAD" w:rsidRDefault="00171183" w:rsidP="0042337C">
            <w:pPr>
              <w:pStyle w:val="StandaardSV"/>
            </w:pPr>
            <w:r w:rsidRPr="00297BAD">
              <w:t>+50 jaar</w:t>
            </w:r>
          </w:p>
        </w:tc>
        <w:tc>
          <w:tcPr>
            <w:tcW w:w="993" w:type="dxa"/>
            <w:tcBorders>
              <w:top w:val="nil"/>
              <w:left w:val="single" w:sz="4" w:space="0" w:color="auto"/>
              <w:bottom w:val="single" w:sz="4" w:space="0" w:color="auto"/>
              <w:right w:val="single" w:sz="4" w:space="0" w:color="auto"/>
            </w:tcBorders>
            <w:vAlign w:val="bottom"/>
          </w:tcPr>
          <w:p w14:paraId="056E1EE9" w14:textId="77777777" w:rsidR="00171183" w:rsidRPr="00297BAD" w:rsidRDefault="00171183" w:rsidP="0042337C">
            <w:pPr>
              <w:pStyle w:val="StandaardSV"/>
            </w:pPr>
            <w:r w:rsidRPr="00297BAD">
              <w:t>1.793</w:t>
            </w:r>
          </w:p>
        </w:tc>
        <w:tc>
          <w:tcPr>
            <w:tcW w:w="1134" w:type="dxa"/>
            <w:tcBorders>
              <w:top w:val="nil"/>
              <w:left w:val="single" w:sz="4" w:space="0" w:color="auto"/>
              <w:bottom w:val="single" w:sz="4" w:space="0" w:color="auto"/>
              <w:right w:val="single" w:sz="4" w:space="0" w:color="auto"/>
            </w:tcBorders>
            <w:vAlign w:val="bottom"/>
          </w:tcPr>
          <w:p w14:paraId="6CA4961A" w14:textId="77777777" w:rsidR="00171183" w:rsidRPr="00297BAD" w:rsidRDefault="00171183" w:rsidP="0042337C">
            <w:pPr>
              <w:pStyle w:val="StandaardSV"/>
            </w:pPr>
            <w:r w:rsidRPr="00297BAD">
              <w:t>962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1F4BE6" w14:textId="77777777" w:rsidR="00171183" w:rsidRPr="00297BAD" w:rsidRDefault="00171183" w:rsidP="0042337C">
            <w:pPr>
              <w:pStyle w:val="StandaardSV"/>
            </w:pPr>
            <w:r w:rsidRPr="00297BAD">
              <w:t>964</w:t>
            </w:r>
          </w:p>
        </w:tc>
        <w:tc>
          <w:tcPr>
            <w:tcW w:w="850" w:type="dxa"/>
            <w:tcBorders>
              <w:top w:val="nil"/>
              <w:left w:val="nil"/>
              <w:bottom w:val="single" w:sz="4" w:space="0" w:color="auto"/>
              <w:right w:val="single" w:sz="4" w:space="0" w:color="auto"/>
            </w:tcBorders>
            <w:shd w:val="clear" w:color="auto" w:fill="auto"/>
            <w:noWrap/>
            <w:vAlign w:val="bottom"/>
            <w:hideMark/>
          </w:tcPr>
          <w:p w14:paraId="28AF7220" w14:textId="77777777" w:rsidR="00171183" w:rsidRPr="00297BAD" w:rsidRDefault="00171183" w:rsidP="0042337C">
            <w:pPr>
              <w:pStyle w:val="StandaardSV"/>
            </w:pPr>
            <w:r w:rsidRPr="00297BAD">
              <w:t>54%</w:t>
            </w:r>
          </w:p>
        </w:tc>
        <w:tc>
          <w:tcPr>
            <w:tcW w:w="851" w:type="dxa"/>
            <w:tcBorders>
              <w:top w:val="nil"/>
              <w:left w:val="nil"/>
              <w:bottom w:val="single" w:sz="4" w:space="0" w:color="auto"/>
              <w:right w:val="single" w:sz="4" w:space="0" w:color="auto"/>
            </w:tcBorders>
            <w:shd w:val="clear" w:color="auto" w:fill="auto"/>
            <w:noWrap/>
            <w:vAlign w:val="bottom"/>
            <w:hideMark/>
          </w:tcPr>
          <w:p w14:paraId="6DB9F89C" w14:textId="77777777" w:rsidR="00171183" w:rsidRPr="00297BAD" w:rsidRDefault="00171183" w:rsidP="0042337C">
            <w:pPr>
              <w:pStyle w:val="StandaardSV"/>
            </w:pPr>
            <w:r w:rsidRPr="00297BAD">
              <w:t>508</w:t>
            </w:r>
          </w:p>
        </w:tc>
        <w:tc>
          <w:tcPr>
            <w:tcW w:w="850" w:type="dxa"/>
            <w:tcBorders>
              <w:top w:val="nil"/>
              <w:left w:val="nil"/>
              <w:bottom w:val="single" w:sz="4" w:space="0" w:color="auto"/>
              <w:right w:val="single" w:sz="4" w:space="0" w:color="auto"/>
            </w:tcBorders>
            <w:shd w:val="clear" w:color="auto" w:fill="auto"/>
            <w:noWrap/>
            <w:vAlign w:val="bottom"/>
            <w:hideMark/>
          </w:tcPr>
          <w:p w14:paraId="12836CDA" w14:textId="77777777" w:rsidR="00171183" w:rsidRPr="00297BAD" w:rsidRDefault="00171183" w:rsidP="0042337C">
            <w:pPr>
              <w:pStyle w:val="StandaardSV"/>
            </w:pPr>
            <w:r w:rsidRPr="00297BAD">
              <w:t>53%</w:t>
            </w:r>
          </w:p>
        </w:tc>
        <w:tc>
          <w:tcPr>
            <w:tcW w:w="851" w:type="dxa"/>
            <w:tcBorders>
              <w:top w:val="nil"/>
              <w:left w:val="nil"/>
              <w:bottom w:val="single" w:sz="4" w:space="0" w:color="auto"/>
              <w:right w:val="single" w:sz="4" w:space="0" w:color="auto"/>
            </w:tcBorders>
            <w:shd w:val="clear" w:color="auto" w:fill="auto"/>
            <w:noWrap/>
            <w:vAlign w:val="bottom"/>
            <w:hideMark/>
          </w:tcPr>
          <w:p w14:paraId="56F39FEA" w14:textId="77777777" w:rsidR="00171183" w:rsidRPr="00297BAD" w:rsidRDefault="00171183" w:rsidP="0042337C">
            <w:pPr>
              <w:pStyle w:val="StandaardSV"/>
            </w:pPr>
            <w:r w:rsidRPr="00297BAD">
              <w:t>537</w:t>
            </w:r>
          </w:p>
        </w:tc>
        <w:tc>
          <w:tcPr>
            <w:tcW w:w="709" w:type="dxa"/>
            <w:tcBorders>
              <w:top w:val="nil"/>
              <w:left w:val="nil"/>
              <w:bottom w:val="single" w:sz="4" w:space="0" w:color="auto"/>
              <w:right w:val="single" w:sz="4" w:space="0" w:color="auto"/>
            </w:tcBorders>
            <w:shd w:val="clear" w:color="auto" w:fill="auto"/>
            <w:noWrap/>
            <w:vAlign w:val="bottom"/>
            <w:hideMark/>
          </w:tcPr>
          <w:p w14:paraId="5B4AC11A" w14:textId="77777777" w:rsidR="00171183" w:rsidRPr="00297BAD" w:rsidRDefault="00171183" w:rsidP="0042337C">
            <w:pPr>
              <w:pStyle w:val="StandaardSV"/>
            </w:pPr>
            <w:r w:rsidRPr="00297BAD">
              <w:t>30%</w:t>
            </w:r>
          </w:p>
        </w:tc>
        <w:tc>
          <w:tcPr>
            <w:tcW w:w="992" w:type="dxa"/>
            <w:tcBorders>
              <w:top w:val="nil"/>
              <w:left w:val="nil"/>
              <w:bottom w:val="single" w:sz="4" w:space="0" w:color="auto"/>
              <w:right w:val="single" w:sz="4" w:space="0" w:color="auto"/>
            </w:tcBorders>
            <w:shd w:val="clear" w:color="auto" w:fill="auto"/>
            <w:noWrap/>
            <w:vAlign w:val="bottom"/>
            <w:hideMark/>
          </w:tcPr>
          <w:p w14:paraId="5DDEEE44" w14:textId="77777777" w:rsidR="00171183" w:rsidRPr="00297BAD" w:rsidRDefault="00171183" w:rsidP="0042337C">
            <w:pPr>
              <w:pStyle w:val="StandaardSV"/>
            </w:pPr>
            <w:r w:rsidRPr="00297BAD">
              <w:t>265</w:t>
            </w:r>
          </w:p>
        </w:tc>
        <w:tc>
          <w:tcPr>
            <w:tcW w:w="709" w:type="dxa"/>
            <w:tcBorders>
              <w:top w:val="nil"/>
              <w:left w:val="nil"/>
              <w:bottom w:val="single" w:sz="4" w:space="0" w:color="auto"/>
              <w:right w:val="single" w:sz="4" w:space="0" w:color="auto"/>
            </w:tcBorders>
            <w:shd w:val="clear" w:color="auto" w:fill="auto"/>
            <w:noWrap/>
            <w:vAlign w:val="bottom"/>
            <w:hideMark/>
          </w:tcPr>
          <w:p w14:paraId="4C678F27" w14:textId="77777777" w:rsidR="00171183" w:rsidRPr="00297BAD" w:rsidRDefault="00171183" w:rsidP="0042337C">
            <w:pPr>
              <w:pStyle w:val="StandaardSV"/>
            </w:pPr>
            <w:r w:rsidRPr="00297BAD">
              <w:t>28%</w:t>
            </w:r>
          </w:p>
        </w:tc>
      </w:tr>
      <w:tr w:rsidR="00171183" w:rsidRPr="00297BAD" w14:paraId="5A77F2B8"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B56C1B0"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2A516DDB" w14:textId="77777777" w:rsidR="00171183" w:rsidRPr="00297BAD" w:rsidRDefault="00171183" w:rsidP="0042337C">
            <w:pPr>
              <w:pStyle w:val="StandaardSV"/>
              <w:rPr>
                <w:b/>
              </w:rPr>
            </w:pPr>
            <w:r w:rsidRPr="00297BAD">
              <w:rPr>
                <w:b/>
              </w:rPr>
              <w:t>Totaal</w:t>
            </w:r>
          </w:p>
        </w:tc>
        <w:tc>
          <w:tcPr>
            <w:tcW w:w="993" w:type="dxa"/>
            <w:tcBorders>
              <w:top w:val="nil"/>
              <w:left w:val="single" w:sz="4" w:space="0" w:color="auto"/>
              <w:bottom w:val="single" w:sz="4" w:space="0" w:color="auto"/>
              <w:right w:val="single" w:sz="4" w:space="0" w:color="auto"/>
            </w:tcBorders>
            <w:vAlign w:val="bottom"/>
          </w:tcPr>
          <w:p w14:paraId="10F03A23" w14:textId="77777777" w:rsidR="00171183" w:rsidRPr="00297BAD" w:rsidRDefault="00171183" w:rsidP="0042337C">
            <w:pPr>
              <w:pStyle w:val="StandaardSV"/>
              <w:rPr>
                <w:b/>
                <w:bCs/>
              </w:rPr>
            </w:pPr>
            <w:r w:rsidRPr="00297BAD">
              <w:rPr>
                <w:b/>
                <w:bCs/>
              </w:rPr>
              <w:t>20.063</w:t>
            </w:r>
          </w:p>
        </w:tc>
        <w:tc>
          <w:tcPr>
            <w:tcW w:w="1134" w:type="dxa"/>
            <w:tcBorders>
              <w:top w:val="nil"/>
              <w:left w:val="single" w:sz="4" w:space="0" w:color="auto"/>
              <w:bottom w:val="single" w:sz="4" w:space="0" w:color="auto"/>
              <w:right w:val="single" w:sz="4" w:space="0" w:color="auto"/>
            </w:tcBorders>
            <w:vAlign w:val="bottom"/>
          </w:tcPr>
          <w:p w14:paraId="6AF30071" w14:textId="77777777" w:rsidR="00171183" w:rsidRPr="00297BAD" w:rsidRDefault="00171183" w:rsidP="0042337C">
            <w:pPr>
              <w:pStyle w:val="StandaardSV"/>
              <w:rPr>
                <w:b/>
                <w:bCs/>
              </w:rPr>
            </w:pPr>
            <w:r w:rsidRPr="00297BAD">
              <w:rPr>
                <w:b/>
                <w:bCs/>
              </w:rPr>
              <w:t>8.002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764E3F1" w14:textId="77777777" w:rsidR="00171183" w:rsidRPr="00297BAD" w:rsidRDefault="00171183" w:rsidP="0042337C">
            <w:pPr>
              <w:pStyle w:val="StandaardSV"/>
              <w:rPr>
                <w:b/>
                <w:bCs/>
              </w:rPr>
            </w:pPr>
            <w:r w:rsidRPr="00297BAD">
              <w:rPr>
                <w:b/>
                <w:bCs/>
              </w:rPr>
              <w:t>13.218</w:t>
            </w:r>
          </w:p>
        </w:tc>
        <w:tc>
          <w:tcPr>
            <w:tcW w:w="850" w:type="dxa"/>
            <w:tcBorders>
              <w:top w:val="nil"/>
              <w:left w:val="nil"/>
              <w:bottom w:val="single" w:sz="4" w:space="0" w:color="auto"/>
              <w:right w:val="single" w:sz="4" w:space="0" w:color="auto"/>
            </w:tcBorders>
            <w:shd w:val="clear" w:color="auto" w:fill="auto"/>
            <w:noWrap/>
            <w:vAlign w:val="bottom"/>
            <w:hideMark/>
          </w:tcPr>
          <w:p w14:paraId="448955D0" w14:textId="77777777" w:rsidR="00171183" w:rsidRPr="00297BAD" w:rsidRDefault="00171183" w:rsidP="0042337C">
            <w:pPr>
              <w:pStyle w:val="StandaardSV"/>
              <w:rPr>
                <w:b/>
                <w:bCs/>
              </w:rPr>
            </w:pPr>
            <w:r w:rsidRPr="00297BAD">
              <w:rPr>
                <w:b/>
                <w:bCs/>
              </w:rPr>
              <w:t>66%</w:t>
            </w:r>
          </w:p>
        </w:tc>
        <w:tc>
          <w:tcPr>
            <w:tcW w:w="851" w:type="dxa"/>
            <w:tcBorders>
              <w:top w:val="nil"/>
              <w:left w:val="nil"/>
              <w:bottom w:val="single" w:sz="4" w:space="0" w:color="auto"/>
              <w:right w:val="single" w:sz="4" w:space="0" w:color="auto"/>
            </w:tcBorders>
            <w:shd w:val="clear" w:color="auto" w:fill="auto"/>
            <w:noWrap/>
            <w:vAlign w:val="bottom"/>
            <w:hideMark/>
          </w:tcPr>
          <w:p w14:paraId="63ADEE6B" w14:textId="77777777" w:rsidR="00171183" w:rsidRPr="00297BAD" w:rsidRDefault="00171183" w:rsidP="0042337C">
            <w:pPr>
              <w:pStyle w:val="StandaardSV"/>
              <w:rPr>
                <w:b/>
                <w:bCs/>
              </w:rPr>
            </w:pPr>
            <w:r w:rsidRPr="00297BAD">
              <w:rPr>
                <w:b/>
                <w:bCs/>
              </w:rPr>
              <w:t>4.659</w:t>
            </w:r>
          </w:p>
        </w:tc>
        <w:tc>
          <w:tcPr>
            <w:tcW w:w="850" w:type="dxa"/>
            <w:tcBorders>
              <w:top w:val="nil"/>
              <w:left w:val="nil"/>
              <w:bottom w:val="single" w:sz="4" w:space="0" w:color="auto"/>
              <w:right w:val="single" w:sz="4" w:space="0" w:color="auto"/>
            </w:tcBorders>
            <w:shd w:val="clear" w:color="auto" w:fill="auto"/>
            <w:noWrap/>
            <w:vAlign w:val="bottom"/>
            <w:hideMark/>
          </w:tcPr>
          <w:p w14:paraId="22A06141" w14:textId="77777777" w:rsidR="00171183" w:rsidRPr="00297BAD" w:rsidRDefault="00171183" w:rsidP="0042337C">
            <w:pPr>
              <w:pStyle w:val="StandaardSV"/>
              <w:rPr>
                <w:b/>
                <w:bCs/>
              </w:rPr>
            </w:pPr>
            <w:r w:rsidRPr="00297BAD">
              <w:rPr>
                <w:b/>
                <w:bCs/>
              </w:rPr>
              <w:t>58%</w:t>
            </w:r>
          </w:p>
        </w:tc>
        <w:tc>
          <w:tcPr>
            <w:tcW w:w="851" w:type="dxa"/>
            <w:tcBorders>
              <w:top w:val="nil"/>
              <w:left w:val="nil"/>
              <w:bottom w:val="single" w:sz="4" w:space="0" w:color="auto"/>
              <w:right w:val="single" w:sz="4" w:space="0" w:color="auto"/>
            </w:tcBorders>
            <w:shd w:val="clear" w:color="auto" w:fill="auto"/>
            <w:noWrap/>
            <w:vAlign w:val="bottom"/>
            <w:hideMark/>
          </w:tcPr>
          <w:p w14:paraId="7DBFC10B" w14:textId="77777777" w:rsidR="00171183" w:rsidRPr="00297BAD" w:rsidRDefault="00171183" w:rsidP="0042337C">
            <w:pPr>
              <w:pStyle w:val="StandaardSV"/>
              <w:rPr>
                <w:b/>
                <w:bCs/>
              </w:rPr>
            </w:pPr>
            <w:r w:rsidRPr="00297BAD">
              <w:rPr>
                <w:b/>
                <w:bCs/>
              </w:rPr>
              <w:t>10.007</w:t>
            </w:r>
          </w:p>
        </w:tc>
        <w:tc>
          <w:tcPr>
            <w:tcW w:w="709" w:type="dxa"/>
            <w:tcBorders>
              <w:top w:val="nil"/>
              <w:left w:val="nil"/>
              <w:bottom w:val="single" w:sz="4" w:space="0" w:color="auto"/>
              <w:right w:val="single" w:sz="4" w:space="0" w:color="auto"/>
            </w:tcBorders>
            <w:shd w:val="clear" w:color="auto" w:fill="auto"/>
            <w:noWrap/>
            <w:vAlign w:val="bottom"/>
            <w:hideMark/>
          </w:tcPr>
          <w:p w14:paraId="405DB94F" w14:textId="77777777" w:rsidR="00171183" w:rsidRPr="00297BAD" w:rsidRDefault="00171183" w:rsidP="0042337C">
            <w:pPr>
              <w:pStyle w:val="StandaardSV"/>
              <w:rPr>
                <w:b/>
                <w:bCs/>
              </w:rPr>
            </w:pPr>
            <w:r w:rsidRPr="00297BAD">
              <w:rPr>
                <w:b/>
                <w:bCs/>
              </w:rPr>
              <w:t>50%</w:t>
            </w:r>
          </w:p>
        </w:tc>
        <w:tc>
          <w:tcPr>
            <w:tcW w:w="992" w:type="dxa"/>
            <w:tcBorders>
              <w:top w:val="nil"/>
              <w:left w:val="nil"/>
              <w:bottom w:val="single" w:sz="4" w:space="0" w:color="auto"/>
              <w:right w:val="single" w:sz="4" w:space="0" w:color="auto"/>
            </w:tcBorders>
            <w:shd w:val="clear" w:color="auto" w:fill="auto"/>
            <w:noWrap/>
            <w:vAlign w:val="bottom"/>
            <w:hideMark/>
          </w:tcPr>
          <w:p w14:paraId="669ADE58" w14:textId="77777777" w:rsidR="00171183" w:rsidRPr="00297BAD" w:rsidRDefault="00171183" w:rsidP="0042337C">
            <w:pPr>
              <w:pStyle w:val="StandaardSV"/>
              <w:rPr>
                <w:b/>
                <w:bCs/>
              </w:rPr>
            </w:pPr>
            <w:r w:rsidRPr="00297BAD">
              <w:rPr>
                <w:b/>
                <w:bCs/>
              </w:rPr>
              <w:t>3.199</w:t>
            </w:r>
          </w:p>
        </w:tc>
        <w:tc>
          <w:tcPr>
            <w:tcW w:w="709" w:type="dxa"/>
            <w:tcBorders>
              <w:top w:val="nil"/>
              <w:left w:val="nil"/>
              <w:bottom w:val="single" w:sz="4" w:space="0" w:color="auto"/>
              <w:right w:val="single" w:sz="4" w:space="0" w:color="auto"/>
            </w:tcBorders>
            <w:shd w:val="clear" w:color="auto" w:fill="auto"/>
            <w:noWrap/>
            <w:vAlign w:val="bottom"/>
            <w:hideMark/>
          </w:tcPr>
          <w:p w14:paraId="5E50BD38" w14:textId="77777777" w:rsidR="00171183" w:rsidRPr="00297BAD" w:rsidRDefault="00171183" w:rsidP="0042337C">
            <w:pPr>
              <w:pStyle w:val="StandaardSV"/>
              <w:rPr>
                <w:b/>
                <w:bCs/>
              </w:rPr>
            </w:pPr>
            <w:r w:rsidRPr="00297BAD">
              <w:rPr>
                <w:b/>
                <w:bCs/>
              </w:rPr>
              <w:t>40%</w:t>
            </w:r>
          </w:p>
        </w:tc>
      </w:tr>
      <w:tr w:rsidR="00171183" w:rsidRPr="00297BAD" w14:paraId="522E38EF"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A773D4" w14:textId="77777777" w:rsidR="00171183" w:rsidRPr="00297BAD" w:rsidRDefault="00171183" w:rsidP="0042337C">
            <w:pPr>
              <w:pStyle w:val="StandaardSV"/>
            </w:pPr>
            <w:r w:rsidRPr="00297BAD">
              <w:t>2009</w:t>
            </w:r>
          </w:p>
        </w:tc>
        <w:tc>
          <w:tcPr>
            <w:tcW w:w="1134" w:type="dxa"/>
            <w:tcBorders>
              <w:top w:val="single" w:sz="4" w:space="0" w:color="auto"/>
              <w:left w:val="nil"/>
              <w:bottom w:val="single" w:sz="4" w:space="0" w:color="auto"/>
              <w:right w:val="single" w:sz="4" w:space="0" w:color="auto"/>
            </w:tcBorders>
            <w:vAlign w:val="bottom"/>
          </w:tcPr>
          <w:p w14:paraId="211376F1" w14:textId="77777777" w:rsidR="00171183" w:rsidRPr="00297BAD" w:rsidRDefault="00171183" w:rsidP="0042337C">
            <w:pPr>
              <w:pStyle w:val="StandaardSV"/>
            </w:pPr>
            <w:r w:rsidRPr="00297BAD">
              <w:t>-25 jaar</w:t>
            </w:r>
          </w:p>
        </w:tc>
        <w:tc>
          <w:tcPr>
            <w:tcW w:w="993" w:type="dxa"/>
            <w:tcBorders>
              <w:top w:val="nil"/>
              <w:left w:val="single" w:sz="4" w:space="0" w:color="auto"/>
              <w:bottom w:val="single" w:sz="4" w:space="0" w:color="auto"/>
              <w:right w:val="single" w:sz="4" w:space="0" w:color="auto"/>
            </w:tcBorders>
            <w:vAlign w:val="bottom"/>
          </w:tcPr>
          <w:p w14:paraId="02C6B6C0" w14:textId="77777777" w:rsidR="00171183" w:rsidRPr="00297BAD" w:rsidRDefault="00171183" w:rsidP="0042337C">
            <w:pPr>
              <w:pStyle w:val="StandaardSV"/>
            </w:pPr>
            <w:r w:rsidRPr="00297BAD">
              <w:t>8.110</w:t>
            </w:r>
          </w:p>
        </w:tc>
        <w:tc>
          <w:tcPr>
            <w:tcW w:w="1134" w:type="dxa"/>
            <w:tcBorders>
              <w:top w:val="nil"/>
              <w:left w:val="single" w:sz="4" w:space="0" w:color="auto"/>
              <w:bottom w:val="single" w:sz="4" w:space="0" w:color="auto"/>
              <w:right w:val="single" w:sz="4" w:space="0" w:color="auto"/>
            </w:tcBorders>
            <w:vAlign w:val="bottom"/>
          </w:tcPr>
          <w:p w14:paraId="1C5D83E6" w14:textId="77777777" w:rsidR="00171183" w:rsidRPr="00297BAD" w:rsidRDefault="00171183" w:rsidP="0042337C">
            <w:pPr>
              <w:pStyle w:val="StandaardSV"/>
            </w:pPr>
            <w:r w:rsidRPr="00297BAD">
              <w:t>2.735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A99BF1C" w14:textId="77777777" w:rsidR="00171183" w:rsidRPr="00297BAD" w:rsidRDefault="00171183" w:rsidP="0042337C">
            <w:pPr>
              <w:pStyle w:val="StandaardSV"/>
            </w:pPr>
            <w:r w:rsidRPr="00297BAD">
              <w:t>5972</w:t>
            </w:r>
          </w:p>
        </w:tc>
        <w:tc>
          <w:tcPr>
            <w:tcW w:w="850" w:type="dxa"/>
            <w:tcBorders>
              <w:top w:val="nil"/>
              <w:left w:val="nil"/>
              <w:bottom w:val="single" w:sz="4" w:space="0" w:color="auto"/>
              <w:right w:val="single" w:sz="4" w:space="0" w:color="auto"/>
            </w:tcBorders>
            <w:shd w:val="clear" w:color="auto" w:fill="auto"/>
            <w:noWrap/>
            <w:vAlign w:val="bottom"/>
            <w:hideMark/>
          </w:tcPr>
          <w:p w14:paraId="07457AA1" w14:textId="77777777" w:rsidR="00171183" w:rsidRPr="00297BAD" w:rsidRDefault="00171183" w:rsidP="0042337C">
            <w:pPr>
              <w:pStyle w:val="StandaardSV"/>
            </w:pPr>
            <w:r w:rsidRPr="00297BAD">
              <w:t>74%</w:t>
            </w:r>
          </w:p>
        </w:tc>
        <w:tc>
          <w:tcPr>
            <w:tcW w:w="851" w:type="dxa"/>
            <w:tcBorders>
              <w:top w:val="nil"/>
              <w:left w:val="nil"/>
              <w:bottom w:val="single" w:sz="4" w:space="0" w:color="auto"/>
              <w:right w:val="single" w:sz="4" w:space="0" w:color="auto"/>
            </w:tcBorders>
            <w:shd w:val="clear" w:color="auto" w:fill="auto"/>
            <w:noWrap/>
            <w:vAlign w:val="bottom"/>
            <w:hideMark/>
          </w:tcPr>
          <w:p w14:paraId="0F7E23B8" w14:textId="77777777" w:rsidR="00171183" w:rsidRPr="00297BAD" w:rsidRDefault="00171183" w:rsidP="0042337C">
            <w:pPr>
              <w:pStyle w:val="StandaardSV"/>
            </w:pPr>
            <w:r w:rsidRPr="00297BAD">
              <w:t>1635</w:t>
            </w:r>
          </w:p>
        </w:tc>
        <w:tc>
          <w:tcPr>
            <w:tcW w:w="850" w:type="dxa"/>
            <w:tcBorders>
              <w:top w:val="nil"/>
              <w:left w:val="nil"/>
              <w:bottom w:val="single" w:sz="4" w:space="0" w:color="auto"/>
              <w:right w:val="single" w:sz="4" w:space="0" w:color="auto"/>
            </w:tcBorders>
            <w:shd w:val="clear" w:color="auto" w:fill="auto"/>
            <w:noWrap/>
            <w:vAlign w:val="bottom"/>
            <w:hideMark/>
          </w:tcPr>
          <w:p w14:paraId="752D0A47" w14:textId="77777777" w:rsidR="00171183" w:rsidRPr="00297BAD" w:rsidRDefault="00171183" w:rsidP="0042337C">
            <w:pPr>
              <w:pStyle w:val="StandaardSV"/>
            </w:pPr>
            <w:r w:rsidRPr="00297BAD">
              <w:t>60%</w:t>
            </w:r>
          </w:p>
        </w:tc>
        <w:tc>
          <w:tcPr>
            <w:tcW w:w="851" w:type="dxa"/>
            <w:tcBorders>
              <w:top w:val="nil"/>
              <w:left w:val="nil"/>
              <w:bottom w:val="single" w:sz="4" w:space="0" w:color="auto"/>
              <w:right w:val="single" w:sz="4" w:space="0" w:color="auto"/>
            </w:tcBorders>
            <w:shd w:val="clear" w:color="auto" w:fill="auto"/>
            <w:noWrap/>
            <w:vAlign w:val="bottom"/>
            <w:hideMark/>
          </w:tcPr>
          <w:p w14:paraId="5BF04E16" w14:textId="77777777" w:rsidR="00171183" w:rsidRPr="00297BAD" w:rsidRDefault="00171183" w:rsidP="0042337C">
            <w:pPr>
              <w:pStyle w:val="StandaardSV"/>
            </w:pPr>
            <w:r w:rsidRPr="00297BAD">
              <w:t>4867</w:t>
            </w:r>
          </w:p>
        </w:tc>
        <w:tc>
          <w:tcPr>
            <w:tcW w:w="709" w:type="dxa"/>
            <w:tcBorders>
              <w:top w:val="nil"/>
              <w:left w:val="nil"/>
              <w:bottom w:val="single" w:sz="4" w:space="0" w:color="auto"/>
              <w:right w:val="single" w:sz="4" w:space="0" w:color="auto"/>
            </w:tcBorders>
            <w:shd w:val="clear" w:color="auto" w:fill="auto"/>
            <w:noWrap/>
            <w:vAlign w:val="bottom"/>
            <w:hideMark/>
          </w:tcPr>
          <w:p w14:paraId="2CF08B6B" w14:textId="77777777" w:rsidR="00171183" w:rsidRPr="00297BAD" w:rsidRDefault="00171183" w:rsidP="0042337C">
            <w:pPr>
              <w:pStyle w:val="StandaardSV"/>
            </w:pPr>
            <w:r w:rsidRPr="00297BAD">
              <w:t>60%</w:t>
            </w:r>
          </w:p>
        </w:tc>
        <w:tc>
          <w:tcPr>
            <w:tcW w:w="992" w:type="dxa"/>
            <w:tcBorders>
              <w:top w:val="nil"/>
              <w:left w:val="nil"/>
              <w:bottom w:val="single" w:sz="4" w:space="0" w:color="auto"/>
              <w:right w:val="single" w:sz="4" w:space="0" w:color="auto"/>
            </w:tcBorders>
            <w:shd w:val="clear" w:color="auto" w:fill="auto"/>
            <w:noWrap/>
            <w:vAlign w:val="bottom"/>
            <w:hideMark/>
          </w:tcPr>
          <w:p w14:paraId="23215127" w14:textId="77777777" w:rsidR="00171183" w:rsidRPr="00297BAD" w:rsidRDefault="00171183" w:rsidP="0042337C">
            <w:pPr>
              <w:pStyle w:val="StandaardSV"/>
            </w:pPr>
            <w:r w:rsidRPr="00297BAD">
              <w:t>1207</w:t>
            </w:r>
          </w:p>
        </w:tc>
        <w:tc>
          <w:tcPr>
            <w:tcW w:w="709" w:type="dxa"/>
            <w:tcBorders>
              <w:top w:val="nil"/>
              <w:left w:val="nil"/>
              <w:bottom w:val="single" w:sz="4" w:space="0" w:color="auto"/>
              <w:right w:val="single" w:sz="4" w:space="0" w:color="auto"/>
            </w:tcBorders>
            <w:shd w:val="clear" w:color="auto" w:fill="auto"/>
            <w:noWrap/>
            <w:vAlign w:val="bottom"/>
            <w:hideMark/>
          </w:tcPr>
          <w:p w14:paraId="5033115F" w14:textId="77777777" w:rsidR="00171183" w:rsidRPr="00297BAD" w:rsidRDefault="00171183" w:rsidP="0042337C">
            <w:pPr>
              <w:pStyle w:val="StandaardSV"/>
              <w:rPr>
                <w:b/>
                <w:bCs/>
              </w:rPr>
            </w:pPr>
            <w:r w:rsidRPr="00297BAD">
              <w:rPr>
                <w:b/>
                <w:bCs/>
              </w:rPr>
              <w:t>44%</w:t>
            </w:r>
          </w:p>
        </w:tc>
      </w:tr>
      <w:tr w:rsidR="00171183" w:rsidRPr="00297BAD" w14:paraId="0A808C44"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24B1758"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25CB61BD" w14:textId="77777777" w:rsidR="00171183" w:rsidRPr="00297BAD" w:rsidRDefault="00171183" w:rsidP="0042337C">
            <w:pPr>
              <w:pStyle w:val="StandaardSV"/>
            </w:pPr>
            <w:r w:rsidRPr="00297BAD">
              <w:t>25-50 jaar</w:t>
            </w:r>
          </w:p>
        </w:tc>
        <w:tc>
          <w:tcPr>
            <w:tcW w:w="993" w:type="dxa"/>
            <w:tcBorders>
              <w:top w:val="nil"/>
              <w:left w:val="single" w:sz="4" w:space="0" w:color="auto"/>
              <w:bottom w:val="single" w:sz="4" w:space="0" w:color="auto"/>
              <w:right w:val="single" w:sz="4" w:space="0" w:color="auto"/>
            </w:tcBorders>
            <w:vAlign w:val="bottom"/>
          </w:tcPr>
          <w:p w14:paraId="0671502D" w14:textId="77777777" w:rsidR="00171183" w:rsidRPr="00297BAD" w:rsidRDefault="00171183" w:rsidP="0042337C">
            <w:pPr>
              <w:pStyle w:val="StandaardSV"/>
            </w:pPr>
            <w:r w:rsidRPr="00297BAD">
              <w:t>12.108</w:t>
            </w:r>
          </w:p>
        </w:tc>
        <w:tc>
          <w:tcPr>
            <w:tcW w:w="1134" w:type="dxa"/>
            <w:tcBorders>
              <w:top w:val="nil"/>
              <w:left w:val="single" w:sz="4" w:space="0" w:color="auto"/>
              <w:bottom w:val="single" w:sz="4" w:space="0" w:color="auto"/>
              <w:right w:val="single" w:sz="4" w:space="0" w:color="auto"/>
            </w:tcBorders>
            <w:vAlign w:val="bottom"/>
          </w:tcPr>
          <w:p w14:paraId="441D90E2" w14:textId="77777777" w:rsidR="00171183" w:rsidRPr="00297BAD" w:rsidRDefault="00171183" w:rsidP="0042337C">
            <w:pPr>
              <w:pStyle w:val="StandaardSV"/>
            </w:pPr>
            <w:r w:rsidRPr="00297BAD">
              <w:t>4.718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D4C1355" w14:textId="77777777" w:rsidR="00171183" w:rsidRPr="00297BAD" w:rsidRDefault="00171183" w:rsidP="0042337C">
            <w:pPr>
              <w:pStyle w:val="StandaardSV"/>
            </w:pPr>
            <w:r w:rsidRPr="00297BAD">
              <w:t>7733</w:t>
            </w:r>
          </w:p>
        </w:tc>
        <w:tc>
          <w:tcPr>
            <w:tcW w:w="850" w:type="dxa"/>
            <w:tcBorders>
              <w:top w:val="nil"/>
              <w:left w:val="nil"/>
              <w:bottom w:val="single" w:sz="4" w:space="0" w:color="auto"/>
              <w:right w:val="single" w:sz="4" w:space="0" w:color="auto"/>
            </w:tcBorders>
            <w:shd w:val="clear" w:color="auto" w:fill="auto"/>
            <w:noWrap/>
            <w:vAlign w:val="bottom"/>
            <w:hideMark/>
          </w:tcPr>
          <w:p w14:paraId="2A8E6691" w14:textId="77777777" w:rsidR="00171183" w:rsidRPr="00297BAD" w:rsidRDefault="00171183" w:rsidP="0042337C">
            <w:pPr>
              <w:pStyle w:val="StandaardSV"/>
            </w:pPr>
            <w:r w:rsidRPr="00297BAD">
              <w:t>64%</w:t>
            </w:r>
          </w:p>
        </w:tc>
        <w:tc>
          <w:tcPr>
            <w:tcW w:w="851" w:type="dxa"/>
            <w:tcBorders>
              <w:top w:val="nil"/>
              <w:left w:val="nil"/>
              <w:bottom w:val="single" w:sz="4" w:space="0" w:color="auto"/>
              <w:right w:val="single" w:sz="4" w:space="0" w:color="auto"/>
            </w:tcBorders>
            <w:shd w:val="clear" w:color="auto" w:fill="auto"/>
            <w:noWrap/>
            <w:vAlign w:val="bottom"/>
            <w:hideMark/>
          </w:tcPr>
          <w:p w14:paraId="3401957A" w14:textId="77777777" w:rsidR="00171183" w:rsidRPr="00297BAD" w:rsidRDefault="00171183" w:rsidP="0042337C">
            <w:pPr>
              <w:pStyle w:val="StandaardSV"/>
            </w:pPr>
            <w:r w:rsidRPr="00297BAD">
              <w:t>2821</w:t>
            </w:r>
          </w:p>
        </w:tc>
        <w:tc>
          <w:tcPr>
            <w:tcW w:w="850" w:type="dxa"/>
            <w:tcBorders>
              <w:top w:val="nil"/>
              <w:left w:val="nil"/>
              <w:bottom w:val="single" w:sz="4" w:space="0" w:color="auto"/>
              <w:right w:val="single" w:sz="4" w:space="0" w:color="auto"/>
            </w:tcBorders>
            <w:shd w:val="clear" w:color="auto" w:fill="auto"/>
            <w:noWrap/>
            <w:vAlign w:val="bottom"/>
            <w:hideMark/>
          </w:tcPr>
          <w:p w14:paraId="3BD04A21" w14:textId="77777777" w:rsidR="00171183" w:rsidRPr="00297BAD" w:rsidRDefault="00171183" w:rsidP="0042337C">
            <w:pPr>
              <w:pStyle w:val="StandaardSV"/>
            </w:pPr>
            <w:r w:rsidRPr="00297BAD">
              <w:t>60%</w:t>
            </w:r>
          </w:p>
        </w:tc>
        <w:tc>
          <w:tcPr>
            <w:tcW w:w="851" w:type="dxa"/>
            <w:tcBorders>
              <w:top w:val="nil"/>
              <w:left w:val="nil"/>
              <w:bottom w:val="single" w:sz="4" w:space="0" w:color="auto"/>
              <w:right w:val="single" w:sz="4" w:space="0" w:color="auto"/>
            </w:tcBorders>
            <w:shd w:val="clear" w:color="auto" w:fill="auto"/>
            <w:noWrap/>
            <w:vAlign w:val="bottom"/>
            <w:hideMark/>
          </w:tcPr>
          <w:p w14:paraId="40B8A18A" w14:textId="77777777" w:rsidR="00171183" w:rsidRPr="00297BAD" w:rsidRDefault="00171183" w:rsidP="0042337C">
            <w:pPr>
              <w:pStyle w:val="StandaardSV"/>
            </w:pPr>
            <w:r w:rsidRPr="00297BAD">
              <w:t>6083</w:t>
            </w:r>
          </w:p>
        </w:tc>
        <w:tc>
          <w:tcPr>
            <w:tcW w:w="709" w:type="dxa"/>
            <w:tcBorders>
              <w:top w:val="nil"/>
              <w:left w:val="nil"/>
              <w:bottom w:val="single" w:sz="4" w:space="0" w:color="auto"/>
              <w:right w:val="single" w:sz="4" w:space="0" w:color="auto"/>
            </w:tcBorders>
            <w:shd w:val="clear" w:color="auto" w:fill="auto"/>
            <w:noWrap/>
            <w:vAlign w:val="bottom"/>
            <w:hideMark/>
          </w:tcPr>
          <w:p w14:paraId="061A04E7" w14:textId="77777777" w:rsidR="00171183" w:rsidRPr="00297BAD" w:rsidRDefault="00171183" w:rsidP="0042337C">
            <w:pPr>
              <w:pStyle w:val="StandaardSV"/>
            </w:pPr>
            <w:r w:rsidRPr="00297BAD">
              <w:t>50%</w:t>
            </w:r>
          </w:p>
        </w:tc>
        <w:tc>
          <w:tcPr>
            <w:tcW w:w="992" w:type="dxa"/>
            <w:tcBorders>
              <w:top w:val="nil"/>
              <w:left w:val="nil"/>
              <w:bottom w:val="single" w:sz="4" w:space="0" w:color="auto"/>
              <w:right w:val="single" w:sz="4" w:space="0" w:color="auto"/>
            </w:tcBorders>
            <w:shd w:val="clear" w:color="auto" w:fill="auto"/>
            <w:noWrap/>
            <w:vAlign w:val="bottom"/>
            <w:hideMark/>
          </w:tcPr>
          <w:p w14:paraId="2F3AB642" w14:textId="77777777" w:rsidR="00171183" w:rsidRPr="00297BAD" w:rsidRDefault="00171183" w:rsidP="0042337C">
            <w:pPr>
              <w:pStyle w:val="StandaardSV"/>
            </w:pPr>
            <w:r w:rsidRPr="00297BAD">
              <w:t>2059</w:t>
            </w:r>
          </w:p>
        </w:tc>
        <w:tc>
          <w:tcPr>
            <w:tcW w:w="709" w:type="dxa"/>
            <w:tcBorders>
              <w:top w:val="nil"/>
              <w:left w:val="nil"/>
              <w:bottom w:val="single" w:sz="4" w:space="0" w:color="auto"/>
              <w:right w:val="single" w:sz="4" w:space="0" w:color="auto"/>
            </w:tcBorders>
            <w:shd w:val="clear" w:color="auto" w:fill="auto"/>
            <w:noWrap/>
            <w:vAlign w:val="bottom"/>
            <w:hideMark/>
          </w:tcPr>
          <w:p w14:paraId="7A6EDF7C" w14:textId="77777777" w:rsidR="00171183" w:rsidRPr="00297BAD" w:rsidRDefault="00171183" w:rsidP="0042337C">
            <w:pPr>
              <w:pStyle w:val="StandaardSV"/>
              <w:rPr>
                <w:b/>
                <w:bCs/>
              </w:rPr>
            </w:pPr>
            <w:r w:rsidRPr="00297BAD">
              <w:rPr>
                <w:b/>
                <w:bCs/>
              </w:rPr>
              <w:t>44%</w:t>
            </w:r>
          </w:p>
        </w:tc>
      </w:tr>
      <w:tr w:rsidR="00171183" w:rsidRPr="00297BAD" w14:paraId="05A36FB7"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91B5B1"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70F4087C" w14:textId="77777777" w:rsidR="00171183" w:rsidRPr="00297BAD" w:rsidRDefault="00171183" w:rsidP="0042337C">
            <w:pPr>
              <w:pStyle w:val="StandaardSV"/>
            </w:pPr>
            <w:r w:rsidRPr="00297BAD">
              <w:t>+50 jaar</w:t>
            </w:r>
          </w:p>
        </w:tc>
        <w:tc>
          <w:tcPr>
            <w:tcW w:w="993" w:type="dxa"/>
            <w:tcBorders>
              <w:top w:val="nil"/>
              <w:left w:val="single" w:sz="4" w:space="0" w:color="auto"/>
              <w:bottom w:val="single" w:sz="4" w:space="0" w:color="auto"/>
              <w:right w:val="single" w:sz="4" w:space="0" w:color="auto"/>
            </w:tcBorders>
            <w:vAlign w:val="bottom"/>
          </w:tcPr>
          <w:p w14:paraId="5CF67E4C" w14:textId="77777777" w:rsidR="00171183" w:rsidRPr="00297BAD" w:rsidRDefault="00171183" w:rsidP="0042337C">
            <w:pPr>
              <w:pStyle w:val="StandaardSV"/>
            </w:pPr>
            <w:r w:rsidRPr="00297BAD">
              <w:t>1.972</w:t>
            </w:r>
          </w:p>
        </w:tc>
        <w:tc>
          <w:tcPr>
            <w:tcW w:w="1134" w:type="dxa"/>
            <w:tcBorders>
              <w:top w:val="nil"/>
              <w:left w:val="single" w:sz="4" w:space="0" w:color="auto"/>
              <w:bottom w:val="single" w:sz="4" w:space="0" w:color="auto"/>
              <w:right w:val="single" w:sz="4" w:space="0" w:color="auto"/>
            </w:tcBorders>
            <w:vAlign w:val="bottom"/>
          </w:tcPr>
          <w:p w14:paraId="77581BB9" w14:textId="77777777" w:rsidR="00171183" w:rsidRPr="00297BAD" w:rsidRDefault="00171183" w:rsidP="0042337C">
            <w:pPr>
              <w:pStyle w:val="StandaardSV"/>
            </w:pPr>
            <w:r w:rsidRPr="00297BAD">
              <w:t>1.011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A2C7A8D" w14:textId="77777777" w:rsidR="00171183" w:rsidRPr="00297BAD" w:rsidRDefault="00171183" w:rsidP="0042337C">
            <w:pPr>
              <w:pStyle w:val="StandaardSV"/>
            </w:pPr>
            <w:r w:rsidRPr="00297BAD">
              <w:t>1068</w:t>
            </w:r>
          </w:p>
        </w:tc>
        <w:tc>
          <w:tcPr>
            <w:tcW w:w="850" w:type="dxa"/>
            <w:tcBorders>
              <w:top w:val="nil"/>
              <w:left w:val="nil"/>
              <w:bottom w:val="single" w:sz="4" w:space="0" w:color="auto"/>
              <w:right w:val="single" w:sz="4" w:space="0" w:color="auto"/>
            </w:tcBorders>
            <w:shd w:val="clear" w:color="auto" w:fill="auto"/>
            <w:noWrap/>
            <w:vAlign w:val="bottom"/>
            <w:hideMark/>
          </w:tcPr>
          <w:p w14:paraId="67662DE4" w14:textId="77777777" w:rsidR="00171183" w:rsidRPr="00297BAD" w:rsidRDefault="00171183" w:rsidP="0042337C">
            <w:pPr>
              <w:pStyle w:val="StandaardSV"/>
            </w:pPr>
            <w:r w:rsidRPr="00297BAD">
              <w:t>54%</w:t>
            </w:r>
          </w:p>
        </w:tc>
        <w:tc>
          <w:tcPr>
            <w:tcW w:w="851" w:type="dxa"/>
            <w:tcBorders>
              <w:top w:val="nil"/>
              <w:left w:val="nil"/>
              <w:bottom w:val="single" w:sz="4" w:space="0" w:color="auto"/>
              <w:right w:val="single" w:sz="4" w:space="0" w:color="auto"/>
            </w:tcBorders>
            <w:shd w:val="clear" w:color="auto" w:fill="auto"/>
            <w:noWrap/>
            <w:vAlign w:val="bottom"/>
            <w:hideMark/>
          </w:tcPr>
          <w:p w14:paraId="55FB6648" w14:textId="77777777" w:rsidR="00171183" w:rsidRPr="00297BAD" w:rsidRDefault="00171183" w:rsidP="0042337C">
            <w:pPr>
              <w:pStyle w:val="StandaardSV"/>
            </w:pPr>
            <w:r w:rsidRPr="00297BAD">
              <w:t>531</w:t>
            </w:r>
          </w:p>
        </w:tc>
        <w:tc>
          <w:tcPr>
            <w:tcW w:w="850" w:type="dxa"/>
            <w:tcBorders>
              <w:top w:val="nil"/>
              <w:left w:val="nil"/>
              <w:bottom w:val="single" w:sz="4" w:space="0" w:color="auto"/>
              <w:right w:val="single" w:sz="4" w:space="0" w:color="auto"/>
            </w:tcBorders>
            <w:shd w:val="clear" w:color="auto" w:fill="auto"/>
            <w:noWrap/>
            <w:vAlign w:val="bottom"/>
            <w:hideMark/>
          </w:tcPr>
          <w:p w14:paraId="288FCBEC" w14:textId="77777777" w:rsidR="00171183" w:rsidRPr="00297BAD" w:rsidRDefault="00171183" w:rsidP="0042337C">
            <w:pPr>
              <w:pStyle w:val="StandaardSV"/>
            </w:pPr>
            <w:r w:rsidRPr="00297BAD">
              <w:t>53%</w:t>
            </w:r>
          </w:p>
        </w:tc>
        <w:tc>
          <w:tcPr>
            <w:tcW w:w="851" w:type="dxa"/>
            <w:tcBorders>
              <w:top w:val="nil"/>
              <w:left w:val="nil"/>
              <w:bottom w:val="single" w:sz="4" w:space="0" w:color="auto"/>
              <w:right w:val="single" w:sz="4" w:space="0" w:color="auto"/>
            </w:tcBorders>
            <w:shd w:val="clear" w:color="auto" w:fill="auto"/>
            <w:noWrap/>
            <w:vAlign w:val="bottom"/>
            <w:hideMark/>
          </w:tcPr>
          <w:p w14:paraId="2F8EE890" w14:textId="77777777" w:rsidR="00171183" w:rsidRPr="00297BAD" w:rsidRDefault="00171183" w:rsidP="0042337C">
            <w:pPr>
              <w:pStyle w:val="StandaardSV"/>
            </w:pPr>
            <w:r w:rsidRPr="00297BAD">
              <w:t>641</w:t>
            </w:r>
          </w:p>
        </w:tc>
        <w:tc>
          <w:tcPr>
            <w:tcW w:w="709" w:type="dxa"/>
            <w:tcBorders>
              <w:top w:val="nil"/>
              <w:left w:val="nil"/>
              <w:bottom w:val="single" w:sz="4" w:space="0" w:color="auto"/>
              <w:right w:val="single" w:sz="4" w:space="0" w:color="auto"/>
            </w:tcBorders>
            <w:shd w:val="clear" w:color="auto" w:fill="auto"/>
            <w:noWrap/>
            <w:vAlign w:val="bottom"/>
            <w:hideMark/>
          </w:tcPr>
          <w:p w14:paraId="187CAF43" w14:textId="77777777" w:rsidR="00171183" w:rsidRPr="00297BAD" w:rsidRDefault="00171183" w:rsidP="0042337C">
            <w:pPr>
              <w:pStyle w:val="StandaardSV"/>
            </w:pPr>
            <w:r w:rsidRPr="00297BAD">
              <w:t>33%</w:t>
            </w:r>
          </w:p>
        </w:tc>
        <w:tc>
          <w:tcPr>
            <w:tcW w:w="992" w:type="dxa"/>
            <w:tcBorders>
              <w:top w:val="nil"/>
              <w:left w:val="nil"/>
              <w:bottom w:val="single" w:sz="4" w:space="0" w:color="auto"/>
              <w:right w:val="single" w:sz="4" w:space="0" w:color="auto"/>
            </w:tcBorders>
            <w:shd w:val="clear" w:color="auto" w:fill="auto"/>
            <w:noWrap/>
            <w:vAlign w:val="bottom"/>
            <w:hideMark/>
          </w:tcPr>
          <w:p w14:paraId="025C53BE" w14:textId="77777777" w:rsidR="00171183" w:rsidRPr="00297BAD" w:rsidRDefault="00171183" w:rsidP="0042337C">
            <w:pPr>
              <w:pStyle w:val="StandaardSV"/>
            </w:pPr>
            <w:r w:rsidRPr="00297BAD">
              <w:t>303</w:t>
            </w:r>
          </w:p>
        </w:tc>
        <w:tc>
          <w:tcPr>
            <w:tcW w:w="709" w:type="dxa"/>
            <w:tcBorders>
              <w:top w:val="nil"/>
              <w:left w:val="nil"/>
              <w:bottom w:val="single" w:sz="4" w:space="0" w:color="auto"/>
              <w:right w:val="single" w:sz="4" w:space="0" w:color="auto"/>
            </w:tcBorders>
            <w:shd w:val="clear" w:color="auto" w:fill="auto"/>
            <w:noWrap/>
            <w:vAlign w:val="bottom"/>
            <w:hideMark/>
          </w:tcPr>
          <w:p w14:paraId="2B054E8E" w14:textId="77777777" w:rsidR="00171183" w:rsidRPr="00297BAD" w:rsidRDefault="00171183" w:rsidP="0042337C">
            <w:pPr>
              <w:pStyle w:val="StandaardSV"/>
              <w:rPr>
                <w:b/>
                <w:bCs/>
              </w:rPr>
            </w:pPr>
            <w:r w:rsidRPr="00297BAD">
              <w:rPr>
                <w:b/>
                <w:bCs/>
              </w:rPr>
              <w:t>30%</w:t>
            </w:r>
          </w:p>
        </w:tc>
      </w:tr>
      <w:tr w:rsidR="00171183" w:rsidRPr="00297BAD" w14:paraId="6CC0F1B1"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016697"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52C9A804" w14:textId="77777777" w:rsidR="00171183" w:rsidRPr="00297BAD" w:rsidRDefault="00171183" w:rsidP="0042337C">
            <w:pPr>
              <w:pStyle w:val="StandaardSV"/>
              <w:rPr>
                <w:b/>
              </w:rPr>
            </w:pPr>
            <w:r w:rsidRPr="00297BAD">
              <w:rPr>
                <w:b/>
              </w:rPr>
              <w:t>Totaal</w:t>
            </w:r>
          </w:p>
        </w:tc>
        <w:tc>
          <w:tcPr>
            <w:tcW w:w="993" w:type="dxa"/>
            <w:tcBorders>
              <w:top w:val="nil"/>
              <w:left w:val="single" w:sz="4" w:space="0" w:color="auto"/>
              <w:bottom w:val="single" w:sz="4" w:space="0" w:color="auto"/>
              <w:right w:val="single" w:sz="4" w:space="0" w:color="auto"/>
            </w:tcBorders>
            <w:vAlign w:val="bottom"/>
          </w:tcPr>
          <w:p w14:paraId="1D3F7048" w14:textId="77777777" w:rsidR="00171183" w:rsidRPr="00297BAD" w:rsidRDefault="00171183" w:rsidP="0042337C">
            <w:pPr>
              <w:pStyle w:val="StandaardSV"/>
              <w:rPr>
                <w:b/>
              </w:rPr>
            </w:pPr>
            <w:r w:rsidRPr="00297BAD">
              <w:rPr>
                <w:b/>
              </w:rPr>
              <w:t>22.190</w:t>
            </w:r>
          </w:p>
        </w:tc>
        <w:tc>
          <w:tcPr>
            <w:tcW w:w="1134" w:type="dxa"/>
            <w:tcBorders>
              <w:top w:val="nil"/>
              <w:left w:val="single" w:sz="4" w:space="0" w:color="auto"/>
              <w:bottom w:val="single" w:sz="4" w:space="0" w:color="auto"/>
              <w:right w:val="single" w:sz="4" w:space="0" w:color="auto"/>
            </w:tcBorders>
            <w:vAlign w:val="bottom"/>
          </w:tcPr>
          <w:p w14:paraId="25C330EE" w14:textId="77777777" w:rsidR="00171183" w:rsidRPr="00297BAD" w:rsidRDefault="00171183" w:rsidP="0042337C">
            <w:pPr>
              <w:pStyle w:val="StandaardSV"/>
              <w:rPr>
                <w:b/>
              </w:rPr>
            </w:pPr>
            <w:r w:rsidRPr="00297BAD">
              <w:rPr>
                <w:b/>
              </w:rPr>
              <w:t>8.464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C38EBD5" w14:textId="77777777" w:rsidR="00171183" w:rsidRPr="00297BAD" w:rsidRDefault="00171183" w:rsidP="0042337C">
            <w:pPr>
              <w:pStyle w:val="StandaardSV"/>
            </w:pPr>
            <w:r w:rsidRPr="00297BAD">
              <w:t>14773</w:t>
            </w:r>
          </w:p>
        </w:tc>
        <w:tc>
          <w:tcPr>
            <w:tcW w:w="850" w:type="dxa"/>
            <w:tcBorders>
              <w:top w:val="nil"/>
              <w:left w:val="nil"/>
              <w:bottom w:val="single" w:sz="4" w:space="0" w:color="auto"/>
              <w:right w:val="single" w:sz="4" w:space="0" w:color="auto"/>
            </w:tcBorders>
            <w:shd w:val="clear" w:color="auto" w:fill="auto"/>
            <w:noWrap/>
            <w:vAlign w:val="bottom"/>
            <w:hideMark/>
          </w:tcPr>
          <w:p w14:paraId="3EBC2E42" w14:textId="77777777" w:rsidR="00171183" w:rsidRPr="00297BAD" w:rsidRDefault="00171183" w:rsidP="0042337C">
            <w:pPr>
              <w:pStyle w:val="StandaardSV"/>
              <w:rPr>
                <w:b/>
                <w:bCs/>
              </w:rPr>
            </w:pPr>
            <w:r w:rsidRPr="00297BAD">
              <w:rPr>
                <w:b/>
                <w:bCs/>
              </w:rPr>
              <w:t>67%</w:t>
            </w:r>
          </w:p>
        </w:tc>
        <w:tc>
          <w:tcPr>
            <w:tcW w:w="851" w:type="dxa"/>
            <w:tcBorders>
              <w:top w:val="nil"/>
              <w:left w:val="nil"/>
              <w:bottom w:val="single" w:sz="4" w:space="0" w:color="auto"/>
              <w:right w:val="single" w:sz="4" w:space="0" w:color="auto"/>
            </w:tcBorders>
            <w:shd w:val="clear" w:color="auto" w:fill="auto"/>
            <w:noWrap/>
            <w:vAlign w:val="bottom"/>
            <w:hideMark/>
          </w:tcPr>
          <w:p w14:paraId="544778AF" w14:textId="77777777" w:rsidR="00171183" w:rsidRPr="00297BAD" w:rsidRDefault="00171183" w:rsidP="0042337C">
            <w:pPr>
              <w:pStyle w:val="StandaardSV"/>
            </w:pPr>
            <w:r w:rsidRPr="00297BAD">
              <w:t>4987</w:t>
            </w:r>
          </w:p>
        </w:tc>
        <w:tc>
          <w:tcPr>
            <w:tcW w:w="850" w:type="dxa"/>
            <w:tcBorders>
              <w:top w:val="nil"/>
              <w:left w:val="nil"/>
              <w:bottom w:val="single" w:sz="4" w:space="0" w:color="auto"/>
              <w:right w:val="single" w:sz="4" w:space="0" w:color="auto"/>
            </w:tcBorders>
            <w:shd w:val="clear" w:color="auto" w:fill="auto"/>
            <w:noWrap/>
            <w:vAlign w:val="bottom"/>
            <w:hideMark/>
          </w:tcPr>
          <w:p w14:paraId="54EDC231" w14:textId="77777777" w:rsidR="00171183" w:rsidRPr="00297BAD" w:rsidRDefault="00171183" w:rsidP="0042337C">
            <w:pPr>
              <w:pStyle w:val="StandaardSV"/>
              <w:rPr>
                <w:b/>
                <w:bCs/>
              </w:rPr>
            </w:pPr>
            <w:r w:rsidRPr="00297BAD">
              <w:rPr>
                <w:b/>
                <w:bCs/>
              </w:rPr>
              <w:t>59%</w:t>
            </w:r>
          </w:p>
        </w:tc>
        <w:tc>
          <w:tcPr>
            <w:tcW w:w="851" w:type="dxa"/>
            <w:tcBorders>
              <w:top w:val="nil"/>
              <w:left w:val="nil"/>
              <w:bottom w:val="single" w:sz="4" w:space="0" w:color="auto"/>
              <w:right w:val="single" w:sz="4" w:space="0" w:color="auto"/>
            </w:tcBorders>
            <w:shd w:val="clear" w:color="auto" w:fill="auto"/>
            <w:noWrap/>
            <w:vAlign w:val="bottom"/>
            <w:hideMark/>
          </w:tcPr>
          <w:p w14:paraId="403FABDD" w14:textId="77777777" w:rsidR="00171183" w:rsidRPr="00297BAD" w:rsidRDefault="00171183" w:rsidP="0042337C">
            <w:pPr>
              <w:pStyle w:val="StandaardSV"/>
            </w:pPr>
            <w:r w:rsidRPr="00297BAD">
              <w:t>11592</w:t>
            </w:r>
          </w:p>
        </w:tc>
        <w:tc>
          <w:tcPr>
            <w:tcW w:w="709" w:type="dxa"/>
            <w:tcBorders>
              <w:top w:val="nil"/>
              <w:left w:val="nil"/>
              <w:bottom w:val="single" w:sz="4" w:space="0" w:color="auto"/>
              <w:right w:val="single" w:sz="4" w:space="0" w:color="auto"/>
            </w:tcBorders>
            <w:shd w:val="clear" w:color="auto" w:fill="auto"/>
            <w:noWrap/>
            <w:vAlign w:val="bottom"/>
            <w:hideMark/>
          </w:tcPr>
          <w:p w14:paraId="65B123DC" w14:textId="77777777" w:rsidR="00171183" w:rsidRPr="00297BAD" w:rsidRDefault="00171183" w:rsidP="0042337C">
            <w:pPr>
              <w:pStyle w:val="StandaardSV"/>
              <w:rPr>
                <w:b/>
                <w:bCs/>
              </w:rPr>
            </w:pPr>
            <w:r w:rsidRPr="00297BAD">
              <w:rPr>
                <w:b/>
                <w:bCs/>
              </w:rPr>
              <w:t>52%</w:t>
            </w:r>
          </w:p>
        </w:tc>
        <w:tc>
          <w:tcPr>
            <w:tcW w:w="992" w:type="dxa"/>
            <w:tcBorders>
              <w:top w:val="nil"/>
              <w:left w:val="nil"/>
              <w:bottom w:val="single" w:sz="4" w:space="0" w:color="auto"/>
              <w:right w:val="single" w:sz="4" w:space="0" w:color="auto"/>
            </w:tcBorders>
            <w:shd w:val="clear" w:color="auto" w:fill="auto"/>
            <w:noWrap/>
            <w:vAlign w:val="bottom"/>
            <w:hideMark/>
          </w:tcPr>
          <w:p w14:paraId="57B9A24F" w14:textId="77777777" w:rsidR="00171183" w:rsidRPr="00297BAD" w:rsidRDefault="00171183" w:rsidP="0042337C">
            <w:pPr>
              <w:pStyle w:val="StandaardSV"/>
            </w:pPr>
            <w:r w:rsidRPr="00297BAD">
              <w:t>3569</w:t>
            </w:r>
          </w:p>
        </w:tc>
        <w:tc>
          <w:tcPr>
            <w:tcW w:w="709" w:type="dxa"/>
            <w:tcBorders>
              <w:top w:val="nil"/>
              <w:left w:val="nil"/>
              <w:bottom w:val="single" w:sz="4" w:space="0" w:color="auto"/>
              <w:right w:val="single" w:sz="4" w:space="0" w:color="auto"/>
            </w:tcBorders>
            <w:shd w:val="clear" w:color="auto" w:fill="auto"/>
            <w:noWrap/>
            <w:vAlign w:val="bottom"/>
            <w:hideMark/>
          </w:tcPr>
          <w:p w14:paraId="0794A66A" w14:textId="77777777" w:rsidR="00171183" w:rsidRPr="00297BAD" w:rsidRDefault="00171183" w:rsidP="0042337C">
            <w:pPr>
              <w:pStyle w:val="StandaardSV"/>
              <w:rPr>
                <w:b/>
                <w:bCs/>
              </w:rPr>
            </w:pPr>
            <w:r w:rsidRPr="00297BAD">
              <w:rPr>
                <w:b/>
                <w:bCs/>
              </w:rPr>
              <w:t>42%</w:t>
            </w:r>
          </w:p>
        </w:tc>
      </w:tr>
      <w:tr w:rsidR="00171183" w:rsidRPr="00297BAD" w14:paraId="7F7DA0AC"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105148D" w14:textId="77777777" w:rsidR="00171183" w:rsidRPr="00297BAD" w:rsidRDefault="00171183" w:rsidP="0042337C">
            <w:pPr>
              <w:pStyle w:val="StandaardSV"/>
            </w:pPr>
            <w:r w:rsidRPr="00297BAD">
              <w:t>2010</w:t>
            </w:r>
          </w:p>
        </w:tc>
        <w:tc>
          <w:tcPr>
            <w:tcW w:w="1134" w:type="dxa"/>
            <w:tcBorders>
              <w:top w:val="single" w:sz="4" w:space="0" w:color="auto"/>
              <w:left w:val="nil"/>
              <w:bottom w:val="single" w:sz="4" w:space="0" w:color="auto"/>
              <w:right w:val="single" w:sz="4" w:space="0" w:color="auto"/>
            </w:tcBorders>
            <w:vAlign w:val="bottom"/>
          </w:tcPr>
          <w:p w14:paraId="7AF24BCC" w14:textId="77777777" w:rsidR="00171183" w:rsidRPr="00297BAD" w:rsidRDefault="00171183" w:rsidP="0042337C">
            <w:pPr>
              <w:pStyle w:val="StandaardSV"/>
            </w:pPr>
            <w:r w:rsidRPr="00297BAD">
              <w:t>-25 jaar</w:t>
            </w:r>
          </w:p>
        </w:tc>
        <w:tc>
          <w:tcPr>
            <w:tcW w:w="993" w:type="dxa"/>
            <w:tcBorders>
              <w:top w:val="nil"/>
              <w:left w:val="single" w:sz="4" w:space="0" w:color="auto"/>
              <w:bottom w:val="single" w:sz="4" w:space="0" w:color="auto"/>
              <w:right w:val="single" w:sz="4" w:space="0" w:color="auto"/>
            </w:tcBorders>
            <w:vAlign w:val="bottom"/>
          </w:tcPr>
          <w:p w14:paraId="3C52C480" w14:textId="77777777" w:rsidR="00171183" w:rsidRPr="00297BAD" w:rsidRDefault="00171183" w:rsidP="0042337C">
            <w:pPr>
              <w:pStyle w:val="StandaardSV"/>
            </w:pPr>
            <w:r w:rsidRPr="00297BAD">
              <w:t>7.631</w:t>
            </w:r>
          </w:p>
        </w:tc>
        <w:tc>
          <w:tcPr>
            <w:tcW w:w="1134" w:type="dxa"/>
            <w:tcBorders>
              <w:top w:val="nil"/>
              <w:left w:val="single" w:sz="4" w:space="0" w:color="auto"/>
              <w:bottom w:val="single" w:sz="4" w:space="0" w:color="auto"/>
              <w:right w:val="single" w:sz="4" w:space="0" w:color="auto"/>
            </w:tcBorders>
            <w:vAlign w:val="bottom"/>
          </w:tcPr>
          <w:p w14:paraId="4E4931D9" w14:textId="77777777" w:rsidR="00171183" w:rsidRPr="00297BAD" w:rsidRDefault="00171183" w:rsidP="0042337C">
            <w:pPr>
              <w:pStyle w:val="StandaardSV"/>
            </w:pPr>
            <w:r w:rsidRPr="00297BAD">
              <w:t>2.579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90A3961" w14:textId="77777777" w:rsidR="00171183" w:rsidRPr="00297BAD" w:rsidRDefault="00171183" w:rsidP="0042337C">
            <w:pPr>
              <w:pStyle w:val="StandaardSV"/>
            </w:pPr>
            <w:r w:rsidRPr="00297BAD">
              <w:t>5.847</w:t>
            </w:r>
          </w:p>
        </w:tc>
        <w:tc>
          <w:tcPr>
            <w:tcW w:w="850" w:type="dxa"/>
            <w:tcBorders>
              <w:top w:val="nil"/>
              <w:left w:val="nil"/>
              <w:bottom w:val="single" w:sz="4" w:space="0" w:color="auto"/>
              <w:right w:val="single" w:sz="4" w:space="0" w:color="auto"/>
            </w:tcBorders>
            <w:shd w:val="clear" w:color="auto" w:fill="auto"/>
            <w:noWrap/>
            <w:vAlign w:val="bottom"/>
            <w:hideMark/>
          </w:tcPr>
          <w:p w14:paraId="48483F7D" w14:textId="77777777" w:rsidR="00171183" w:rsidRPr="00297BAD" w:rsidRDefault="00171183" w:rsidP="0042337C">
            <w:pPr>
              <w:pStyle w:val="StandaardSV"/>
            </w:pPr>
            <w:r w:rsidRPr="00297BAD">
              <w:t>77%</w:t>
            </w:r>
          </w:p>
        </w:tc>
        <w:tc>
          <w:tcPr>
            <w:tcW w:w="851" w:type="dxa"/>
            <w:tcBorders>
              <w:top w:val="nil"/>
              <w:left w:val="nil"/>
              <w:bottom w:val="single" w:sz="4" w:space="0" w:color="auto"/>
              <w:right w:val="single" w:sz="4" w:space="0" w:color="auto"/>
            </w:tcBorders>
            <w:shd w:val="clear" w:color="auto" w:fill="auto"/>
            <w:noWrap/>
            <w:vAlign w:val="bottom"/>
            <w:hideMark/>
          </w:tcPr>
          <w:p w14:paraId="16B884EA" w14:textId="77777777" w:rsidR="00171183" w:rsidRPr="00297BAD" w:rsidRDefault="00171183" w:rsidP="0042337C">
            <w:pPr>
              <w:pStyle w:val="StandaardSV"/>
            </w:pPr>
            <w:r w:rsidRPr="00297BAD">
              <w:t>1.649</w:t>
            </w:r>
          </w:p>
        </w:tc>
        <w:tc>
          <w:tcPr>
            <w:tcW w:w="850" w:type="dxa"/>
            <w:tcBorders>
              <w:top w:val="nil"/>
              <w:left w:val="nil"/>
              <w:bottom w:val="single" w:sz="4" w:space="0" w:color="auto"/>
              <w:right w:val="single" w:sz="4" w:space="0" w:color="auto"/>
            </w:tcBorders>
            <w:shd w:val="clear" w:color="auto" w:fill="auto"/>
            <w:noWrap/>
            <w:vAlign w:val="bottom"/>
            <w:hideMark/>
          </w:tcPr>
          <w:p w14:paraId="3FCFCB11" w14:textId="77777777" w:rsidR="00171183" w:rsidRPr="00297BAD" w:rsidRDefault="00171183" w:rsidP="0042337C">
            <w:pPr>
              <w:pStyle w:val="StandaardSV"/>
            </w:pPr>
            <w:r w:rsidRPr="00297BAD">
              <w:t>64%</w:t>
            </w:r>
          </w:p>
        </w:tc>
        <w:tc>
          <w:tcPr>
            <w:tcW w:w="851" w:type="dxa"/>
            <w:tcBorders>
              <w:top w:val="nil"/>
              <w:left w:val="nil"/>
              <w:bottom w:val="single" w:sz="4" w:space="0" w:color="auto"/>
              <w:right w:val="single" w:sz="4" w:space="0" w:color="auto"/>
            </w:tcBorders>
            <w:shd w:val="clear" w:color="auto" w:fill="auto"/>
            <w:noWrap/>
            <w:vAlign w:val="bottom"/>
            <w:hideMark/>
          </w:tcPr>
          <w:p w14:paraId="21AE1EA6" w14:textId="77777777" w:rsidR="00171183" w:rsidRPr="00297BAD" w:rsidRDefault="00171183" w:rsidP="0042337C">
            <w:pPr>
              <w:pStyle w:val="StandaardSV"/>
            </w:pPr>
            <w:r w:rsidRPr="00297BAD">
              <w:t>4.827</w:t>
            </w:r>
          </w:p>
        </w:tc>
        <w:tc>
          <w:tcPr>
            <w:tcW w:w="709" w:type="dxa"/>
            <w:tcBorders>
              <w:top w:val="nil"/>
              <w:left w:val="nil"/>
              <w:bottom w:val="single" w:sz="4" w:space="0" w:color="auto"/>
              <w:right w:val="single" w:sz="4" w:space="0" w:color="auto"/>
            </w:tcBorders>
            <w:shd w:val="clear" w:color="auto" w:fill="auto"/>
            <w:noWrap/>
            <w:vAlign w:val="bottom"/>
            <w:hideMark/>
          </w:tcPr>
          <w:p w14:paraId="2FDA871E" w14:textId="77777777" w:rsidR="00171183" w:rsidRPr="00297BAD" w:rsidRDefault="00171183" w:rsidP="0042337C">
            <w:pPr>
              <w:pStyle w:val="StandaardSV"/>
            </w:pPr>
            <w:r w:rsidRPr="00297BAD">
              <w:t>63%</w:t>
            </w:r>
          </w:p>
        </w:tc>
        <w:tc>
          <w:tcPr>
            <w:tcW w:w="992" w:type="dxa"/>
            <w:tcBorders>
              <w:top w:val="nil"/>
              <w:left w:val="nil"/>
              <w:bottom w:val="single" w:sz="4" w:space="0" w:color="auto"/>
              <w:right w:val="single" w:sz="4" w:space="0" w:color="auto"/>
            </w:tcBorders>
            <w:shd w:val="clear" w:color="auto" w:fill="auto"/>
            <w:noWrap/>
            <w:vAlign w:val="bottom"/>
            <w:hideMark/>
          </w:tcPr>
          <w:p w14:paraId="6D7E684E" w14:textId="77777777" w:rsidR="00171183" w:rsidRPr="00297BAD" w:rsidRDefault="00171183" w:rsidP="0042337C">
            <w:pPr>
              <w:pStyle w:val="StandaardSV"/>
            </w:pPr>
            <w:r w:rsidRPr="00297BAD">
              <w:t>1.208</w:t>
            </w:r>
          </w:p>
        </w:tc>
        <w:tc>
          <w:tcPr>
            <w:tcW w:w="709" w:type="dxa"/>
            <w:tcBorders>
              <w:top w:val="nil"/>
              <w:left w:val="nil"/>
              <w:bottom w:val="single" w:sz="4" w:space="0" w:color="auto"/>
              <w:right w:val="single" w:sz="4" w:space="0" w:color="auto"/>
            </w:tcBorders>
            <w:shd w:val="clear" w:color="auto" w:fill="auto"/>
            <w:noWrap/>
            <w:vAlign w:val="bottom"/>
            <w:hideMark/>
          </w:tcPr>
          <w:p w14:paraId="25747372" w14:textId="77777777" w:rsidR="00171183" w:rsidRPr="00297BAD" w:rsidRDefault="00171183" w:rsidP="0042337C">
            <w:pPr>
              <w:pStyle w:val="StandaardSV"/>
            </w:pPr>
            <w:r w:rsidRPr="00297BAD">
              <w:t>47%</w:t>
            </w:r>
          </w:p>
        </w:tc>
      </w:tr>
      <w:tr w:rsidR="00171183" w:rsidRPr="00297BAD" w14:paraId="2C10FBFD"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89D289"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6F5E828C" w14:textId="77777777" w:rsidR="00171183" w:rsidRPr="00297BAD" w:rsidRDefault="00171183" w:rsidP="0042337C">
            <w:pPr>
              <w:pStyle w:val="StandaardSV"/>
            </w:pPr>
            <w:r w:rsidRPr="00297BAD">
              <w:t>25-50 jaar</w:t>
            </w:r>
          </w:p>
        </w:tc>
        <w:tc>
          <w:tcPr>
            <w:tcW w:w="993" w:type="dxa"/>
            <w:tcBorders>
              <w:top w:val="nil"/>
              <w:left w:val="single" w:sz="4" w:space="0" w:color="auto"/>
              <w:bottom w:val="single" w:sz="4" w:space="0" w:color="auto"/>
              <w:right w:val="single" w:sz="4" w:space="0" w:color="auto"/>
            </w:tcBorders>
            <w:vAlign w:val="bottom"/>
          </w:tcPr>
          <w:p w14:paraId="17C31838" w14:textId="77777777" w:rsidR="00171183" w:rsidRPr="00297BAD" w:rsidRDefault="00171183" w:rsidP="0042337C">
            <w:pPr>
              <w:pStyle w:val="StandaardSV"/>
            </w:pPr>
            <w:r w:rsidRPr="00297BAD">
              <w:t>11.367</w:t>
            </w:r>
          </w:p>
        </w:tc>
        <w:tc>
          <w:tcPr>
            <w:tcW w:w="1134" w:type="dxa"/>
            <w:tcBorders>
              <w:top w:val="nil"/>
              <w:left w:val="single" w:sz="4" w:space="0" w:color="auto"/>
              <w:bottom w:val="single" w:sz="4" w:space="0" w:color="auto"/>
              <w:right w:val="single" w:sz="4" w:space="0" w:color="auto"/>
            </w:tcBorders>
            <w:vAlign w:val="bottom"/>
          </w:tcPr>
          <w:p w14:paraId="3284CA6D" w14:textId="77777777" w:rsidR="00171183" w:rsidRPr="00297BAD" w:rsidRDefault="00171183" w:rsidP="0042337C">
            <w:pPr>
              <w:pStyle w:val="StandaardSV"/>
            </w:pPr>
            <w:r w:rsidRPr="00297BAD">
              <w:t>4.394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B568646" w14:textId="77777777" w:rsidR="00171183" w:rsidRPr="00297BAD" w:rsidRDefault="00171183" w:rsidP="0042337C">
            <w:pPr>
              <w:pStyle w:val="StandaardSV"/>
            </w:pPr>
            <w:r w:rsidRPr="00297BAD">
              <w:t>7.634</w:t>
            </w:r>
          </w:p>
        </w:tc>
        <w:tc>
          <w:tcPr>
            <w:tcW w:w="850" w:type="dxa"/>
            <w:tcBorders>
              <w:top w:val="nil"/>
              <w:left w:val="nil"/>
              <w:bottom w:val="single" w:sz="4" w:space="0" w:color="auto"/>
              <w:right w:val="single" w:sz="4" w:space="0" w:color="auto"/>
            </w:tcBorders>
            <w:shd w:val="clear" w:color="auto" w:fill="auto"/>
            <w:noWrap/>
            <w:vAlign w:val="bottom"/>
            <w:hideMark/>
          </w:tcPr>
          <w:p w14:paraId="3169FAA1" w14:textId="77777777" w:rsidR="00171183" w:rsidRPr="00297BAD" w:rsidRDefault="00171183" w:rsidP="0042337C">
            <w:pPr>
              <w:pStyle w:val="StandaardSV"/>
            </w:pPr>
            <w:r w:rsidRPr="00297BAD">
              <w:t>67%</w:t>
            </w:r>
          </w:p>
        </w:tc>
        <w:tc>
          <w:tcPr>
            <w:tcW w:w="851" w:type="dxa"/>
            <w:tcBorders>
              <w:top w:val="nil"/>
              <w:left w:val="nil"/>
              <w:bottom w:val="single" w:sz="4" w:space="0" w:color="auto"/>
              <w:right w:val="single" w:sz="4" w:space="0" w:color="auto"/>
            </w:tcBorders>
            <w:shd w:val="clear" w:color="auto" w:fill="auto"/>
            <w:noWrap/>
            <w:vAlign w:val="bottom"/>
            <w:hideMark/>
          </w:tcPr>
          <w:p w14:paraId="49C0CC1A" w14:textId="77777777" w:rsidR="00171183" w:rsidRPr="00297BAD" w:rsidRDefault="00171183" w:rsidP="0042337C">
            <w:pPr>
              <w:pStyle w:val="StandaardSV"/>
            </w:pPr>
            <w:r w:rsidRPr="00297BAD">
              <w:t>2.792</w:t>
            </w:r>
          </w:p>
        </w:tc>
        <w:tc>
          <w:tcPr>
            <w:tcW w:w="850" w:type="dxa"/>
            <w:tcBorders>
              <w:top w:val="nil"/>
              <w:left w:val="nil"/>
              <w:bottom w:val="single" w:sz="4" w:space="0" w:color="auto"/>
              <w:right w:val="single" w:sz="4" w:space="0" w:color="auto"/>
            </w:tcBorders>
            <w:shd w:val="clear" w:color="auto" w:fill="auto"/>
            <w:noWrap/>
            <w:vAlign w:val="bottom"/>
            <w:hideMark/>
          </w:tcPr>
          <w:p w14:paraId="0462E494" w14:textId="77777777" w:rsidR="00171183" w:rsidRPr="00297BAD" w:rsidRDefault="00171183" w:rsidP="0042337C">
            <w:pPr>
              <w:pStyle w:val="StandaardSV"/>
            </w:pPr>
            <w:r w:rsidRPr="00297BAD">
              <w:t>64%</w:t>
            </w:r>
          </w:p>
        </w:tc>
        <w:tc>
          <w:tcPr>
            <w:tcW w:w="851" w:type="dxa"/>
            <w:tcBorders>
              <w:top w:val="nil"/>
              <w:left w:val="nil"/>
              <w:bottom w:val="single" w:sz="4" w:space="0" w:color="auto"/>
              <w:right w:val="single" w:sz="4" w:space="0" w:color="auto"/>
            </w:tcBorders>
            <w:shd w:val="clear" w:color="auto" w:fill="auto"/>
            <w:noWrap/>
            <w:vAlign w:val="bottom"/>
            <w:hideMark/>
          </w:tcPr>
          <w:p w14:paraId="60E7C127" w14:textId="77777777" w:rsidR="00171183" w:rsidRPr="00297BAD" w:rsidRDefault="00171183" w:rsidP="0042337C">
            <w:pPr>
              <w:pStyle w:val="StandaardSV"/>
            </w:pPr>
            <w:r w:rsidRPr="00297BAD">
              <w:t>6.036</w:t>
            </w:r>
          </w:p>
        </w:tc>
        <w:tc>
          <w:tcPr>
            <w:tcW w:w="709" w:type="dxa"/>
            <w:tcBorders>
              <w:top w:val="nil"/>
              <w:left w:val="nil"/>
              <w:bottom w:val="single" w:sz="4" w:space="0" w:color="auto"/>
              <w:right w:val="single" w:sz="4" w:space="0" w:color="auto"/>
            </w:tcBorders>
            <w:shd w:val="clear" w:color="auto" w:fill="auto"/>
            <w:noWrap/>
            <w:vAlign w:val="bottom"/>
            <w:hideMark/>
          </w:tcPr>
          <w:p w14:paraId="35E9E8A2" w14:textId="77777777" w:rsidR="00171183" w:rsidRPr="00297BAD" w:rsidRDefault="00171183" w:rsidP="0042337C">
            <w:pPr>
              <w:pStyle w:val="StandaardSV"/>
            </w:pPr>
            <w:r w:rsidRPr="00297BAD">
              <w:t>53%</w:t>
            </w:r>
          </w:p>
        </w:tc>
        <w:tc>
          <w:tcPr>
            <w:tcW w:w="992" w:type="dxa"/>
            <w:tcBorders>
              <w:top w:val="nil"/>
              <w:left w:val="nil"/>
              <w:bottom w:val="single" w:sz="4" w:space="0" w:color="auto"/>
              <w:right w:val="single" w:sz="4" w:space="0" w:color="auto"/>
            </w:tcBorders>
            <w:shd w:val="clear" w:color="auto" w:fill="auto"/>
            <w:noWrap/>
            <w:vAlign w:val="bottom"/>
            <w:hideMark/>
          </w:tcPr>
          <w:p w14:paraId="698E652B" w14:textId="77777777" w:rsidR="00171183" w:rsidRPr="00297BAD" w:rsidRDefault="00171183" w:rsidP="0042337C">
            <w:pPr>
              <w:pStyle w:val="StandaardSV"/>
            </w:pPr>
            <w:r w:rsidRPr="00297BAD">
              <w:t>2.038</w:t>
            </w:r>
          </w:p>
        </w:tc>
        <w:tc>
          <w:tcPr>
            <w:tcW w:w="709" w:type="dxa"/>
            <w:tcBorders>
              <w:top w:val="nil"/>
              <w:left w:val="nil"/>
              <w:bottom w:val="single" w:sz="4" w:space="0" w:color="auto"/>
              <w:right w:val="single" w:sz="4" w:space="0" w:color="auto"/>
            </w:tcBorders>
            <w:shd w:val="clear" w:color="auto" w:fill="auto"/>
            <w:noWrap/>
            <w:vAlign w:val="bottom"/>
            <w:hideMark/>
          </w:tcPr>
          <w:p w14:paraId="16CC060E" w14:textId="77777777" w:rsidR="00171183" w:rsidRPr="00297BAD" w:rsidRDefault="00171183" w:rsidP="0042337C">
            <w:pPr>
              <w:pStyle w:val="StandaardSV"/>
            </w:pPr>
            <w:r w:rsidRPr="00297BAD">
              <w:t>46%</w:t>
            </w:r>
          </w:p>
        </w:tc>
      </w:tr>
      <w:tr w:rsidR="00171183" w:rsidRPr="00297BAD" w14:paraId="7C57FB0A"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29FD587"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68CF73DB" w14:textId="77777777" w:rsidR="00171183" w:rsidRPr="00297BAD" w:rsidRDefault="00171183" w:rsidP="0042337C">
            <w:pPr>
              <w:pStyle w:val="StandaardSV"/>
            </w:pPr>
            <w:r w:rsidRPr="00297BAD">
              <w:t>+50 jaar</w:t>
            </w:r>
          </w:p>
        </w:tc>
        <w:tc>
          <w:tcPr>
            <w:tcW w:w="993" w:type="dxa"/>
            <w:tcBorders>
              <w:top w:val="nil"/>
              <w:left w:val="single" w:sz="4" w:space="0" w:color="auto"/>
              <w:bottom w:val="single" w:sz="4" w:space="0" w:color="auto"/>
              <w:right w:val="single" w:sz="4" w:space="0" w:color="auto"/>
            </w:tcBorders>
            <w:vAlign w:val="bottom"/>
          </w:tcPr>
          <w:p w14:paraId="799C9443" w14:textId="77777777" w:rsidR="00171183" w:rsidRPr="00297BAD" w:rsidRDefault="00171183" w:rsidP="0042337C">
            <w:pPr>
              <w:pStyle w:val="StandaardSV"/>
            </w:pPr>
            <w:r w:rsidRPr="00297BAD">
              <w:t>1.898</w:t>
            </w:r>
          </w:p>
        </w:tc>
        <w:tc>
          <w:tcPr>
            <w:tcW w:w="1134" w:type="dxa"/>
            <w:tcBorders>
              <w:top w:val="nil"/>
              <w:left w:val="single" w:sz="4" w:space="0" w:color="auto"/>
              <w:bottom w:val="single" w:sz="4" w:space="0" w:color="auto"/>
              <w:right w:val="single" w:sz="4" w:space="0" w:color="auto"/>
            </w:tcBorders>
            <w:vAlign w:val="bottom"/>
          </w:tcPr>
          <w:p w14:paraId="06F0CA46" w14:textId="77777777" w:rsidR="00171183" w:rsidRPr="00297BAD" w:rsidRDefault="00171183" w:rsidP="0042337C">
            <w:pPr>
              <w:pStyle w:val="StandaardSV"/>
            </w:pPr>
            <w:r w:rsidRPr="00297BAD">
              <w:t>967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E8CA3B0" w14:textId="77777777" w:rsidR="00171183" w:rsidRPr="00297BAD" w:rsidRDefault="00171183" w:rsidP="0042337C">
            <w:pPr>
              <w:pStyle w:val="StandaardSV"/>
            </w:pPr>
            <w:r w:rsidRPr="00297BAD">
              <w:t>1.065</w:t>
            </w:r>
          </w:p>
        </w:tc>
        <w:tc>
          <w:tcPr>
            <w:tcW w:w="850" w:type="dxa"/>
            <w:tcBorders>
              <w:top w:val="nil"/>
              <w:left w:val="nil"/>
              <w:bottom w:val="single" w:sz="4" w:space="0" w:color="auto"/>
              <w:right w:val="single" w:sz="4" w:space="0" w:color="auto"/>
            </w:tcBorders>
            <w:shd w:val="clear" w:color="auto" w:fill="auto"/>
            <w:noWrap/>
            <w:vAlign w:val="bottom"/>
            <w:hideMark/>
          </w:tcPr>
          <w:p w14:paraId="547082FC" w14:textId="77777777" w:rsidR="00171183" w:rsidRPr="00297BAD" w:rsidRDefault="00171183" w:rsidP="0042337C">
            <w:pPr>
              <w:pStyle w:val="StandaardSV"/>
            </w:pPr>
            <w:r w:rsidRPr="00297BAD">
              <w:t>56%</w:t>
            </w:r>
          </w:p>
        </w:tc>
        <w:tc>
          <w:tcPr>
            <w:tcW w:w="851" w:type="dxa"/>
            <w:tcBorders>
              <w:top w:val="nil"/>
              <w:left w:val="nil"/>
              <w:bottom w:val="single" w:sz="4" w:space="0" w:color="auto"/>
              <w:right w:val="single" w:sz="4" w:space="0" w:color="auto"/>
            </w:tcBorders>
            <w:shd w:val="clear" w:color="auto" w:fill="auto"/>
            <w:noWrap/>
            <w:vAlign w:val="bottom"/>
            <w:hideMark/>
          </w:tcPr>
          <w:p w14:paraId="7B5DD489" w14:textId="77777777" w:rsidR="00171183" w:rsidRPr="00297BAD" w:rsidRDefault="00171183" w:rsidP="0042337C">
            <w:pPr>
              <w:pStyle w:val="StandaardSV"/>
            </w:pPr>
            <w:r w:rsidRPr="00297BAD">
              <w:t>528</w:t>
            </w:r>
          </w:p>
        </w:tc>
        <w:tc>
          <w:tcPr>
            <w:tcW w:w="850" w:type="dxa"/>
            <w:tcBorders>
              <w:top w:val="nil"/>
              <w:left w:val="nil"/>
              <w:bottom w:val="single" w:sz="4" w:space="0" w:color="auto"/>
              <w:right w:val="single" w:sz="4" w:space="0" w:color="auto"/>
            </w:tcBorders>
            <w:shd w:val="clear" w:color="auto" w:fill="auto"/>
            <w:noWrap/>
            <w:vAlign w:val="bottom"/>
            <w:hideMark/>
          </w:tcPr>
          <w:p w14:paraId="59AF878D" w14:textId="77777777" w:rsidR="00171183" w:rsidRPr="00297BAD" w:rsidRDefault="00171183" w:rsidP="0042337C">
            <w:pPr>
              <w:pStyle w:val="StandaardSV"/>
            </w:pPr>
            <w:r w:rsidRPr="00297BAD">
              <w:t>55%</w:t>
            </w:r>
          </w:p>
        </w:tc>
        <w:tc>
          <w:tcPr>
            <w:tcW w:w="851" w:type="dxa"/>
            <w:tcBorders>
              <w:top w:val="nil"/>
              <w:left w:val="nil"/>
              <w:bottom w:val="single" w:sz="4" w:space="0" w:color="auto"/>
              <w:right w:val="single" w:sz="4" w:space="0" w:color="auto"/>
            </w:tcBorders>
            <w:shd w:val="clear" w:color="auto" w:fill="auto"/>
            <w:noWrap/>
            <w:vAlign w:val="bottom"/>
            <w:hideMark/>
          </w:tcPr>
          <w:p w14:paraId="3DF008C2" w14:textId="77777777" w:rsidR="00171183" w:rsidRPr="00297BAD" w:rsidRDefault="00171183" w:rsidP="0042337C">
            <w:pPr>
              <w:pStyle w:val="StandaardSV"/>
            </w:pPr>
            <w:r w:rsidRPr="00297BAD">
              <w:t>653</w:t>
            </w:r>
          </w:p>
        </w:tc>
        <w:tc>
          <w:tcPr>
            <w:tcW w:w="709" w:type="dxa"/>
            <w:tcBorders>
              <w:top w:val="nil"/>
              <w:left w:val="nil"/>
              <w:bottom w:val="single" w:sz="4" w:space="0" w:color="auto"/>
              <w:right w:val="single" w:sz="4" w:space="0" w:color="auto"/>
            </w:tcBorders>
            <w:shd w:val="clear" w:color="auto" w:fill="auto"/>
            <w:noWrap/>
            <w:vAlign w:val="bottom"/>
            <w:hideMark/>
          </w:tcPr>
          <w:p w14:paraId="3C8CE0D4" w14:textId="77777777" w:rsidR="00171183" w:rsidRPr="00297BAD" w:rsidRDefault="00171183" w:rsidP="0042337C">
            <w:pPr>
              <w:pStyle w:val="StandaardSV"/>
            </w:pPr>
            <w:r w:rsidRPr="00297BAD">
              <w:t>34%</w:t>
            </w:r>
          </w:p>
        </w:tc>
        <w:tc>
          <w:tcPr>
            <w:tcW w:w="992" w:type="dxa"/>
            <w:tcBorders>
              <w:top w:val="nil"/>
              <w:left w:val="nil"/>
              <w:bottom w:val="single" w:sz="4" w:space="0" w:color="auto"/>
              <w:right w:val="single" w:sz="4" w:space="0" w:color="auto"/>
            </w:tcBorders>
            <w:shd w:val="clear" w:color="auto" w:fill="auto"/>
            <w:noWrap/>
            <w:vAlign w:val="bottom"/>
            <w:hideMark/>
          </w:tcPr>
          <w:p w14:paraId="039A0381" w14:textId="77777777" w:rsidR="00171183" w:rsidRPr="00297BAD" w:rsidRDefault="00171183" w:rsidP="0042337C">
            <w:pPr>
              <w:pStyle w:val="StandaardSV"/>
            </w:pPr>
            <w:r w:rsidRPr="00297BAD">
              <w:t>304</w:t>
            </w:r>
          </w:p>
        </w:tc>
        <w:tc>
          <w:tcPr>
            <w:tcW w:w="709" w:type="dxa"/>
            <w:tcBorders>
              <w:top w:val="nil"/>
              <w:left w:val="nil"/>
              <w:bottom w:val="single" w:sz="4" w:space="0" w:color="auto"/>
              <w:right w:val="single" w:sz="4" w:space="0" w:color="auto"/>
            </w:tcBorders>
            <w:shd w:val="clear" w:color="auto" w:fill="auto"/>
            <w:noWrap/>
            <w:vAlign w:val="bottom"/>
            <w:hideMark/>
          </w:tcPr>
          <w:p w14:paraId="46852136" w14:textId="77777777" w:rsidR="00171183" w:rsidRPr="00297BAD" w:rsidRDefault="00171183" w:rsidP="0042337C">
            <w:pPr>
              <w:pStyle w:val="StandaardSV"/>
            </w:pPr>
            <w:r w:rsidRPr="00297BAD">
              <w:t>31%</w:t>
            </w:r>
          </w:p>
        </w:tc>
      </w:tr>
      <w:tr w:rsidR="00171183" w:rsidRPr="00297BAD" w14:paraId="40843DEE"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646BA73"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726BA584" w14:textId="77777777" w:rsidR="00171183" w:rsidRPr="00297BAD" w:rsidRDefault="00171183" w:rsidP="0042337C">
            <w:pPr>
              <w:pStyle w:val="StandaardSV"/>
              <w:rPr>
                <w:b/>
              </w:rPr>
            </w:pPr>
            <w:r w:rsidRPr="00297BAD">
              <w:rPr>
                <w:b/>
              </w:rPr>
              <w:t>Totaal</w:t>
            </w:r>
          </w:p>
        </w:tc>
        <w:tc>
          <w:tcPr>
            <w:tcW w:w="993" w:type="dxa"/>
            <w:tcBorders>
              <w:top w:val="nil"/>
              <w:left w:val="single" w:sz="4" w:space="0" w:color="auto"/>
              <w:bottom w:val="single" w:sz="4" w:space="0" w:color="auto"/>
              <w:right w:val="single" w:sz="4" w:space="0" w:color="auto"/>
            </w:tcBorders>
            <w:vAlign w:val="bottom"/>
          </w:tcPr>
          <w:p w14:paraId="26B9ADB1" w14:textId="77777777" w:rsidR="00171183" w:rsidRPr="00297BAD" w:rsidRDefault="00171183" w:rsidP="0042337C">
            <w:pPr>
              <w:pStyle w:val="StandaardSV"/>
              <w:rPr>
                <w:b/>
                <w:bCs/>
              </w:rPr>
            </w:pPr>
            <w:r w:rsidRPr="00297BAD">
              <w:rPr>
                <w:b/>
                <w:bCs/>
              </w:rPr>
              <w:t>20.896</w:t>
            </w:r>
          </w:p>
        </w:tc>
        <w:tc>
          <w:tcPr>
            <w:tcW w:w="1134" w:type="dxa"/>
            <w:tcBorders>
              <w:top w:val="nil"/>
              <w:left w:val="single" w:sz="4" w:space="0" w:color="auto"/>
              <w:bottom w:val="single" w:sz="4" w:space="0" w:color="auto"/>
              <w:right w:val="single" w:sz="4" w:space="0" w:color="auto"/>
            </w:tcBorders>
            <w:vAlign w:val="bottom"/>
          </w:tcPr>
          <w:p w14:paraId="3C493924" w14:textId="77777777" w:rsidR="00171183" w:rsidRPr="00297BAD" w:rsidRDefault="00171183" w:rsidP="0042337C">
            <w:pPr>
              <w:pStyle w:val="StandaardSV"/>
              <w:rPr>
                <w:b/>
                <w:bCs/>
              </w:rPr>
            </w:pPr>
            <w:r w:rsidRPr="00297BAD">
              <w:rPr>
                <w:b/>
                <w:bCs/>
              </w:rPr>
              <w:t>7.940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021EBC0" w14:textId="77777777" w:rsidR="00171183" w:rsidRPr="00297BAD" w:rsidRDefault="00171183" w:rsidP="0042337C">
            <w:pPr>
              <w:pStyle w:val="StandaardSV"/>
              <w:rPr>
                <w:b/>
                <w:bCs/>
              </w:rPr>
            </w:pPr>
            <w:r w:rsidRPr="00297BAD">
              <w:rPr>
                <w:b/>
                <w:bCs/>
              </w:rPr>
              <w:t>14.545</w:t>
            </w:r>
          </w:p>
        </w:tc>
        <w:tc>
          <w:tcPr>
            <w:tcW w:w="850" w:type="dxa"/>
            <w:tcBorders>
              <w:top w:val="nil"/>
              <w:left w:val="nil"/>
              <w:bottom w:val="single" w:sz="4" w:space="0" w:color="auto"/>
              <w:right w:val="single" w:sz="4" w:space="0" w:color="auto"/>
            </w:tcBorders>
            <w:shd w:val="clear" w:color="auto" w:fill="auto"/>
            <w:noWrap/>
            <w:vAlign w:val="bottom"/>
            <w:hideMark/>
          </w:tcPr>
          <w:p w14:paraId="105DFE25" w14:textId="77777777" w:rsidR="00171183" w:rsidRPr="00297BAD" w:rsidRDefault="00171183" w:rsidP="0042337C">
            <w:pPr>
              <w:pStyle w:val="StandaardSV"/>
              <w:rPr>
                <w:b/>
                <w:bCs/>
              </w:rPr>
            </w:pPr>
            <w:r w:rsidRPr="00297BAD">
              <w:rPr>
                <w:b/>
                <w:bCs/>
              </w:rPr>
              <w:t>70%</w:t>
            </w:r>
          </w:p>
        </w:tc>
        <w:tc>
          <w:tcPr>
            <w:tcW w:w="851" w:type="dxa"/>
            <w:tcBorders>
              <w:top w:val="nil"/>
              <w:left w:val="nil"/>
              <w:bottom w:val="single" w:sz="4" w:space="0" w:color="auto"/>
              <w:right w:val="single" w:sz="4" w:space="0" w:color="auto"/>
            </w:tcBorders>
            <w:shd w:val="clear" w:color="auto" w:fill="auto"/>
            <w:noWrap/>
            <w:vAlign w:val="bottom"/>
            <w:hideMark/>
          </w:tcPr>
          <w:p w14:paraId="00EB794F" w14:textId="77777777" w:rsidR="00171183" w:rsidRPr="00297BAD" w:rsidRDefault="00171183" w:rsidP="0042337C">
            <w:pPr>
              <w:pStyle w:val="StandaardSV"/>
              <w:rPr>
                <w:b/>
                <w:bCs/>
              </w:rPr>
            </w:pPr>
            <w:r w:rsidRPr="00297BAD">
              <w:rPr>
                <w:b/>
                <w:bCs/>
              </w:rPr>
              <w:t>4.969</w:t>
            </w:r>
          </w:p>
        </w:tc>
        <w:tc>
          <w:tcPr>
            <w:tcW w:w="850" w:type="dxa"/>
            <w:tcBorders>
              <w:top w:val="nil"/>
              <w:left w:val="nil"/>
              <w:bottom w:val="single" w:sz="4" w:space="0" w:color="auto"/>
              <w:right w:val="single" w:sz="4" w:space="0" w:color="auto"/>
            </w:tcBorders>
            <w:shd w:val="clear" w:color="auto" w:fill="auto"/>
            <w:noWrap/>
            <w:vAlign w:val="bottom"/>
            <w:hideMark/>
          </w:tcPr>
          <w:p w14:paraId="64997116" w14:textId="77777777" w:rsidR="00171183" w:rsidRPr="00297BAD" w:rsidRDefault="00171183" w:rsidP="0042337C">
            <w:pPr>
              <w:pStyle w:val="StandaardSV"/>
              <w:rPr>
                <w:b/>
                <w:bCs/>
              </w:rPr>
            </w:pPr>
            <w:r w:rsidRPr="00297BAD">
              <w:rPr>
                <w:b/>
                <w:bCs/>
              </w:rPr>
              <w:t>63%</w:t>
            </w:r>
          </w:p>
        </w:tc>
        <w:tc>
          <w:tcPr>
            <w:tcW w:w="851" w:type="dxa"/>
            <w:tcBorders>
              <w:top w:val="nil"/>
              <w:left w:val="nil"/>
              <w:bottom w:val="single" w:sz="4" w:space="0" w:color="auto"/>
              <w:right w:val="single" w:sz="4" w:space="0" w:color="auto"/>
            </w:tcBorders>
            <w:shd w:val="clear" w:color="auto" w:fill="auto"/>
            <w:noWrap/>
            <w:vAlign w:val="bottom"/>
            <w:hideMark/>
          </w:tcPr>
          <w:p w14:paraId="6D944B55" w14:textId="77777777" w:rsidR="00171183" w:rsidRPr="00297BAD" w:rsidRDefault="00171183" w:rsidP="0042337C">
            <w:pPr>
              <w:pStyle w:val="StandaardSV"/>
              <w:rPr>
                <w:b/>
                <w:bCs/>
              </w:rPr>
            </w:pPr>
            <w:r w:rsidRPr="00297BAD">
              <w:rPr>
                <w:b/>
                <w:bCs/>
              </w:rPr>
              <w:t>11.516</w:t>
            </w:r>
          </w:p>
        </w:tc>
        <w:tc>
          <w:tcPr>
            <w:tcW w:w="709" w:type="dxa"/>
            <w:tcBorders>
              <w:top w:val="nil"/>
              <w:left w:val="nil"/>
              <w:bottom w:val="single" w:sz="4" w:space="0" w:color="auto"/>
              <w:right w:val="single" w:sz="4" w:space="0" w:color="auto"/>
            </w:tcBorders>
            <w:shd w:val="clear" w:color="auto" w:fill="auto"/>
            <w:noWrap/>
            <w:vAlign w:val="bottom"/>
            <w:hideMark/>
          </w:tcPr>
          <w:p w14:paraId="6D1AE839" w14:textId="77777777" w:rsidR="00171183" w:rsidRPr="00297BAD" w:rsidRDefault="00171183" w:rsidP="0042337C">
            <w:pPr>
              <w:pStyle w:val="StandaardSV"/>
              <w:rPr>
                <w:b/>
                <w:bCs/>
              </w:rPr>
            </w:pPr>
            <w:r w:rsidRPr="00297BAD">
              <w:rPr>
                <w:b/>
                <w:bCs/>
              </w:rPr>
              <w:t>55%</w:t>
            </w:r>
          </w:p>
        </w:tc>
        <w:tc>
          <w:tcPr>
            <w:tcW w:w="992" w:type="dxa"/>
            <w:tcBorders>
              <w:top w:val="nil"/>
              <w:left w:val="nil"/>
              <w:bottom w:val="single" w:sz="4" w:space="0" w:color="auto"/>
              <w:right w:val="single" w:sz="4" w:space="0" w:color="auto"/>
            </w:tcBorders>
            <w:shd w:val="clear" w:color="auto" w:fill="auto"/>
            <w:noWrap/>
            <w:vAlign w:val="bottom"/>
            <w:hideMark/>
          </w:tcPr>
          <w:p w14:paraId="3C4BC5B9" w14:textId="77777777" w:rsidR="00171183" w:rsidRPr="00297BAD" w:rsidRDefault="00171183" w:rsidP="0042337C">
            <w:pPr>
              <w:pStyle w:val="StandaardSV"/>
              <w:rPr>
                <w:b/>
                <w:bCs/>
              </w:rPr>
            </w:pPr>
            <w:r w:rsidRPr="00297BAD">
              <w:rPr>
                <w:b/>
                <w:bCs/>
              </w:rPr>
              <w:t>3.550</w:t>
            </w:r>
          </w:p>
        </w:tc>
        <w:tc>
          <w:tcPr>
            <w:tcW w:w="709" w:type="dxa"/>
            <w:tcBorders>
              <w:top w:val="nil"/>
              <w:left w:val="nil"/>
              <w:bottom w:val="single" w:sz="4" w:space="0" w:color="auto"/>
              <w:right w:val="single" w:sz="4" w:space="0" w:color="auto"/>
            </w:tcBorders>
            <w:shd w:val="clear" w:color="auto" w:fill="auto"/>
            <w:noWrap/>
            <w:vAlign w:val="bottom"/>
            <w:hideMark/>
          </w:tcPr>
          <w:p w14:paraId="41ED1D27" w14:textId="77777777" w:rsidR="00171183" w:rsidRPr="00297BAD" w:rsidRDefault="00171183" w:rsidP="0042337C">
            <w:pPr>
              <w:pStyle w:val="StandaardSV"/>
              <w:rPr>
                <w:b/>
                <w:bCs/>
              </w:rPr>
            </w:pPr>
            <w:r w:rsidRPr="00297BAD">
              <w:rPr>
                <w:b/>
                <w:bCs/>
              </w:rPr>
              <w:t>45%</w:t>
            </w:r>
          </w:p>
        </w:tc>
      </w:tr>
      <w:tr w:rsidR="00171183" w:rsidRPr="00297BAD" w14:paraId="52CA0F64"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48A85B" w14:textId="77777777" w:rsidR="00171183" w:rsidRPr="00297BAD" w:rsidRDefault="00171183" w:rsidP="0042337C">
            <w:pPr>
              <w:pStyle w:val="StandaardSV"/>
            </w:pPr>
            <w:r w:rsidRPr="00297BAD">
              <w:t>2011</w:t>
            </w:r>
          </w:p>
        </w:tc>
        <w:tc>
          <w:tcPr>
            <w:tcW w:w="1134" w:type="dxa"/>
            <w:tcBorders>
              <w:top w:val="single" w:sz="4" w:space="0" w:color="auto"/>
              <w:left w:val="nil"/>
              <w:bottom w:val="single" w:sz="4" w:space="0" w:color="auto"/>
              <w:right w:val="single" w:sz="4" w:space="0" w:color="auto"/>
            </w:tcBorders>
            <w:vAlign w:val="bottom"/>
          </w:tcPr>
          <w:p w14:paraId="7A6F7D2D" w14:textId="77777777" w:rsidR="00171183" w:rsidRPr="00297BAD" w:rsidRDefault="00171183" w:rsidP="0042337C">
            <w:pPr>
              <w:pStyle w:val="StandaardSV"/>
            </w:pPr>
            <w:r w:rsidRPr="00297BAD">
              <w:t>-25 jaar</w:t>
            </w:r>
          </w:p>
        </w:tc>
        <w:tc>
          <w:tcPr>
            <w:tcW w:w="993" w:type="dxa"/>
            <w:tcBorders>
              <w:top w:val="nil"/>
              <w:left w:val="single" w:sz="4" w:space="0" w:color="auto"/>
              <w:bottom w:val="single" w:sz="4" w:space="0" w:color="auto"/>
              <w:right w:val="single" w:sz="4" w:space="0" w:color="auto"/>
            </w:tcBorders>
            <w:vAlign w:val="bottom"/>
          </w:tcPr>
          <w:p w14:paraId="22222A8D" w14:textId="77777777" w:rsidR="00171183" w:rsidRPr="00297BAD" w:rsidRDefault="00171183" w:rsidP="0042337C">
            <w:pPr>
              <w:pStyle w:val="StandaardSV"/>
            </w:pPr>
            <w:r w:rsidRPr="00297BAD">
              <w:t>7.426</w:t>
            </w:r>
          </w:p>
        </w:tc>
        <w:tc>
          <w:tcPr>
            <w:tcW w:w="1134" w:type="dxa"/>
            <w:tcBorders>
              <w:top w:val="nil"/>
              <w:left w:val="single" w:sz="4" w:space="0" w:color="auto"/>
              <w:bottom w:val="single" w:sz="4" w:space="0" w:color="auto"/>
              <w:right w:val="single" w:sz="4" w:space="0" w:color="auto"/>
            </w:tcBorders>
            <w:vAlign w:val="bottom"/>
          </w:tcPr>
          <w:p w14:paraId="13C718CD" w14:textId="77777777" w:rsidR="00171183" w:rsidRPr="00297BAD" w:rsidRDefault="00171183" w:rsidP="0042337C">
            <w:pPr>
              <w:pStyle w:val="StandaardSV"/>
            </w:pPr>
            <w:r w:rsidRPr="00297BAD">
              <w:t>2.532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80F1F14" w14:textId="77777777" w:rsidR="00171183" w:rsidRPr="00297BAD" w:rsidRDefault="00171183" w:rsidP="0042337C">
            <w:pPr>
              <w:pStyle w:val="StandaardSV"/>
            </w:pPr>
            <w:r w:rsidRPr="00297BAD">
              <w:t>5.468</w:t>
            </w:r>
          </w:p>
        </w:tc>
        <w:tc>
          <w:tcPr>
            <w:tcW w:w="850" w:type="dxa"/>
            <w:tcBorders>
              <w:top w:val="nil"/>
              <w:left w:val="nil"/>
              <w:bottom w:val="single" w:sz="4" w:space="0" w:color="auto"/>
              <w:right w:val="single" w:sz="4" w:space="0" w:color="auto"/>
            </w:tcBorders>
            <w:shd w:val="clear" w:color="auto" w:fill="auto"/>
            <w:noWrap/>
            <w:vAlign w:val="bottom"/>
            <w:hideMark/>
          </w:tcPr>
          <w:p w14:paraId="57281B5B" w14:textId="77777777" w:rsidR="00171183" w:rsidRPr="00297BAD" w:rsidRDefault="00171183" w:rsidP="0042337C">
            <w:pPr>
              <w:pStyle w:val="StandaardSV"/>
            </w:pPr>
            <w:r w:rsidRPr="00297BAD">
              <w:t>74%</w:t>
            </w:r>
          </w:p>
        </w:tc>
        <w:tc>
          <w:tcPr>
            <w:tcW w:w="851" w:type="dxa"/>
            <w:tcBorders>
              <w:top w:val="nil"/>
              <w:left w:val="nil"/>
              <w:bottom w:val="single" w:sz="4" w:space="0" w:color="auto"/>
              <w:right w:val="single" w:sz="4" w:space="0" w:color="auto"/>
            </w:tcBorders>
            <w:shd w:val="clear" w:color="auto" w:fill="auto"/>
            <w:noWrap/>
            <w:vAlign w:val="bottom"/>
            <w:hideMark/>
          </w:tcPr>
          <w:p w14:paraId="38AE4AC6" w14:textId="77777777" w:rsidR="00171183" w:rsidRPr="00297BAD" w:rsidRDefault="00171183" w:rsidP="0042337C">
            <w:pPr>
              <w:pStyle w:val="StandaardSV"/>
            </w:pPr>
            <w:r w:rsidRPr="00297BAD">
              <w:t>1.515</w:t>
            </w:r>
          </w:p>
        </w:tc>
        <w:tc>
          <w:tcPr>
            <w:tcW w:w="850" w:type="dxa"/>
            <w:tcBorders>
              <w:top w:val="nil"/>
              <w:left w:val="nil"/>
              <w:bottom w:val="single" w:sz="4" w:space="0" w:color="auto"/>
              <w:right w:val="single" w:sz="4" w:space="0" w:color="auto"/>
            </w:tcBorders>
            <w:shd w:val="clear" w:color="auto" w:fill="auto"/>
            <w:noWrap/>
            <w:vAlign w:val="bottom"/>
            <w:hideMark/>
          </w:tcPr>
          <w:p w14:paraId="11776A2B" w14:textId="77777777" w:rsidR="00171183" w:rsidRPr="00297BAD" w:rsidRDefault="00171183" w:rsidP="0042337C">
            <w:pPr>
              <w:pStyle w:val="StandaardSV"/>
            </w:pPr>
            <w:r w:rsidRPr="00297BAD">
              <w:t>60%</w:t>
            </w:r>
          </w:p>
        </w:tc>
        <w:tc>
          <w:tcPr>
            <w:tcW w:w="851" w:type="dxa"/>
            <w:tcBorders>
              <w:top w:val="nil"/>
              <w:left w:val="nil"/>
              <w:bottom w:val="single" w:sz="4" w:space="0" w:color="auto"/>
              <w:right w:val="single" w:sz="4" w:space="0" w:color="auto"/>
            </w:tcBorders>
            <w:shd w:val="clear" w:color="auto" w:fill="auto"/>
            <w:noWrap/>
            <w:vAlign w:val="bottom"/>
            <w:hideMark/>
          </w:tcPr>
          <w:p w14:paraId="2D30BE1A" w14:textId="77777777" w:rsidR="00171183" w:rsidRPr="00297BAD" w:rsidRDefault="00171183" w:rsidP="0042337C">
            <w:pPr>
              <w:pStyle w:val="StandaardSV"/>
            </w:pPr>
            <w:r w:rsidRPr="00297BAD">
              <w:t>4.500</w:t>
            </w:r>
          </w:p>
        </w:tc>
        <w:tc>
          <w:tcPr>
            <w:tcW w:w="709" w:type="dxa"/>
            <w:tcBorders>
              <w:top w:val="nil"/>
              <w:left w:val="nil"/>
              <w:bottom w:val="single" w:sz="4" w:space="0" w:color="auto"/>
              <w:right w:val="single" w:sz="4" w:space="0" w:color="auto"/>
            </w:tcBorders>
            <w:shd w:val="clear" w:color="auto" w:fill="auto"/>
            <w:noWrap/>
            <w:vAlign w:val="bottom"/>
            <w:hideMark/>
          </w:tcPr>
          <w:p w14:paraId="41F9B40D" w14:textId="77777777" w:rsidR="00171183" w:rsidRPr="00297BAD" w:rsidRDefault="00171183" w:rsidP="0042337C">
            <w:pPr>
              <w:pStyle w:val="StandaardSV"/>
            </w:pPr>
            <w:r w:rsidRPr="00297BAD">
              <w:t>61%</w:t>
            </w:r>
          </w:p>
        </w:tc>
        <w:tc>
          <w:tcPr>
            <w:tcW w:w="992" w:type="dxa"/>
            <w:tcBorders>
              <w:top w:val="nil"/>
              <w:left w:val="nil"/>
              <w:bottom w:val="single" w:sz="4" w:space="0" w:color="auto"/>
              <w:right w:val="single" w:sz="4" w:space="0" w:color="auto"/>
            </w:tcBorders>
            <w:shd w:val="clear" w:color="auto" w:fill="auto"/>
            <w:noWrap/>
            <w:vAlign w:val="bottom"/>
            <w:hideMark/>
          </w:tcPr>
          <w:p w14:paraId="237D30F0" w14:textId="77777777" w:rsidR="00171183" w:rsidRPr="00297BAD" w:rsidRDefault="00171183" w:rsidP="0042337C">
            <w:pPr>
              <w:pStyle w:val="StandaardSV"/>
            </w:pPr>
            <w:r w:rsidRPr="00297BAD">
              <w:t>1.072</w:t>
            </w:r>
          </w:p>
        </w:tc>
        <w:tc>
          <w:tcPr>
            <w:tcW w:w="709" w:type="dxa"/>
            <w:tcBorders>
              <w:top w:val="nil"/>
              <w:left w:val="nil"/>
              <w:bottom w:val="single" w:sz="4" w:space="0" w:color="auto"/>
              <w:right w:val="single" w:sz="4" w:space="0" w:color="auto"/>
            </w:tcBorders>
            <w:shd w:val="clear" w:color="auto" w:fill="auto"/>
            <w:noWrap/>
            <w:vAlign w:val="bottom"/>
            <w:hideMark/>
          </w:tcPr>
          <w:p w14:paraId="14CB3557" w14:textId="77777777" w:rsidR="00171183" w:rsidRPr="00297BAD" w:rsidRDefault="00171183" w:rsidP="0042337C">
            <w:pPr>
              <w:pStyle w:val="StandaardSV"/>
            </w:pPr>
            <w:r w:rsidRPr="00297BAD">
              <w:t>42%</w:t>
            </w:r>
          </w:p>
        </w:tc>
      </w:tr>
      <w:tr w:rsidR="00171183" w:rsidRPr="00297BAD" w14:paraId="2A6B1F54"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BD3F6E"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7337191A" w14:textId="77777777" w:rsidR="00171183" w:rsidRPr="00297BAD" w:rsidRDefault="00171183" w:rsidP="0042337C">
            <w:pPr>
              <w:pStyle w:val="StandaardSV"/>
            </w:pPr>
            <w:r w:rsidRPr="00297BAD">
              <w:t>25-50 jaar</w:t>
            </w:r>
          </w:p>
        </w:tc>
        <w:tc>
          <w:tcPr>
            <w:tcW w:w="993" w:type="dxa"/>
            <w:tcBorders>
              <w:top w:val="nil"/>
              <w:left w:val="single" w:sz="4" w:space="0" w:color="auto"/>
              <w:bottom w:val="single" w:sz="4" w:space="0" w:color="auto"/>
              <w:right w:val="single" w:sz="4" w:space="0" w:color="auto"/>
            </w:tcBorders>
            <w:vAlign w:val="bottom"/>
          </w:tcPr>
          <w:p w14:paraId="23CAF8DA" w14:textId="77777777" w:rsidR="00171183" w:rsidRPr="00297BAD" w:rsidRDefault="00171183" w:rsidP="0042337C">
            <w:pPr>
              <w:pStyle w:val="StandaardSV"/>
            </w:pPr>
            <w:r w:rsidRPr="00297BAD">
              <w:t>11.248</w:t>
            </w:r>
          </w:p>
        </w:tc>
        <w:tc>
          <w:tcPr>
            <w:tcW w:w="1134" w:type="dxa"/>
            <w:tcBorders>
              <w:top w:val="nil"/>
              <w:left w:val="single" w:sz="4" w:space="0" w:color="auto"/>
              <w:bottom w:val="single" w:sz="4" w:space="0" w:color="auto"/>
              <w:right w:val="single" w:sz="4" w:space="0" w:color="auto"/>
            </w:tcBorders>
            <w:vAlign w:val="bottom"/>
          </w:tcPr>
          <w:p w14:paraId="3CB98728" w14:textId="77777777" w:rsidR="00171183" w:rsidRPr="00297BAD" w:rsidRDefault="00171183" w:rsidP="0042337C">
            <w:pPr>
              <w:pStyle w:val="StandaardSV"/>
            </w:pPr>
            <w:r w:rsidRPr="00297BAD">
              <w:t>4.294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482D9B5" w14:textId="77777777" w:rsidR="00171183" w:rsidRPr="00297BAD" w:rsidRDefault="00171183" w:rsidP="0042337C">
            <w:pPr>
              <w:pStyle w:val="StandaardSV"/>
            </w:pPr>
            <w:r w:rsidRPr="00297BAD">
              <w:t>7.242</w:t>
            </w:r>
          </w:p>
        </w:tc>
        <w:tc>
          <w:tcPr>
            <w:tcW w:w="850" w:type="dxa"/>
            <w:tcBorders>
              <w:top w:val="nil"/>
              <w:left w:val="nil"/>
              <w:bottom w:val="single" w:sz="4" w:space="0" w:color="auto"/>
              <w:right w:val="single" w:sz="4" w:space="0" w:color="auto"/>
            </w:tcBorders>
            <w:shd w:val="clear" w:color="auto" w:fill="auto"/>
            <w:noWrap/>
            <w:vAlign w:val="bottom"/>
            <w:hideMark/>
          </w:tcPr>
          <w:p w14:paraId="1AE6B5DF" w14:textId="77777777" w:rsidR="00171183" w:rsidRPr="00297BAD" w:rsidRDefault="00171183" w:rsidP="0042337C">
            <w:pPr>
              <w:pStyle w:val="StandaardSV"/>
            </w:pPr>
            <w:r w:rsidRPr="00297BAD">
              <w:t>64%</w:t>
            </w:r>
          </w:p>
        </w:tc>
        <w:tc>
          <w:tcPr>
            <w:tcW w:w="851" w:type="dxa"/>
            <w:tcBorders>
              <w:top w:val="nil"/>
              <w:left w:val="nil"/>
              <w:bottom w:val="single" w:sz="4" w:space="0" w:color="auto"/>
              <w:right w:val="single" w:sz="4" w:space="0" w:color="auto"/>
            </w:tcBorders>
            <w:shd w:val="clear" w:color="auto" w:fill="auto"/>
            <w:noWrap/>
            <w:vAlign w:val="bottom"/>
            <w:hideMark/>
          </w:tcPr>
          <w:p w14:paraId="1FDBD992" w14:textId="77777777" w:rsidR="00171183" w:rsidRPr="00297BAD" w:rsidRDefault="00171183" w:rsidP="0042337C">
            <w:pPr>
              <w:pStyle w:val="StandaardSV"/>
            </w:pPr>
            <w:r w:rsidRPr="00297BAD">
              <w:t>2.586</w:t>
            </w:r>
          </w:p>
        </w:tc>
        <w:tc>
          <w:tcPr>
            <w:tcW w:w="850" w:type="dxa"/>
            <w:tcBorders>
              <w:top w:val="nil"/>
              <w:left w:val="nil"/>
              <w:bottom w:val="single" w:sz="4" w:space="0" w:color="auto"/>
              <w:right w:val="single" w:sz="4" w:space="0" w:color="auto"/>
            </w:tcBorders>
            <w:shd w:val="clear" w:color="auto" w:fill="auto"/>
            <w:noWrap/>
            <w:vAlign w:val="bottom"/>
            <w:hideMark/>
          </w:tcPr>
          <w:p w14:paraId="50367A4C" w14:textId="77777777" w:rsidR="00171183" w:rsidRPr="00297BAD" w:rsidRDefault="00171183" w:rsidP="0042337C">
            <w:pPr>
              <w:pStyle w:val="StandaardSV"/>
            </w:pPr>
            <w:r w:rsidRPr="00297BAD">
              <w:t>60%</w:t>
            </w:r>
          </w:p>
        </w:tc>
        <w:tc>
          <w:tcPr>
            <w:tcW w:w="851" w:type="dxa"/>
            <w:tcBorders>
              <w:top w:val="nil"/>
              <w:left w:val="nil"/>
              <w:bottom w:val="single" w:sz="4" w:space="0" w:color="auto"/>
              <w:right w:val="single" w:sz="4" w:space="0" w:color="auto"/>
            </w:tcBorders>
            <w:shd w:val="clear" w:color="auto" w:fill="auto"/>
            <w:noWrap/>
            <w:vAlign w:val="bottom"/>
            <w:hideMark/>
          </w:tcPr>
          <w:p w14:paraId="54FEA1A8" w14:textId="77777777" w:rsidR="00171183" w:rsidRPr="00297BAD" w:rsidRDefault="00171183" w:rsidP="0042337C">
            <w:pPr>
              <w:pStyle w:val="StandaardSV"/>
            </w:pPr>
            <w:r w:rsidRPr="00297BAD">
              <w:t>5.637</w:t>
            </w:r>
          </w:p>
        </w:tc>
        <w:tc>
          <w:tcPr>
            <w:tcW w:w="709" w:type="dxa"/>
            <w:tcBorders>
              <w:top w:val="nil"/>
              <w:left w:val="nil"/>
              <w:bottom w:val="single" w:sz="4" w:space="0" w:color="auto"/>
              <w:right w:val="single" w:sz="4" w:space="0" w:color="auto"/>
            </w:tcBorders>
            <w:shd w:val="clear" w:color="auto" w:fill="auto"/>
            <w:noWrap/>
            <w:vAlign w:val="bottom"/>
            <w:hideMark/>
          </w:tcPr>
          <w:p w14:paraId="478C8106" w14:textId="77777777" w:rsidR="00171183" w:rsidRPr="00297BAD" w:rsidRDefault="00171183" w:rsidP="0042337C">
            <w:pPr>
              <w:pStyle w:val="StandaardSV"/>
            </w:pPr>
            <w:r w:rsidRPr="00297BAD">
              <w:t>50%</w:t>
            </w:r>
          </w:p>
        </w:tc>
        <w:tc>
          <w:tcPr>
            <w:tcW w:w="992" w:type="dxa"/>
            <w:tcBorders>
              <w:top w:val="nil"/>
              <w:left w:val="nil"/>
              <w:bottom w:val="single" w:sz="4" w:space="0" w:color="auto"/>
              <w:right w:val="single" w:sz="4" w:space="0" w:color="auto"/>
            </w:tcBorders>
            <w:shd w:val="clear" w:color="auto" w:fill="auto"/>
            <w:noWrap/>
            <w:vAlign w:val="bottom"/>
            <w:hideMark/>
          </w:tcPr>
          <w:p w14:paraId="743E9898" w14:textId="77777777" w:rsidR="00171183" w:rsidRPr="00297BAD" w:rsidRDefault="00171183" w:rsidP="0042337C">
            <w:pPr>
              <w:pStyle w:val="StandaardSV"/>
            </w:pPr>
            <w:r w:rsidRPr="00297BAD">
              <w:t>1.810</w:t>
            </w:r>
          </w:p>
        </w:tc>
        <w:tc>
          <w:tcPr>
            <w:tcW w:w="709" w:type="dxa"/>
            <w:tcBorders>
              <w:top w:val="nil"/>
              <w:left w:val="nil"/>
              <w:bottom w:val="single" w:sz="4" w:space="0" w:color="auto"/>
              <w:right w:val="single" w:sz="4" w:space="0" w:color="auto"/>
            </w:tcBorders>
            <w:shd w:val="clear" w:color="auto" w:fill="auto"/>
            <w:noWrap/>
            <w:vAlign w:val="bottom"/>
            <w:hideMark/>
          </w:tcPr>
          <w:p w14:paraId="2071021F" w14:textId="77777777" w:rsidR="00171183" w:rsidRPr="00297BAD" w:rsidRDefault="00171183" w:rsidP="0042337C">
            <w:pPr>
              <w:pStyle w:val="StandaardSV"/>
            </w:pPr>
            <w:r w:rsidRPr="00297BAD">
              <w:t>42%</w:t>
            </w:r>
          </w:p>
        </w:tc>
      </w:tr>
      <w:tr w:rsidR="00171183" w:rsidRPr="00297BAD" w14:paraId="11EDE8CF"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9D989A"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3AF449E7" w14:textId="77777777" w:rsidR="00171183" w:rsidRPr="00297BAD" w:rsidRDefault="00171183" w:rsidP="0042337C">
            <w:pPr>
              <w:pStyle w:val="StandaardSV"/>
            </w:pPr>
            <w:r w:rsidRPr="00297BAD">
              <w:t>+50 jaar</w:t>
            </w:r>
          </w:p>
        </w:tc>
        <w:tc>
          <w:tcPr>
            <w:tcW w:w="993" w:type="dxa"/>
            <w:tcBorders>
              <w:top w:val="nil"/>
              <w:left w:val="single" w:sz="4" w:space="0" w:color="auto"/>
              <w:bottom w:val="single" w:sz="4" w:space="0" w:color="auto"/>
              <w:right w:val="single" w:sz="4" w:space="0" w:color="auto"/>
            </w:tcBorders>
            <w:vAlign w:val="bottom"/>
          </w:tcPr>
          <w:p w14:paraId="48C3E35B" w14:textId="77777777" w:rsidR="00171183" w:rsidRPr="00297BAD" w:rsidRDefault="00171183" w:rsidP="0042337C">
            <w:pPr>
              <w:pStyle w:val="StandaardSV"/>
            </w:pPr>
            <w:r w:rsidRPr="00297BAD">
              <w:t>1.897</w:t>
            </w:r>
          </w:p>
        </w:tc>
        <w:tc>
          <w:tcPr>
            <w:tcW w:w="1134" w:type="dxa"/>
            <w:tcBorders>
              <w:top w:val="nil"/>
              <w:left w:val="single" w:sz="4" w:space="0" w:color="auto"/>
              <w:bottom w:val="single" w:sz="4" w:space="0" w:color="auto"/>
              <w:right w:val="single" w:sz="4" w:space="0" w:color="auto"/>
            </w:tcBorders>
            <w:vAlign w:val="bottom"/>
          </w:tcPr>
          <w:p w14:paraId="1DF5FBFE" w14:textId="77777777" w:rsidR="00171183" w:rsidRPr="00297BAD" w:rsidRDefault="00171183" w:rsidP="0042337C">
            <w:pPr>
              <w:pStyle w:val="StandaardSV"/>
            </w:pPr>
            <w:r w:rsidRPr="00297BAD">
              <w:t>946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0D10243" w14:textId="77777777" w:rsidR="00171183" w:rsidRPr="00297BAD" w:rsidRDefault="00171183" w:rsidP="0042337C">
            <w:pPr>
              <w:pStyle w:val="StandaardSV"/>
            </w:pPr>
            <w:r w:rsidRPr="00297BAD">
              <w:t>1.102</w:t>
            </w:r>
          </w:p>
        </w:tc>
        <w:tc>
          <w:tcPr>
            <w:tcW w:w="850" w:type="dxa"/>
            <w:tcBorders>
              <w:top w:val="nil"/>
              <w:left w:val="nil"/>
              <w:bottom w:val="single" w:sz="4" w:space="0" w:color="auto"/>
              <w:right w:val="single" w:sz="4" w:space="0" w:color="auto"/>
            </w:tcBorders>
            <w:shd w:val="clear" w:color="auto" w:fill="auto"/>
            <w:noWrap/>
            <w:vAlign w:val="bottom"/>
            <w:hideMark/>
          </w:tcPr>
          <w:p w14:paraId="6D5086A6" w14:textId="77777777" w:rsidR="00171183" w:rsidRPr="00297BAD" w:rsidRDefault="00171183" w:rsidP="0042337C">
            <w:pPr>
              <w:pStyle w:val="StandaardSV"/>
            </w:pPr>
            <w:r w:rsidRPr="00297BAD">
              <w:t>58%</w:t>
            </w:r>
          </w:p>
        </w:tc>
        <w:tc>
          <w:tcPr>
            <w:tcW w:w="851" w:type="dxa"/>
            <w:tcBorders>
              <w:top w:val="nil"/>
              <w:left w:val="nil"/>
              <w:bottom w:val="single" w:sz="4" w:space="0" w:color="auto"/>
              <w:right w:val="single" w:sz="4" w:space="0" w:color="auto"/>
            </w:tcBorders>
            <w:shd w:val="clear" w:color="auto" w:fill="auto"/>
            <w:noWrap/>
            <w:vAlign w:val="bottom"/>
            <w:hideMark/>
          </w:tcPr>
          <w:p w14:paraId="454A84FE" w14:textId="77777777" w:rsidR="00171183" w:rsidRPr="00297BAD" w:rsidRDefault="00171183" w:rsidP="0042337C">
            <w:pPr>
              <w:pStyle w:val="StandaardSV"/>
            </w:pPr>
            <w:r w:rsidRPr="00297BAD">
              <w:t>541</w:t>
            </w:r>
          </w:p>
        </w:tc>
        <w:tc>
          <w:tcPr>
            <w:tcW w:w="850" w:type="dxa"/>
            <w:tcBorders>
              <w:top w:val="nil"/>
              <w:left w:val="nil"/>
              <w:bottom w:val="single" w:sz="4" w:space="0" w:color="auto"/>
              <w:right w:val="single" w:sz="4" w:space="0" w:color="auto"/>
            </w:tcBorders>
            <w:shd w:val="clear" w:color="auto" w:fill="auto"/>
            <w:noWrap/>
            <w:vAlign w:val="bottom"/>
            <w:hideMark/>
          </w:tcPr>
          <w:p w14:paraId="56DCDEDC" w14:textId="77777777" w:rsidR="00171183" w:rsidRPr="00297BAD" w:rsidRDefault="00171183" w:rsidP="0042337C">
            <w:pPr>
              <w:pStyle w:val="StandaardSV"/>
            </w:pPr>
            <w:r w:rsidRPr="00297BAD">
              <w:t>57%</w:t>
            </w:r>
          </w:p>
        </w:tc>
        <w:tc>
          <w:tcPr>
            <w:tcW w:w="851" w:type="dxa"/>
            <w:tcBorders>
              <w:top w:val="nil"/>
              <w:left w:val="nil"/>
              <w:bottom w:val="single" w:sz="4" w:space="0" w:color="auto"/>
              <w:right w:val="single" w:sz="4" w:space="0" w:color="auto"/>
            </w:tcBorders>
            <w:shd w:val="clear" w:color="auto" w:fill="auto"/>
            <w:noWrap/>
            <w:vAlign w:val="bottom"/>
            <w:hideMark/>
          </w:tcPr>
          <w:p w14:paraId="725E8EE9" w14:textId="77777777" w:rsidR="00171183" w:rsidRPr="00297BAD" w:rsidRDefault="00171183" w:rsidP="0042337C">
            <w:pPr>
              <w:pStyle w:val="StandaardSV"/>
            </w:pPr>
            <w:r w:rsidRPr="00297BAD">
              <w:t>662</w:t>
            </w:r>
          </w:p>
        </w:tc>
        <w:tc>
          <w:tcPr>
            <w:tcW w:w="709" w:type="dxa"/>
            <w:tcBorders>
              <w:top w:val="nil"/>
              <w:left w:val="nil"/>
              <w:bottom w:val="single" w:sz="4" w:space="0" w:color="auto"/>
              <w:right w:val="single" w:sz="4" w:space="0" w:color="auto"/>
            </w:tcBorders>
            <w:shd w:val="clear" w:color="auto" w:fill="auto"/>
            <w:noWrap/>
            <w:vAlign w:val="bottom"/>
            <w:hideMark/>
          </w:tcPr>
          <w:p w14:paraId="309D7D8D" w14:textId="77777777" w:rsidR="00171183" w:rsidRPr="00297BAD" w:rsidRDefault="00171183" w:rsidP="0042337C">
            <w:pPr>
              <w:pStyle w:val="StandaardSV"/>
            </w:pPr>
            <w:r w:rsidRPr="00297BAD">
              <w:t>35%</w:t>
            </w:r>
          </w:p>
        </w:tc>
        <w:tc>
          <w:tcPr>
            <w:tcW w:w="992" w:type="dxa"/>
            <w:tcBorders>
              <w:top w:val="nil"/>
              <w:left w:val="nil"/>
              <w:bottom w:val="single" w:sz="4" w:space="0" w:color="auto"/>
              <w:right w:val="single" w:sz="4" w:space="0" w:color="auto"/>
            </w:tcBorders>
            <w:shd w:val="clear" w:color="auto" w:fill="auto"/>
            <w:noWrap/>
            <w:vAlign w:val="bottom"/>
            <w:hideMark/>
          </w:tcPr>
          <w:p w14:paraId="24E65C45" w14:textId="77777777" w:rsidR="00171183" w:rsidRPr="00297BAD" w:rsidRDefault="00171183" w:rsidP="0042337C">
            <w:pPr>
              <w:pStyle w:val="StandaardSV"/>
            </w:pPr>
            <w:r w:rsidRPr="00297BAD">
              <w:t>302</w:t>
            </w:r>
          </w:p>
        </w:tc>
        <w:tc>
          <w:tcPr>
            <w:tcW w:w="709" w:type="dxa"/>
            <w:tcBorders>
              <w:top w:val="nil"/>
              <w:left w:val="nil"/>
              <w:bottom w:val="single" w:sz="4" w:space="0" w:color="auto"/>
              <w:right w:val="single" w:sz="4" w:space="0" w:color="auto"/>
            </w:tcBorders>
            <w:shd w:val="clear" w:color="auto" w:fill="auto"/>
            <w:noWrap/>
            <w:vAlign w:val="bottom"/>
            <w:hideMark/>
          </w:tcPr>
          <w:p w14:paraId="346E98EF" w14:textId="77777777" w:rsidR="00171183" w:rsidRPr="00297BAD" w:rsidRDefault="00171183" w:rsidP="0042337C">
            <w:pPr>
              <w:pStyle w:val="StandaardSV"/>
            </w:pPr>
            <w:r w:rsidRPr="00297BAD">
              <w:t>32%</w:t>
            </w:r>
          </w:p>
        </w:tc>
      </w:tr>
      <w:tr w:rsidR="00171183" w:rsidRPr="00297BAD" w14:paraId="7357C070"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F091AD3"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4B56F162" w14:textId="77777777" w:rsidR="00171183" w:rsidRPr="00297BAD" w:rsidRDefault="00171183" w:rsidP="0042337C">
            <w:pPr>
              <w:pStyle w:val="StandaardSV"/>
              <w:rPr>
                <w:b/>
              </w:rPr>
            </w:pPr>
            <w:r w:rsidRPr="00297BAD">
              <w:rPr>
                <w:b/>
              </w:rPr>
              <w:t>Totaal</w:t>
            </w:r>
          </w:p>
        </w:tc>
        <w:tc>
          <w:tcPr>
            <w:tcW w:w="993" w:type="dxa"/>
            <w:tcBorders>
              <w:top w:val="nil"/>
              <w:left w:val="single" w:sz="4" w:space="0" w:color="auto"/>
              <w:bottom w:val="single" w:sz="4" w:space="0" w:color="auto"/>
              <w:right w:val="single" w:sz="4" w:space="0" w:color="auto"/>
            </w:tcBorders>
            <w:vAlign w:val="bottom"/>
          </w:tcPr>
          <w:p w14:paraId="6177299F" w14:textId="77777777" w:rsidR="00171183" w:rsidRPr="00297BAD" w:rsidRDefault="00171183" w:rsidP="0042337C">
            <w:pPr>
              <w:pStyle w:val="StandaardSV"/>
              <w:rPr>
                <w:b/>
                <w:bCs/>
              </w:rPr>
            </w:pPr>
            <w:r w:rsidRPr="00297BAD">
              <w:rPr>
                <w:b/>
                <w:bCs/>
              </w:rPr>
              <w:t>20.571</w:t>
            </w:r>
          </w:p>
        </w:tc>
        <w:tc>
          <w:tcPr>
            <w:tcW w:w="1134" w:type="dxa"/>
            <w:tcBorders>
              <w:top w:val="nil"/>
              <w:left w:val="single" w:sz="4" w:space="0" w:color="auto"/>
              <w:bottom w:val="single" w:sz="4" w:space="0" w:color="auto"/>
              <w:right w:val="single" w:sz="4" w:space="0" w:color="auto"/>
            </w:tcBorders>
            <w:vAlign w:val="bottom"/>
          </w:tcPr>
          <w:p w14:paraId="33849D9E" w14:textId="77777777" w:rsidR="00171183" w:rsidRPr="00297BAD" w:rsidRDefault="00171183" w:rsidP="0042337C">
            <w:pPr>
              <w:pStyle w:val="StandaardSV"/>
              <w:rPr>
                <w:b/>
                <w:bCs/>
              </w:rPr>
            </w:pPr>
            <w:r w:rsidRPr="00297BAD">
              <w:rPr>
                <w:b/>
                <w:bCs/>
              </w:rPr>
              <w:t>7.772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9F7C9C" w14:textId="77777777" w:rsidR="00171183" w:rsidRPr="00297BAD" w:rsidRDefault="00171183" w:rsidP="0042337C">
            <w:pPr>
              <w:pStyle w:val="StandaardSV"/>
              <w:rPr>
                <w:b/>
                <w:bCs/>
              </w:rPr>
            </w:pPr>
            <w:r w:rsidRPr="00297BAD">
              <w:rPr>
                <w:b/>
                <w:bCs/>
              </w:rPr>
              <w:t>13.812</w:t>
            </w:r>
          </w:p>
        </w:tc>
        <w:tc>
          <w:tcPr>
            <w:tcW w:w="850" w:type="dxa"/>
            <w:tcBorders>
              <w:top w:val="nil"/>
              <w:left w:val="nil"/>
              <w:bottom w:val="single" w:sz="4" w:space="0" w:color="auto"/>
              <w:right w:val="single" w:sz="4" w:space="0" w:color="auto"/>
            </w:tcBorders>
            <w:shd w:val="clear" w:color="auto" w:fill="auto"/>
            <w:noWrap/>
            <w:vAlign w:val="bottom"/>
            <w:hideMark/>
          </w:tcPr>
          <w:p w14:paraId="5E7C27B7" w14:textId="77777777" w:rsidR="00171183" w:rsidRPr="00297BAD" w:rsidRDefault="00171183" w:rsidP="0042337C">
            <w:pPr>
              <w:pStyle w:val="StandaardSV"/>
              <w:rPr>
                <w:b/>
                <w:bCs/>
              </w:rPr>
            </w:pPr>
            <w:r w:rsidRPr="00297BAD">
              <w:rPr>
                <w:b/>
                <w:bCs/>
              </w:rPr>
              <w:t>67%</w:t>
            </w:r>
          </w:p>
        </w:tc>
        <w:tc>
          <w:tcPr>
            <w:tcW w:w="851" w:type="dxa"/>
            <w:tcBorders>
              <w:top w:val="nil"/>
              <w:left w:val="nil"/>
              <w:bottom w:val="single" w:sz="4" w:space="0" w:color="auto"/>
              <w:right w:val="single" w:sz="4" w:space="0" w:color="auto"/>
            </w:tcBorders>
            <w:shd w:val="clear" w:color="auto" w:fill="auto"/>
            <w:noWrap/>
            <w:vAlign w:val="bottom"/>
            <w:hideMark/>
          </w:tcPr>
          <w:p w14:paraId="5C0C766A" w14:textId="77777777" w:rsidR="00171183" w:rsidRPr="00297BAD" w:rsidRDefault="00171183" w:rsidP="0042337C">
            <w:pPr>
              <w:pStyle w:val="StandaardSV"/>
              <w:rPr>
                <w:b/>
                <w:bCs/>
              </w:rPr>
            </w:pPr>
            <w:r w:rsidRPr="00297BAD">
              <w:rPr>
                <w:b/>
                <w:bCs/>
              </w:rPr>
              <w:t>4.642</w:t>
            </w:r>
          </w:p>
        </w:tc>
        <w:tc>
          <w:tcPr>
            <w:tcW w:w="850" w:type="dxa"/>
            <w:tcBorders>
              <w:top w:val="nil"/>
              <w:left w:val="nil"/>
              <w:bottom w:val="single" w:sz="4" w:space="0" w:color="auto"/>
              <w:right w:val="single" w:sz="4" w:space="0" w:color="auto"/>
            </w:tcBorders>
            <w:shd w:val="clear" w:color="auto" w:fill="auto"/>
            <w:noWrap/>
            <w:vAlign w:val="bottom"/>
            <w:hideMark/>
          </w:tcPr>
          <w:p w14:paraId="6527AB21" w14:textId="77777777" w:rsidR="00171183" w:rsidRPr="00297BAD" w:rsidRDefault="00171183" w:rsidP="0042337C">
            <w:pPr>
              <w:pStyle w:val="StandaardSV"/>
              <w:rPr>
                <w:b/>
                <w:bCs/>
              </w:rPr>
            </w:pPr>
            <w:r w:rsidRPr="00297BAD">
              <w:rPr>
                <w:b/>
                <w:bCs/>
              </w:rPr>
              <w:t>60%</w:t>
            </w:r>
          </w:p>
        </w:tc>
        <w:tc>
          <w:tcPr>
            <w:tcW w:w="851" w:type="dxa"/>
            <w:tcBorders>
              <w:top w:val="nil"/>
              <w:left w:val="nil"/>
              <w:bottom w:val="single" w:sz="4" w:space="0" w:color="auto"/>
              <w:right w:val="single" w:sz="4" w:space="0" w:color="auto"/>
            </w:tcBorders>
            <w:shd w:val="clear" w:color="auto" w:fill="auto"/>
            <w:noWrap/>
            <w:vAlign w:val="bottom"/>
            <w:hideMark/>
          </w:tcPr>
          <w:p w14:paraId="3DDCFD09" w14:textId="77777777" w:rsidR="00171183" w:rsidRPr="00297BAD" w:rsidRDefault="00171183" w:rsidP="0042337C">
            <w:pPr>
              <w:pStyle w:val="StandaardSV"/>
              <w:rPr>
                <w:b/>
                <w:bCs/>
              </w:rPr>
            </w:pPr>
            <w:r w:rsidRPr="00297BAD">
              <w:rPr>
                <w:b/>
                <w:bCs/>
              </w:rPr>
              <w:t>10.799</w:t>
            </w:r>
          </w:p>
        </w:tc>
        <w:tc>
          <w:tcPr>
            <w:tcW w:w="709" w:type="dxa"/>
            <w:tcBorders>
              <w:top w:val="nil"/>
              <w:left w:val="nil"/>
              <w:bottom w:val="single" w:sz="4" w:space="0" w:color="auto"/>
              <w:right w:val="single" w:sz="4" w:space="0" w:color="auto"/>
            </w:tcBorders>
            <w:shd w:val="clear" w:color="auto" w:fill="auto"/>
            <w:noWrap/>
            <w:vAlign w:val="bottom"/>
            <w:hideMark/>
          </w:tcPr>
          <w:p w14:paraId="61E41942" w14:textId="77777777" w:rsidR="00171183" w:rsidRPr="00297BAD" w:rsidRDefault="00171183" w:rsidP="0042337C">
            <w:pPr>
              <w:pStyle w:val="StandaardSV"/>
              <w:rPr>
                <w:b/>
                <w:bCs/>
              </w:rPr>
            </w:pPr>
            <w:r w:rsidRPr="00297BAD">
              <w:rPr>
                <w:b/>
                <w:bCs/>
              </w:rPr>
              <w:t>52%</w:t>
            </w:r>
          </w:p>
        </w:tc>
        <w:tc>
          <w:tcPr>
            <w:tcW w:w="992" w:type="dxa"/>
            <w:tcBorders>
              <w:top w:val="nil"/>
              <w:left w:val="nil"/>
              <w:bottom w:val="single" w:sz="4" w:space="0" w:color="auto"/>
              <w:right w:val="single" w:sz="4" w:space="0" w:color="auto"/>
            </w:tcBorders>
            <w:shd w:val="clear" w:color="auto" w:fill="auto"/>
            <w:noWrap/>
            <w:vAlign w:val="bottom"/>
            <w:hideMark/>
          </w:tcPr>
          <w:p w14:paraId="06A9F4C3" w14:textId="77777777" w:rsidR="00171183" w:rsidRPr="00297BAD" w:rsidRDefault="00171183" w:rsidP="0042337C">
            <w:pPr>
              <w:pStyle w:val="StandaardSV"/>
              <w:rPr>
                <w:b/>
                <w:bCs/>
              </w:rPr>
            </w:pPr>
            <w:r w:rsidRPr="00297BAD">
              <w:rPr>
                <w:b/>
                <w:bCs/>
              </w:rPr>
              <w:t>3.184</w:t>
            </w:r>
          </w:p>
        </w:tc>
        <w:tc>
          <w:tcPr>
            <w:tcW w:w="709" w:type="dxa"/>
            <w:tcBorders>
              <w:top w:val="nil"/>
              <w:left w:val="nil"/>
              <w:bottom w:val="single" w:sz="4" w:space="0" w:color="auto"/>
              <w:right w:val="single" w:sz="4" w:space="0" w:color="auto"/>
            </w:tcBorders>
            <w:shd w:val="clear" w:color="auto" w:fill="auto"/>
            <w:noWrap/>
            <w:vAlign w:val="bottom"/>
            <w:hideMark/>
          </w:tcPr>
          <w:p w14:paraId="411F9303" w14:textId="77777777" w:rsidR="00171183" w:rsidRPr="00297BAD" w:rsidRDefault="00171183" w:rsidP="0042337C">
            <w:pPr>
              <w:pStyle w:val="StandaardSV"/>
              <w:rPr>
                <w:b/>
                <w:bCs/>
              </w:rPr>
            </w:pPr>
            <w:r w:rsidRPr="00297BAD">
              <w:rPr>
                <w:b/>
                <w:bCs/>
              </w:rPr>
              <w:t>41%</w:t>
            </w:r>
          </w:p>
        </w:tc>
      </w:tr>
      <w:tr w:rsidR="00171183" w:rsidRPr="00297BAD" w14:paraId="41C82C0A"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87E8D8A" w14:textId="77777777" w:rsidR="00171183" w:rsidRPr="00297BAD" w:rsidRDefault="00171183" w:rsidP="0042337C">
            <w:pPr>
              <w:pStyle w:val="StandaardSV"/>
            </w:pPr>
            <w:r w:rsidRPr="00297BAD">
              <w:t>2012(*)</w:t>
            </w:r>
          </w:p>
        </w:tc>
        <w:tc>
          <w:tcPr>
            <w:tcW w:w="1134" w:type="dxa"/>
            <w:tcBorders>
              <w:top w:val="single" w:sz="4" w:space="0" w:color="auto"/>
              <w:left w:val="nil"/>
              <w:bottom w:val="single" w:sz="4" w:space="0" w:color="auto"/>
              <w:right w:val="single" w:sz="4" w:space="0" w:color="auto"/>
            </w:tcBorders>
            <w:vAlign w:val="bottom"/>
          </w:tcPr>
          <w:p w14:paraId="7A089C8E" w14:textId="77777777" w:rsidR="00171183" w:rsidRPr="00297BAD" w:rsidRDefault="00171183" w:rsidP="0042337C">
            <w:pPr>
              <w:pStyle w:val="StandaardSV"/>
            </w:pPr>
            <w:r w:rsidRPr="00297BAD">
              <w:t>-25 jaar</w:t>
            </w:r>
          </w:p>
        </w:tc>
        <w:tc>
          <w:tcPr>
            <w:tcW w:w="993" w:type="dxa"/>
            <w:tcBorders>
              <w:top w:val="nil"/>
              <w:left w:val="single" w:sz="4" w:space="0" w:color="auto"/>
              <w:bottom w:val="single" w:sz="4" w:space="0" w:color="auto"/>
              <w:right w:val="single" w:sz="4" w:space="0" w:color="auto"/>
            </w:tcBorders>
            <w:vAlign w:val="bottom"/>
          </w:tcPr>
          <w:p w14:paraId="376AE0FB" w14:textId="77777777" w:rsidR="00171183" w:rsidRPr="00297BAD" w:rsidRDefault="00171183" w:rsidP="0042337C">
            <w:pPr>
              <w:pStyle w:val="StandaardSV"/>
            </w:pPr>
            <w:r w:rsidRPr="00297BAD">
              <w:t>7.388</w:t>
            </w:r>
          </w:p>
        </w:tc>
        <w:tc>
          <w:tcPr>
            <w:tcW w:w="1134" w:type="dxa"/>
            <w:tcBorders>
              <w:top w:val="nil"/>
              <w:left w:val="single" w:sz="4" w:space="0" w:color="auto"/>
              <w:bottom w:val="single" w:sz="4" w:space="0" w:color="auto"/>
              <w:right w:val="single" w:sz="4" w:space="0" w:color="auto"/>
            </w:tcBorders>
            <w:vAlign w:val="bottom"/>
          </w:tcPr>
          <w:p w14:paraId="1A45DE85" w14:textId="77777777" w:rsidR="00171183" w:rsidRPr="00297BAD" w:rsidRDefault="00171183" w:rsidP="0042337C">
            <w:pPr>
              <w:pStyle w:val="StandaardSV"/>
            </w:pPr>
            <w:r w:rsidRPr="00297BAD">
              <w:t>2.455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57645EC" w14:textId="77777777" w:rsidR="00171183" w:rsidRPr="00297BAD" w:rsidRDefault="00171183" w:rsidP="0042337C">
            <w:pPr>
              <w:pStyle w:val="StandaardSV"/>
            </w:pPr>
            <w:r w:rsidRPr="00297BAD">
              <w:t>5.273</w:t>
            </w:r>
          </w:p>
        </w:tc>
        <w:tc>
          <w:tcPr>
            <w:tcW w:w="850" w:type="dxa"/>
            <w:tcBorders>
              <w:top w:val="nil"/>
              <w:left w:val="nil"/>
              <w:bottom w:val="single" w:sz="4" w:space="0" w:color="auto"/>
              <w:right w:val="single" w:sz="4" w:space="0" w:color="auto"/>
            </w:tcBorders>
            <w:shd w:val="clear" w:color="auto" w:fill="auto"/>
            <w:noWrap/>
            <w:vAlign w:val="bottom"/>
            <w:hideMark/>
          </w:tcPr>
          <w:p w14:paraId="25652BA7" w14:textId="77777777" w:rsidR="00171183" w:rsidRPr="00297BAD" w:rsidRDefault="00171183" w:rsidP="0042337C">
            <w:pPr>
              <w:pStyle w:val="StandaardSV"/>
            </w:pPr>
            <w:r w:rsidRPr="00297BAD">
              <w:t>71%</w:t>
            </w:r>
          </w:p>
        </w:tc>
        <w:tc>
          <w:tcPr>
            <w:tcW w:w="851" w:type="dxa"/>
            <w:tcBorders>
              <w:top w:val="nil"/>
              <w:left w:val="nil"/>
              <w:bottom w:val="single" w:sz="4" w:space="0" w:color="auto"/>
              <w:right w:val="single" w:sz="4" w:space="0" w:color="auto"/>
            </w:tcBorders>
            <w:shd w:val="clear" w:color="auto" w:fill="auto"/>
            <w:noWrap/>
            <w:vAlign w:val="bottom"/>
            <w:hideMark/>
          </w:tcPr>
          <w:p w14:paraId="354872FF" w14:textId="77777777" w:rsidR="00171183" w:rsidRPr="00297BAD" w:rsidRDefault="00171183" w:rsidP="0042337C">
            <w:pPr>
              <w:pStyle w:val="StandaardSV"/>
            </w:pPr>
            <w:r w:rsidRPr="00297BAD">
              <w:t>1.461</w:t>
            </w:r>
          </w:p>
        </w:tc>
        <w:tc>
          <w:tcPr>
            <w:tcW w:w="850" w:type="dxa"/>
            <w:tcBorders>
              <w:top w:val="nil"/>
              <w:left w:val="nil"/>
              <w:bottom w:val="single" w:sz="4" w:space="0" w:color="auto"/>
              <w:right w:val="single" w:sz="4" w:space="0" w:color="auto"/>
            </w:tcBorders>
            <w:shd w:val="clear" w:color="auto" w:fill="auto"/>
            <w:noWrap/>
            <w:vAlign w:val="bottom"/>
            <w:hideMark/>
          </w:tcPr>
          <w:p w14:paraId="3770657F" w14:textId="77777777" w:rsidR="00171183" w:rsidRPr="00297BAD" w:rsidRDefault="00171183" w:rsidP="0042337C">
            <w:pPr>
              <w:pStyle w:val="StandaardSV"/>
            </w:pPr>
            <w:r w:rsidRPr="00297BAD">
              <w:t>59%</w:t>
            </w:r>
          </w:p>
        </w:tc>
        <w:tc>
          <w:tcPr>
            <w:tcW w:w="851" w:type="dxa"/>
            <w:tcBorders>
              <w:top w:val="nil"/>
              <w:left w:val="nil"/>
              <w:bottom w:val="single" w:sz="4" w:space="0" w:color="auto"/>
              <w:right w:val="single" w:sz="4" w:space="0" w:color="auto"/>
            </w:tcBorders>
            <w:shd w:val="clear" w:color="auto" w:fill="auto"/>
            <w:noWrap/>
            <w:vAlign w:val="bottom"/>
            <w:hideMark/>
          </w:tcPr>
          <w:p w14:paraId="6DF29033" w14:textId="77777777" w:rsidR="00171183" w:rsidRPr="00297BAD" w:rsidRDefault="00171183" w:rsidP="0042337C">
            <w:pPr>
              <w:pStyle w:val="StandaardSV"/>
            </w:pPr>
            <w:r w:rsidRPr="00297BAD">
              <w:t>4.267</w:t>
            </w:r>
          </w:p>
        </w:tc>
        <w:tc>
          <w:tcPr>
            <w:tcW w:w="709" w:type="dxa"/>
            <w:tcBorders>
              <w:top w:val="nil"/>
              <w:left w:val="nil"/>
              <w:bottom w:val="single" w:sz="4" w:space="0" w:color="auto"/>
              <w:right w:val="single" w:sz="4" w:space="0" w:color="auto"/>
            </w:tcBorders>
            <w:shd w:val="clear" w:color="auto" w:fill="auto"/>
            <w:noWrap/>
            <w:vAlign w:val="bottom"/>
            <w:hideMark/>
          </w:tcPr>
          <w:p w14:paraId="0D92F748" w14:textId="77777777" w:rsidR="00171183" w:rsidRPr="00297BAD" w:rsidRDefault="00171183" w:rsidP="0042337C">
            <w:pPr>
              <w:pStyle w:val="StandaardSV"/>
            </w:pPr>
            <w:r w:rsidRPr="00297BAD">
              <w:t>58%</w:t>
            </w:r>
          </w:p>
        </w:tc>
        <w:tc>
          <w:tcPr>
            <w:tcW w:w="992" w:type="dxa"/>
            <w:tcBorders>
              <w:top w:val="nil"/>
              <w:left w:val="nil"/>
              <w:bottom w:val="single" w:sz="4" w:space="0" w:color="auto"/>
              <w:right w:val="single" w:sz="4" w:space="0" w:color="auto"/>
            </w:tcBorders>
            <w:shd w:val="clear" w:color="auto" w:fill="auto"/>
            <w:noWrap/>
            <w:vAlign w:val="bottom"/>
            <w:hideMark/>
          </w:tcPr>
          <w:p w14:paraId="5A253748" w14:textId="77777777" w:rsidR="00171183" w:rsidRPr="00297BAD" w:rsidRDefault="00171183" w:rsidP="0042337C">
            <w:pPr>
              <w:pStyle w:val="StandaardSV"/>
            </w:pPr>
            <w:r w:rsidRPr="00297BAD">
              <w:t>1.010</w:t>
            </w:r>
          </w:p>
        </w:tc>
        <w:tc>
          <w:tcPr>
            <w:tcW w:w="709" w:type="dxa"/>
            <w:tcBorders>
              <w:top w:val="nil"/>
              <w:left w:val="nil"/>
              <w:bottom w:val="single" w:sz="4" w:space="0" w:color="auto"/>
              <w:right w:val="single" w:sz="4" w:space="0" w:color="auto"/>
            </w:tcBorders>
            <w:shd w:val="clear" w:color="auto" w:fill="auto"/>
            <w:noWrap/>
            <w:vAlign w:val="bottom"/>
            <w:hideMark/>
          </w:tcPr>
          <w:p w14:paraId="60C6B2D9" w14:textId="77777777" w:rsidR="00171183" w:rsidRPr="00297BAD" w:rsidRDefault="00171183" w:rsidP="0042337C">
            <w:pPr>
              <w:pStyle w:val="StandaardSV"/>
              <w:rPr>
                <w:b/>
                <w:bCs/>
              </w:rPr>
            </w:pPr>
            <w:r w:rsidRPr="00297BAD">
              <w:rPr>
                <w:b/>
                <w:bCs/>
              </w:rPr>
              <w:t>41%</w:t>
            </w:r>
          </w:p>
        </w:tc>
      </w:tr>
      <w:tr w:rsidR="00171183" w:rsidRPr="00297BAD" w14:paraId="2F9CAE8C"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74E431E"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50719450" w14:textId="77777777" w:rsidR="00171183" w:rsidRPr="00297BAD" w:rsidRDefault="00171183" w:rsidP="0042337C">
            <w:pPr>
              <w:pStyle w:val="StandaardSV"/>
            </w:pPr>
            <w:r w:rsidRPr="00297BAD">
              <w:t>25-50 jaar</w:t>
            </w:r>
          </w:p>
        </w:tc>
        <w:tc>
          <w:tcPr>
            <w:tcW w:w="993" w:type="dxa"/>
            <w:tcBorders>
              <w:top w:val="nil"/>
              <w:left w:val="single" w:sz="4" w:space="0" w:color="auto"/>
              <w:bottom w:val="single" w:sz="4" w:space="0" w:color="auto"/>
              <w:right w:val="single" w:sz="4" w:space="0" w:color="auto"/>
            </w:tcBorders>
            <w:vAlign w:val="bottom"/>
          </w:tcPr>
          <w:p w14:paraId="3053A6AB" w14:textId="77777777" w:rsidR="00171183" w:rsidRPr="00297BAD" w:rsidRDefault="00171183" w:rsidP="0042337C">
            <w:pPr>
              <w:pStyle w:val="StandaardSV"/>
            </w:pPr>
            <w:r w:rsidRPr="00297BAD">
              <w:t>11.491</w:t>
            </w:r>
          </w:p>
        </w:tc>
        <w:tc>
          <w:tcPr>
            <w:tcW w:w="1134" w:type="dxa"/>
            <w:tcBorders>
              <w:top w:val="nil"/>
              <w:left w:val="single" w:sz="4" w:space="0" w:color="auto"/>
              <w:bottom w:val="single" w:sz="4" w:space="0" w:color="auto"/>
              <w:right w:val="single" w:sz="4" w:space="0" w:color="auto"/>
            </w:tcBorders>
            <w:vAlign w:val="bottom"/>
          </w:tcPr>
          <w:p w14:paraId="142DAD4A" w14:textId="77777777" w:rsidR="00171183" w:rsidRPr="00297BAD" w:rsidRDefault="00171183" w:rsidP="0042337C">
            <w:pPr>
              <w:pStyle w:val="StandaardSV"/>
            </w:pPr>
            <w:r w:rsidRPr="00297BAD">
              <w:t>4.372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75DA814" w14:textId="77777777" w:rsidR="00171183" w:rsidRPr="00297BAD" w:rsidRDefault="00171183" w:rsidP="0042337C">
            <w:pPr>
              <w:pStyle w:val="StandaardSV"/>
            </w:pPr>
            <w:r w:rsidRPr="00297BAD">
              <w:t>7.204</w:t>
            </w:r>
          </w:p>
        </w:tc>
        <w:tc>
          <w:tcPr>
            <w:tcW w:w="850" w:type="dxa"/>
            <w:tcBorders>
              <w:top w:val="nil"/>
              <w:left w:val="nil"/>
              <w:bottom w:val="single" w:sz="4" w:space="0" w:color="auto"/>
              <w:right w:val="single" w:sz="4" w:space="0" w:color="auto"/>
            </w:tcBorders>
            <w:shd w:val="clear" w:color="auto" w:fill="auto"/>
            <w:noWrap/>
            <w:vAlign w:val="bottom"/>
            <w:hideMark/>
          </w:tcPr>
          <w:p w14:paraId="1F05E9F3" w14:textId="77777777" w:rsidR="00171183" w:rsidRPr="00297BAD" w:rsidRDefault="00171183" w:rsidP="0042337C">
            <w:pPr>
              <w:pStyle w:val="StandaardSV"/>
            </w:pPr>
            <w:r w:rsidRPr="00297BAD">
              <w:t>63%</w:t>
            </w:r>
          </w:p>
        </w:tc>
        <w:tc>
          <w:tcPr>
            <w:tcW w:w="851" w:type="dxa"/>
            <w:tcBorders>
              <w:top w:val="nil"/>
              <w:left w:val="nil"/>
              <w:bottom w:val="single" w:sz="4" w:space="0" w:color="auto"/>
              <w:right w:val="single" w:sz="4" w:space="0" w:color="auto"/>
            </w:tcBorders>
            <w:shd w:val="clear" w:color="auto" w:fill="auto"/>
            <w:noWrap/>
            <w:vAlign w:val="bottom"/>
            <w:hideMark/>
          </w:tcPr>
          <w:p w14:paraId="40ECCB38" w14:textId="77777777" w:rsidR="00171183" w:rsidRPr="00297BAD" w:rsidRDefault="00171183" w:rsidP="0042337C">
            <w:pPr>
              <w:pStyle w:val="StandaardSV"/>
            </w:pPr>
            <w:r w:rsidRPr="00297BAD">
              <w:t>2.564</w:t>
            </w:r>
          </w:p>
        </w:tc>
        <w:tc>
          <w:tcPr>
            <w:tcW w:w="850" w:type="dxa"/>
            <w:tcBorders>
              <w:top w:val="nil"/>
              <w:left w:val="nil"/>
              <w:bottom w:val="single" w:sz="4" w:space="0" w:color="auto"/>
              <w:right w:val="single" w:sz="4" w:space="0" w:color="auto"/>
            </w:tcBorders>
            <w:shd w:val="clear" w:color="auto" w:fill="auto"/>
            <w:noWrap/>
            <w:vAlign w:val="bottom"/>
            <w:hideMark/>
          </w:tcPr>
          <w:p w14:paraId="573D092C" w14:textId="77777777" w:rsidR="00171183" w:rsidRPr="00297BAD" w:rsidRDefault="00171183" w:rsidP="0042337C">
            <w:pPr>
              <w:pStyle w:val="StandaardSV"/>
            </w:pPr>
            <w:r w:rsidRPr="00297BAD">
              <w:t>59%</w:t>
            </w:r>
          </w:p>
        </w:tc>
        <w:tc>
          <w:tcPr>
            <w:tcW w:w="851" w:type="dxa"/>
            <w:tcBorders>
              <w:top w:val="nil"/>
              <w:left w:val="nil"/>
              <w:bottom w:val="single" w:sz="4" w:space="0" w:color="auto"/>
              <w:right w:val="single" w:sz="4" w:space="0" w:color="auto"/>
            </w:tcBorders>
            <w:shd w:val="clear" w:color="auto" w:fill="auto"/>
            <w:noWrap/>
            <w:vAlign w:val="bottom"/>
            <w:hideMark/>
          </w:tcPr>
          <w:p w14:paraId="5B95B10D" w14:textId="77777777" w:rsidR="00171183" w:rsidRPr="00297BAD" w:rsidRDefault="00171183" w:rsidP="0042337C">
            <w:pPr>
              <w:pStyle w:val="StandaardSV"/>
            </w:pPr>
            <w:r w:rsidRPr="00297BAD">
              <w:t>5.522</w:t>
            </w:r>
          </w:p>
        </w:tc>
        <w:tc>
          <w:tcPr>
            <w:tcW w:w="709" w:type="dxa"/>
            <w:tcBorders>
              <w:top w:val="nil"/>
              <w:left w:val="nil"/>
              <w:bottom w:val="single" w:sz="4" w:space="0" w:color="auto"/>
              <w:right w:val="single" w:sz="4" w:space="0" w:color="auto"/>
            </w:tcBorders>
            <w:shd w:val="clear" w:color="auto" w:fill="auto"/>
            <w:noWrap/>
            <w:vAlign w:val="bottom"/>
            <w:hideMark/>
          </w:tcPr>
          <w:p w14:paraId="18B63849" w14:textId="77777777" w:rsidR="00171183" w:rsidRPr="00297BAD" w:rsidRDefault="00171183" w:rsidP="0042337C">
            <w:pPr>
              <w:pStyle w:val="StandaardSV"/>
            </w:pPr>
            <w:r w:rsidRPr="00297BAD">
              <w:t>48%</w:t>
            </w:r>
          </w:p>
        </w:tc>
        <w:tc>
          <w:tcPr>
            <w:tcW w:w="992" w:type="dxa"/>
            <w:tcBorders>
              <w:top w:val="nil"/>
              <w:left w:val="nil"/>
              <w:bottom w:val="single" w:sz="4" w:space="0" w:color="auto"/>
              <w:right w:val="single" w:sz="4" w:space="0" w:color="auto"/>
            </w:tcBorders>
            <w:shd w:val="clear" w:color="auto" w:fill="auto"/>
            <w:noWrap/>
            <w:vAlign w:val="bottom"/>
            <w:hideMark/>
          </w:tcPr>
          <w:p w14:paraId="219A05F7" w14:textId="77777777" w:rsidR="00171183" w:rsidRPr="00297BAD" w:rsidRDefault="00171183" w:rsidP="0042337C">
            <w:pPr>
              <w:pStyle w:val="StandaardSV"/>
            </w:pPr>
            <w:r w:rsidRPr="00297BAD">
              <w:t>1.772</w:t>
            </w:r>
          </w:p>
        </w:tc>
        <w:tc>
          <w:tcPr>
            <w:tcW w:w="709" w:type="dxa"/>
            <w:tcBorders>
              <w:top w:val="nil"/>
              <w:left w:val="nil"/>
              <w:bottom w:val="single" w:sz="4" w:space="0" w:color="auto"/>
              <w:right w:val="single" w:sz="4" w:space="0" w:color="auto"/>
            </w:tcBorders>
            <w:shd w:val="clear" w:color="auto" w:fill="auto"/>
            <w:noWrap/>
            <w:vAlign w:val="bottom"/>
            <w:hideMark/>
          </w:tcPr>
          <w:p w14:paraId="2CE3861C" w14:textId="77777777" w:rsidR="00171183" w:rsidRPr="00297BAD" w:rsidRDefault="00171183" w:rsidP="0042337C">
            <w:pPr>
              <w:pStyle w:val="StandaardSV"/>
              <w:rPr>
                <w:b/>
                <w:bCs/>
              </w:rPr>
            </w:pPr>
            <w:r w:rsidRPr="00297BAD">
              <w:rPr>
                <w:b/>
                <w:bCs/>
              </w:rPr>
              <w:t>41%</w:t>
            </w:r>
          </w:p>
        </w:tc>
      </w:tr>
      <w:tr w:rsidR="00171183" w:rsidRPr="00297BAD" w14:paraId="06CC4213"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8E10A8D"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5C5E86F5" w14:textId="77777777" w:rsidR="00171183" w:rsidRPr="00297BAD" w:rsidRDefault="00171183" w:rsidP="0042337C">
            <w:pPr>
              <w:pStyle w:val="StandaardSV"/>
            </w:pPr>
            <w:r w:rsidRPr="00297BAD">
              <w:t>+50 jaar</w:t>
            </w:r>
          </w:p>
        </w:tc>
        <w:tc>
          <w:tcPr>
            <w:tcW w:w="993" w:type="dxa"/>
            <w:tcBorders>
              <w:top w:val="nil"/>
              <w:left w:val="single" w:sz="4" w:space="0" w:color="auto"/>
              <w:bottom w:val="single" w:sz="4" w:space="0" w:color="auto"/>
              <w:right w:val="single" w:sz="4" w:space="0" w:color="auto"/>
            </w:tcBorders>
            <w:vAlign w:val="bottom"/>
          </w:tcPr>
          <w:p w14:paraId="316C46A3" w14:textId="77777777" w:rsidR="00171183" w:rsidRPr="00297BAD" w:rsidRDefault="00171183" w:rsidP="0042337C">
            <w:pPr>
              <w:pStyle w:val="StandaardSV"/>
            </w:pPr>
            <w:r w:rsidRPr="00297BAD">
              <w:t>1.979</w:t>
            </w:r>
          </w:p>
        </w:tc>
        <w:tc>
          <w:tcPr>
            <w:tcW w:w="1134" w:type="dxa"/>
            <w:tcBorders>
              <w:top w:val="nil"/>
              <w:left w:val="single" w:sz="4" w:space="0" w:color="auto"/>
              <w:bottom w:val="single" w:sz="4" w:space="0" w:color="auto"/>
              <w:right w:val="single" w:sz="4" w:space="0" w:color="auto"/>
            </w:tcBorders>
            <w:vAlign w:val="bottom"/>
          </w:tcPr>
          <w:p w14:paraId="21DEA8B1" w14:textId="77777777" w:rsidR="00171183" w:rsidRPr="00297BAD" w:rsidRDefault="00171183" w:rsidP="0042337C">
            <w:pPr>
              <w:pStyle w:val="StandaardSV"/>
            </w:pPr>
            <w:r w:rsidRPr="00297BAD">
              <w:t>965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5FA6118" w14:textId="77777777" w:rsidR="00171183" w:rsidRPr="00297BAD" w:rsidRDefault="00171183" w:rsidP="0042337C">
            <w:pPr>
              <w:pStyle w:val="StandaardSV"/>
            </w:pPr>
            <w:r w:rsidRPr="00297BAD">
              <w:t>1.129</w:t>
            </w:r>
          </w:p>
        </w:tc>
        <w:tc>
          <w:tcPr>
            <w:tcW w:w="850" w:type="dxa"/>
            <w:tcBorders>
              <w:top w:val="nil"/>
              <w:left w:val="nil"/>
              <w:bottom w:val="single" w:sz="4" w:space="0" w:color="auto"/>
              <w:right w:val="single" w:sz="4" w:space="0" w:color="auto"/>
            </w:tcBorders>
            <w:shd w:val="clear" w:color="auto" w:fill="auto"/>
            <w:noWrap/>
            <w:vAlign w:val="bottom"/>
            <w:hideMark/>
          </w:tcPr>
          <w:p w14:paraId="216BCAE9" w14:textId="77777777" w:rsidR="00171183" w:rsidRPr="00297BAD" w:rsidRDefault="00171183" w:rsidP="0042337C">
            <w:pPr>
              <w:pStyle w:val="StandaardSV"/>
            </w:pPr>
            <w:r w:rsidRPr="00297BAD">
              <w:t>57%</w:t>
            </w:r>
          </w:p>
        </w:tc>
        <w:tc>
          <w:tcPr>
            <w:tcW w:w="851" w:type="dxa"/>
            <w:tcBorders>
              <w:top w:val="nil"/>
              <w:left w:val="nil"/>
              <w:bottom w:val="single" w:sz="4" w:space="0" w:color="auto"/>
              <w:right w:val="single" w:sz="4" w:space="0" w:color="auto"/>
            </w:tcBorders>
            <w:shd w:val="clear" w:color="auto" w:fill="auto"/>
            <w:noWrap/>
            <w:vAlign w:val="bottom"/>
            <w:hideMark/>
          </w:tcPr>
          <w:p w14:paraId="3F54036B" w14:textId="77777777" w:rsidR="00171183" w:rsidRPr="00297BAD" w:rsidRDefault="00171183" w:rsidP="0042337C">
            <w:pPr>
              <w:pStyle w:val="StandaardSV"/>
            </w:pPr>
            <w:r w:rsidRPr="00297BAD">
              <w:t>536</w:t>
            </w:r>
          </w:p>
        </w:tc>
        <w:tc>
          <w:tcPr>
            <w:tcW w:w="850" w:type="dxa"/>
            <w:tcBorders>
              <w:top w:val="nil"/>
              <w:left w:val="nil"/>
              <w:bottom w:val="single" w:sz="4" w:space="0" w:color="auto"/>
              <w:right w:val="single" w:sz="4" w:space="0" w:color="auto"/>
            </w:tcBorders>
            <w:shd w:val="clear" w:color="auto" w:fill="auto"/>
            <w:noWrap/>
            <w:vAlign w:val="bottom"/>
            <w:hideMark/>
          </w:tcPr>
          <w:p w14:paraId="1513F13F" w14:textId="77777777" w:rsidR="00171183" w:rsidRPr="00297BAD" w:rsidRDefault="00171183" w:rsidP="0042337C">
            <w:pPr>
              <w:pStyle w:val="StandaardSV"/>
            </w:pPr>
            <w:r w:rsidRPr="00297BAD">
              <w:t>56%</w:t>
            </w:r>
          </w:p>
        </w:tc>
        <w:tc>
          <w:tcPr>
            <w:tcW w:w="851" w:type="dxa"/>
            <w:tcBorders>
              <w:top w:val="nil"/>
              <w:left w:val="nil"/>
              <w:bottom w:val="single" w:sz="4" w:space="0" w:color="auto"/>
              <w:right w:val="single" w:sz="4" w:space="0" w:color="auto"/>
            </w:tcBorders>
            <w:shd w:val="clear" w:color="auto" w:fill="auto"/>
            <w:noWrap/>
            <w:vAlign w:val="bottom"/>
            <w:hideMark/>
          </w:tcPr>
          <w:p w14:paraId="391ABB67" w14:textId="77777777" w:rsidR="00171183" w:rsidRPr="00297BAD" w:rsidRDefault="00171183" w:rsidP="0042337C">
            <w:pPr>
              <w:pStyle w:val="StandaardSV"/>
            </w:pPr>
            <w:r w:rsidRPr="00297BAD">
              <w:t>671</w:t>
            </w:r>
          </w:p>
        </w:tc>
        <w:tc>
          <w:tcPr>
            <w:tcW w:w="709" w:type="dxa"/>
            <w:tcBorders>
              <w:top w:val="nil"/>
              <w:left w:val="nil"/>
              <w:bottom w:val="single" w:sz="4" w:space="0" w:color="auto"/>
              <w:right w:val="single" w:sz="4" w:space="0" w:color="auto"/>
            </w:tcBorders>
            <w:shd w:val="clear" w:color="auto" w:fill="auto"/>
            <w:noWrap/>
            <w:vAlign w:val="bottom"/>
            <w:hideMark/>
          </w:tcPr>
          <w:p w14:paraId="51943D20" w14:textId="77777777" w:rsidR="00171183" w:rsidRPr="00297BAD" w:rsidRDefault="00171183" w:rsidP="0042337C">
            <w:pPr>
              <w:pStyle w:val="StandaardSV"/>
            </w:pPr>
            <w:r w:rsidRPr="00297BAD">
              <w:t>34%</w:t>
            </w:r>
          </w:p>
        </w:tc>
        <w:tc>
          <w:tcPr>
            <w:tcW w:w="992" w:type="dxa"/>
            <w:tcBorders>
              <w:top w:val="nil"/>
              <w:left w:val="nil"/>
              <w:bottom w:val="single" w:sz="4" w:space="0" w:color="auto"/>
              <w:right w:val="single" w:sz="4" w:space="0" w:color="auto"/>
            </w:tcBorders>
            <w:shd w:val="clear" w:color="auto" w:fill="auto"/>
            <w:noWrap/>
            <w:vAlign w:val="bottom"/>
            <w:hideMark/>
          </w:tcPr>
          <w:p w14:paraId="3EF9E53E" w14:textId="77777777" w:rsidR="00171183" w:rsidRPr="00297BAD" w:rsidRDefault="00171183" w:rsidP="0042337C">
            <w:pPr>
              <w:pStyle w:val="StandaardSV"/>
            </w:pPr>
            <w:r w:rsidRPr="00297BAD">
              <w:t>297</w:t>
            </w:r>
          </w:p>
        </w:tc>
        <w:tc>
          <w:tcPr>
            <w:tcW w:w="709" w:type="dxa"/>
            <w:tcBorders>
              <w:top w:val="nil"/>
              <w:left w:val="nil"/>
              <w:bottom w:val="single" w:sz="4" w:space="0" w:color="auto"/>
              <w:right w:val="single" w:sz="4" w:space="0" w:color="auto"/>
            </w:tcBorders>
            <w:shd w:val="clear" w:color="auto" w:fill="auto"/>
            <w:noWrap/>
            <w:vAlign w:val="bottom"/>
            <w:hideMark/>
          </w:tcPr>
          <w:p w14:paraId="13DC5597" w14:textId="77777777" w:rsidR="00171183" w:rsidRPr="00297BAD" w:rsidRDefault="00171183" w:rsidP="0042337C">
            <w:pPr>
              <w:pStyle w:val="StandaardSV"/>
              <w:rPr>
                <w:b/>
                <w:bCs/>
              </w:rPr>
            </w:pPr>
            <w:r w:rsidRPr="00297BAD">
              <w:rPr>
                <w:b/>
                <w:bCs/>
              </w:rPr>
              <w:t>31%</w:t>
            </w:r>
          </w:p>
        </w:tc>
      </w:tr>
      <w:tr w:rsidR="00171183" w:rsidRPr="00297BAD" w14:paraId="6F074CD2" w14:textId="77777777" w:rsidTr="0042337C">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50F7990" w14:textId="77777777" w:rsidR="00171183" w:rsidRPr="00297BAD" w:rsidRDefault="00171183" w:rsidP="0042337C">
            <w:pPr>
              <w:pStyle w:val="StandaardSV"/>
            </w:pPr>
            <w:r w:rsidRPr="00297BAD">
              <w:t> </w:t>
            </w:r>
          </w:p>
        </w:tc>
        <w:tc>
          <w:tcPr>
            <w:tcW w:w="1134" w:type="dxa"/>
            <w:tcBorders>
              <w:top w:val="single" w:sz="4" w:space="0" w:color="auto"/>
              <w:left w:val="nil"/>
              <w:bottom w:val="single" w:sz="4" w:space="0" w:color="auto"/>
              <w:right w:val="single" w:sz="4" w:space="0" w:color="auto"/>
            </w:tcBorders>
            <w:vAlign w:val="bottom"/>
          </w:tcPr>
          <w:p w14:paraId="1DB77F07" w14:textId="77777777" w:rsidR="00171183" w:rsidRPr="00297BAD" w:rsidRDefault="00171183" w:rsidP="0042337C">
            <w:pPr>
              <w:pStyle w:val="StandaardSV"/>
              <w:rPr>
                <w:b/>
              </w:rPr>
            </w:pPr>
            <w:r w:rsidRPr="00297BAD">
              <w:rPr>
                <w:b/>
              </w:rPr>
              <w:t>Totaal</w:t>
            </w:r>
          </w:p>
        </w:tc>
        <w:tc>
          <w:tcPr>
            <w:tcW w:w="993" w:type="dxa"/>
            <w:tcBorders>
              <w:top w:val="nil"/>
              <w:left w:val="single" w:sz="4" w:space="0" w:color="auto"/>
              <w:bottom w:val="single" w:sz="4" w:space="0" w:color="auto"/>
              <w:right w:val="single" w:sz="4" w:space="0" w:color="auto"/>
            </w:tcBorders>
            <w:vAlign w:val="bottom"/>
          </w:tcPr>
          <w:p w14:paraId="2390F0BC" w14:textId="77777777" w:rsidR="00171183" w:rsidRPr="00297BAD" w:rsidRDefault="00171183" w:rsidP="0042337C">
            <w:pPr>
              <w:pStyle w:val="StandaardSV"/>
              <w:rPr>
                <w:b/>
                <w:bCs/>
              </w:rPr>
            </w:pPr>
            <w:r w:rsidRPr="00297BAD">
              <w:rPr>
                <w:b/>
                <w:bCs/>
              </w:rPr>
              <w:t>20.858</w:t>
            </w:r>
          </w:p>
        </w:tc>
        <w:tc>
          <w:tcPr>
            <w:tcW w:w="1134" w:type="dxa"/>
            <w:tcBorders>
              <w:top w:val="nil"/>
              <w:left w:val="single" w:sz="4" w:space="0" w:color="auto"/>
              <w:bottom w:val="single" w:sz="4" w:space="0" w:color="auto"/>
              <w:right w:val="single" w:sz="4" w:space="0" w:color="auto"/>
            </w:tcBorders>
            <w:vAlign w:val="bottom"/>
          </w:tcPr>
          <w:p w14:paraId="0A7010D3" w14:textId="77777777" w:rsidR="00171183" w:rsidRPr="00297BAD" w:rsidRDefault="00171183" w:rsidP="0042337C">
            <w:pPr>
              <w:pStyle w:val="StandaardSV"/>
              <w:rPr>
                <w:b/>
                <w:bCs/>
              </w:rPr>
            </w:pPr>
            <w:r w:rsidRPr="00297BAD">
              <w:rPr>
                <w:b/>
                <w:bCs/>
              </w:rPr>
              <w:t>7.792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8422ECB" w14:textId="77777777" w:rsidR="00171183" w:rsidRPr="00297BAD" w:rsidRDefault="00171183" w:rsidP="0042337C">
            <w:pPr>
              <w:pStyle w:val="StandaardSV"/>
              <w:rPr>
                <w:b/>
                <w:bCs/>
              </w:rPr>
            </w:pPr>
            <w:r w:rsidRPr="00297BAD">
              <w:rPr>
                <w:b/>
                <w:bCs/>
              </w:rPr>
              <w:t>13.606</w:t>
            </w:r>
          </w:p>
        </w:tc>
        <w:tc>
          <w:tcPr>
            <w:tcW w:w="850" w:type="dxa"/>
            <w:tcBorders>
              <w:top w:val="nil"/>
              <w:left w:val="nil"/>
              <w:bottom w:val="single" w:sz="4" w:space="0" w:color="auto"/>
              <w:right w:val="single" w:sz="4" w:space="0" w:color="auto"/>
            </w:tcBorders>
            <w:shd w:val="clear" w:color="auto" w:fill="auto"/>
            <w:noWrap/>
            <w:vAlign w:val="bottom"/>
            <w:hideMark/>
          </w:tcPr>
          <w:p w14:paraId="6E09E7CD" w14:textId="77777777" w:rsidR="00171183" w:rsidRPr="00297BAD" w:rsidRDefault="00171183" w:rsidP="0042337C">
            <w:pPr>
              <w:pStyle w:val="StandaardSV"/>
              <w:rPr>
                <w:b/>
                <w:bCs/>
              </w:rPr>
            </w:pPr>
            <w:r w:rsidRPr="00297BAD">
              <w:rPr>
                <w:b/>
                <w:bCs/>
              </w:rPr>
              <w:t>65%</w:t>
            </w:r>
          </w:p>
        </w:tc>
        <w:tc>
          <w:tcPr>
            <w:tcW w:w="851" w:type="dxa"/>
            <w:tcBorders>
              <w:top w:val="nil"/>
              <w:left w:val="nil"/>
              <w:bottom w:val="single" w:sz="4" w:space="0" w:color="auto"/>
              <w:right w:val="single" w:sz="4" w:space="0" w:color="auto"/>
            </w:tcBorders>
            <w:shd w:val="clear" w:color="auto" w:fill="auto"/>
            <w:noWrap/>
            <w:vAlign w:val="bottom"/>
            <w:hideMark/>
          </w:tcPr>
          <w:p w14:paraId="0D0E9D4F" w14:textId="77777777" w:rsidR="00171183" w:rsidRPr="00297BAD" w:rsidRDefault="00171183" w:rsidP="0042337C">
            <w:pPr>
              <w:pStyle w:val="StandaardSV"/>
              <w:rPr>
                <w:b/>
                <w:bCs/>
              </w:rPr>
            </w:pPr>
            <w:r w:rsidRPr="00297BAD">
              <w:rPr>
                <w:b/>
                <w:bCs/>
              </w:rPr>
              <w:t>4.561</w:t>
            </w:r>
          </w:p>
        </w:tc>
        <w:tc>
          <w:tcPr>
            <w:tcW w:w="850" w:type="dxa"/>
            <w:tcBorders>
              <w:top w:val="nil"/>
              <w:left w:val="nil"/>
              <w:bottom w:val="single" w:sz="4" w:space="0" w:color="auto"/>
              <w:right w:val="single" w:sz="4" w:space="0" w:color="auto"/>
            </w:tcBorders>
            <w:shd w:val="clear" w:color="auto" w:fill="auto"/>
            <w:noWrap/>
            <w:vAlign w:val="bottom"/>
            <w:hideMark/>
          </w:tcPr>
          <w:p w14:paraId="04B5A0AA" w14:textId="77777777" w:rsidR="00171183" w:rsidRPr="00297BAD" w:rsidRDefault="00171183" w:rsidP="0042337C">
            <w:pPr>
              <w:pStyle w:val="StandaardSV"/>
              <w:rPr>
                <w:b/>
                <w:bCs/>
              </w:rPr>
            </w:pPr>
            <w:r w:rsidRPr="00297BAD">
              <w:rPr>
                <w:b/>
                <w:bCs/>
              </w:rPr>
              <w:t>59%</w:t>
            </w:r>
          </w:p>
        </w:tc>
        <w:tc>
          <w:tcPr>
            <w:tcW w:w="851" w:type="dxa"/>
            <w:tcBorders>
              <w:top w:val="nil"/>
              <w:left w:val="nil"/>
              <w:bottom w:val="single" w:sz="4" w:space="0" w:color="auto"/>
              <w:right w:val="single" w:sz="4" w:space="0" w:color="auto"/>
            </w:tcBorders>
            <w:shd w:val="clear" w:color="auto" w:fill="auto"/>
            <w:noWrap/>
            <w:vAlign w:val="bottom"/>
            <w:hideMark/>
          </w:tcPr>
          <w:p w14:paraId="46E15FBE" w14:textId="77777777" w:rsidR="00171183" w:rsidRPr="00297BAD" w:rsidRDefault="00171183" w:rsidP="0042337C">
            <w:pPr>
              <w:pStyle w:val="StandaardSV"/>
              <w:rPr>
                <w:b/>
                <w:bCs/>
              </w:rPr>
            </w:pPr>
            <w:r w:rsidRPr="00297BAD">
              <w:rPr>
                <w:b/>
                <w:bCs/>
              </w:rPr>
              <w:t>10.460</w:t>
            </w:r>
          </w:p>
        </w:tc>
        <w:tc>
          <w:tcPr>
            <w:tcW w:w="709" w:type="dxa"/>
            <w:tcBorders>
              <w:top w:val="nil"/>
              <w:left w:val="nil"/>
              <w:bottom w:val="single" w:sz="4" w:space="0" w:color="auto"/>
              <w:right w:val="single" w:sz="4" w:space="0" w:color="auto"/>
            </w:tcBorders>
            <w:shd w:val="clear" w:color="auto" w:fill="auto"/>
            <w:noWrap/>
            <w:vAlign w:val="bottom"/>
            <w:hideMark/>
          </w:tcPr>
          <w:p w14:paraId="4F22C886" w14:textId="77777777" w:rsidR="00171183" w:rsidRPr="00297BAD" w:rsidRDefault="00171183" w:rsidP="0042337C">
            <w:pPr>
              <w:pStyle w:val="StandaardSV"/>
              <w:rPr>
                <w:b/>
                <w:bCs/>
              </w:rPr>
            </w:pPr>
            <w:r w:rsidRPr="00297BAD">
              <w:rPr>
                <w:b/>
                <w:bCs/>
              </w:rPr>
              <w:t>50%</w:t>
            </w:r>
          </w:p>
        </w:tc>
        <w:tc>
          <w:tcPr>
            <w:tcW w:w="992" w:type="dxa"/>
            <w:tcBorders>
              <w:top w:val="nil"/>
              <w:left w:val="nil"/>
              <w:bottom w:val="single" w:sz="4" w:space="0" w:color="auto"/>
              <w:right w:val="single" w:sz="4" w:space="0" w:color="auto"/>
            </w:tcBorders>
            <w:shd w:val="clear" w:color="auto" w:fill="auto"/>
            <w:noWrap/>
            <w:vAlign w:val="bottom"/>
            <w:hideMark/>
          </w:tcPr>
          <w:p w14:paraId="0473A7FB" w14:textId="77777777" w:rsidR="00171183" w:rsidRPr="00297BAD" w:rsidRDefault="00171183" w:rsidP="0042337C">
            <w:pPr>
              <w:pStyle w:val="StandaardSV"/>
              <w:rPr>
                <w:b/>
                <w:bCs/>
              </w:rPr>
            </w:pPr>
            <w:r w:rsidRPr="00297BAD">
              <w:rPr>
                <w:b/>
                <w:bCs/>
              </w:rPr>
              <w:t>3.079</w:t>
            </w:r>
          </w:p>
        </w:tc>
        <w:tc>
          <w:tcPr>
            <w:tcW w:w="709" w:type="dxa"/>
            <w:tcBorders>
              <w:top w:val="nil"/>
              <w:left w:val="nil"/>
              <w:bottom w:val="single" w:sz="4" w:space="0" w:color="auto"/>
              <w:right w:val="single" w:sz="4" w:space="0" w:color="auto"/>
            </w:tcBorders>
            <w:shd w:val="clear" w:color="auto" w:fill="auto"/>
            <w:noWrap/>
            <w:vAlign w:val="bottom"/>
            <w:hideMark/>
          </w:tcPr>
          <w:p w14:paraId="63FFFFDA" w14:textId="77777777" w:rsidR="00171183" w:rsidRPr="00297BAD" w:rsidRDefault="00171183" w:rsidP="0042337C">
            <w:pPr>
              <w:pStyle w:val="StandaardSV"/>
              <w:rPr>
                <w:b/>
                <w:bCs/>
              </w:rPr>
            </w:pPr>
            <w:r w:rsidRPr="00297BAD">
              <w:rPr>
                <w:b/>
                <w:bCs/>
              </w:rPr>
              <w:t>40%</w:t>
            </w:r>
          </w:p>
        </w:tc>
      </w:tr>
    </w:tbl>
    <w:p w14:paraId="061B1372" w14:textId="77777777" w:rsidR="00171183" w:rsidRDefault="00171183" w:rsidP="00171183">
      <w:pPr>
        <w:pStyle w:val="StandaardSV"/>
      </w:pPr>
    </w:p>
    <w:p w14:paraId="57C5B954" w14:textId="77777777" w:rsidR="00171183" w:rsidRPr="00297BAD" w:rsidRDefault="00171183" w:rsidP="00171183">
      <w:pPr>
        <w:pStyle w:val="StandaardSV"/>
        <w:rPr>
          <w:i/>
        </w:rPr>
      </w:pPr>
      <w:r w:rsidRPr="00297BAD">
        <w:rPr>
          <w:i/>
        </w:rPr>
        <w:t>*ingestroomd in de periode 201109-201208</w:t>
      </w:r>
    </w:p>
    <w:p w14:paraId="28AB191D" w14:textId="77777777" w:rsidR="00171183" w:rsidRPr="00297BAD" w:rsidRDefault="00171183" w:rsidP="00171183">
      <w:pPr>
        <w:pStyle w:val="StandaardSV"/>
      </w:pPr>
    </w:p>
    <w:p w14:paraId="46EF449A" w14:textId="16A1CC38" w:rsidR="00171183" w:rsidRPr="00297BAD" w:rsidRDefault="0037596D" w:rsidP="0037596D">
      <w:pPr>
        <w:pStyle w:val="StandaardSV"/>
        <w:tabs>
          <w:tab w:val="left" w:pos="709"/>
        </w:tabs>
        <w:ind w:left="709" w:hanging="709"/>
      </w:pPr>
      <w:r>
        <w:t>3.</w:t>
      </w:r>
      <w:r>
        <w:tab/>
      </w:r>
      <w:r w:rsidR="00171183" w:rsidRPr="00297BAD">
        <w:t>Algemeen: Acties richten zich tot alle werkzoekenden die geen 25 jaar oud zijn en recent werkloos zijn geworden. De gehanteerde timing en routing verschilt naargelang de scholings</w:t>
      </w:r>
      <w:r>
        <w:softHyphen/>
      </w:r>
      <w:r w:rsidR="00171183" w:rsidRPr="00297BAD">
        <w:t xml:space="preserve">graad. Specifieke aandacht gaat naar de ongekwalificeerde instroom. </w:t>
      </w:r>
    </w:p>
    <w:p w14:paraId="6427A454" w14:textId="77777777" w:rsidR="00171183" w:rsidRPr="00297BAD" w:rsidRDefault="00171183" w:rsidP="0037596D">
      <w:pPr>
        <w:pStyle w:val="StandaardSV"/>
        <w:ind w:firstLine="708"/>
      </w:pPr>
      <w:r w:rsidRPr="00297BAD">
        <w:t>De aangeboden actie(s) zijn de volgende:</w:t>
      </w:r>
    </w:p>
    <w:p w14:paraId="5FD8294B" w14:textId="42F3982B" w:rsidR="00171183" w:rsidRPr="00297BAD" w:rsidRDefault="00171183" w:rsidP="0037596D">
      <w:pPr>
        <w:pStyle w:val="StandaardSV"/>
        <w:numPr>
          <w:ilvl w:val="0"/>
          <w:numId w:val="14"/>
        </w:numPr>
        <w:tabs>
          <w:tab w:val="left" w:pos="709"/>
          <w:tab w:val="left" w:pos="993"/>
        </w:tabs>
        <w:ind w:left="993" w:hanging="284"/>
      </w:pPr>
      <w:r w:rsidRPr="00297BAD">
        <w:lastRenderedPageBreak/>
        <w:t>werkzoekenden waarvoor concrete vacatures worden aangeboden via mededelingen of ver</w:t>
      </w:r>
      <w:r w:rsidR="0037596D">
        <w:softHyphen/>
      </w:r>
      <w:r w:rsidRPr="00297BAD">
        <w:t>wijzingen</w:t>
      </w:r>
    </w:p>
    <w:p w14:paraId="02B508FA" w14:textId="2F050CD0" w:rsidR="00171183" w:rsidRPr="00297BAD" w:rsidRDefault="00171183" w:rsidP="0037596D">
      <w:pPr>
        <w:pStyle w:val="StandaardSV"/>
        <w:numPr>
          <w:ilvl w:val="0"/>
          <w:numId w:val="14"/>
        </w:numPr>
        <w:tabs>
          <w:tab w:val="left" w:pos="709"/>
          <w:tab w:val="left" w:pos="993"/>
        </w:tabs>
        <w:ind w:left="993" w:hanging="284"/>
      </w:pPr>
      <w:r w:rsidRPr="00297BAD">
        <w:t xml:space="preserve">uitvoeren van (knipperlicht)screenings door onder andere het correct zetten van het </w:t>
      </w:r>
      <w:proofErr w:type="spellStart"/>
      <w:r w:rsidRPr="00297BAD">
        <w:t>klan</w:t>
      </w:r>
      <w:r w:rsidR="0037596D">
        <w:softHyphen/>
      </w:r>
      <w:r w:rsidRPr="00297BAD">
        <w:t>tendossier</w:t>
      </w:r>
      <w:proofErr w:type="spellEnd"/>
      <w:r w:rsidRPr="00297BAD">
        <w:t xml:space="preserve"> met als doel het bekomen van maximale kansen op matching met een vacature of screening van anderstaligen in functie van een sluitend taalbeleid</w:t>
      </w:r>
    </w:p>
    <w:p w14:paraId="7626136B" w14:textId="77777777" w:rsidR="00171183" w:rsidRPr="00297BAD" w:rsidRDefault="00171183" w:rsidP="0037596D">
      <w:pPr>
        <w:pStyle w:val="StandaardSV"/>
        <w:numPr>
          <w:ilvl w:val="0"/>
          <w:numId w:val="14"/>
        </w:numPr>
        <w:tabs>
          <w:tab w:val="left" w:pos="709"/>
          <w:tab w:val="left" w:pos="993"/>
        </w:tabs>
        <w:ind w:left="993" w:hanging="284"/>
      </w:pPr>
      <w:r w:rsidRPr="00297BAD">
        <w:t>bemiddelen van werkzoekende naar passende jobs op basis van regelmatige opvolging van het sollicitatiegedrag</w:t>
      </w:r>
    </w:p>
    <w:p w14:paraId="2DC3DD58" w14:textId="6FC94E71" w:rsidR="00171183" w:rsidRPr="00297BAD" w:rsidRDefault="00171183" w:rsidP="0037596D">
      <w:pPr>
        <w:pStyle w:val="StandaardSV"/>
        <w:numPr>
          <w:ilvl w:val="0"/>
          <w:numId w:val="14"/>
        </w:numPr>
        <w:tabs>
          <w:tab w:val="left" w:pos="709"/>
          <w:tab w:val="left" w:pos="993"/>
        </w:tabs>
        <w:ind w:left="993" w:hanging="284"/>
      </w:pPr>
      <w:r w:rsidRPr="00297BAD">
        <w:t>begeleiden van werkzoekende in het vinden van werk maar met aandacht voor het weg</w:t>
      </w:r>
      <w:r w:rsidR="0037596D">
        <w:softHyphen/>
      </w:r>
      <w:r w:rsidRPr="00297BAD">
        <w:t>werken van obstakels die vlotte tewerkstelling van de betrokkene in de weg staan. Er wordt geïnvesteerd in competentieversterking en werkplekleren (onder andere via stages)</w:t>
      </w:r>
    </w:p>
    <w:p w14:paraId="4E0F51E8" w14:textId="77777777" w:rsidR="00171183" w:rsidRPr="00297BAD" w:rsidRDefault="00171183" w:rsidP="00171183">
      <w:pPr>
        <w:pStyle w:val="StandaardSV"/>
      </w:pPr>
    </w:p>
    <w:p w14:paraId="3CC6226C" w14:textId="7B1D6B7B" w:rsidR="00171183" w:rsidRPr="00297BAD" w:rsidRDefault="00171183" w:rsidP="0037596D">
      <w:pPr>
        <w:pStyle w:val="StandaardSV"/>
        <w:ind w:left="709"/>
      </w:pPr>
      <w:r w:rsidRPr="00297BAD">
        <w:t xml:space="preserve">Hierna een overzicht van de acties in de loop van de 12 maanden, </w:t>
      </w:r>
      <w:r w:rsidR="0037596D">
        <w:t xml:space="preserve">voorafgaand aan augustus 2013, </w:t>
      </w:r>
      <w:r w:rsidRPr="00297BAD">
        <w:t>die vanuit het maatwerk zijn gerealiseerd voor de jonge werkzoekenden.</w:t>
      </w:r>
    </w:p>
    <w:p w14:paraId="18236DB7" w14:textId="77777777" w:rsidR="00171183" w:rsidRPr="00297BAD" w:rsidRDefault="00171183" w:rsidP="00171183">
      <w:pPr>
        <w:pStyle w:val="StandaardSV"/>
      </w:pPr>
    </w:p>
    <w:tbl>
      <w:tblPr>
        <w:tblW w:w="892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544"/>
        <w:gridCol w:w="1716"/>
        <w:gridCol w:w="1134"/>
        <w:gridCol w:w="1418"/>
        <w:gridCol w:w="1269"/>
      </w:tblGrid>
      <w:tr w:rsidR="00171183" w:rsidRPr="00297BAD" w14:paraId="779C160B" w14:textId="77777777" w:rsidTr="0037596D">
        <w:trPr>
          <w:trHeight w:val="300"/>
        </w:trPr>
        <w:tc>
          <w:tcPr>
            <w:tcW w:w="1843" w:type="dxa"/>
            <w:shd w:val="clear" w:color="auto" w:fill="auto"/>
            <w:noWrap/>
            <w:hideMark/>
          </w:tcPr>
          <w:p w14:paraId="2234CF36" w14:textId="77777777" w:rsidR="00171183" w:rsidRPr="00297BAD" w:rsidRDefault="00171183" w:rsidP="0042337C">
            <w:pPr>
              <w:pStyle w:val="StandaardSV"/>
            </w:pPr>
            <w:r w:rsidRPr="00297BAD">
              <w:t>maand</w:t>
            </w:r>
          </w:p>
        </w:tc>
        <w:tc>
          <w:tcPr>
            <w:tcW w:w="1544" w:type="dxa"/>
          </w:tcPr>
          <w:p w14:paraId="5EFE1A44" w14:textId="77777777" w:rsidR="00171183" w:rsidRPr="00297BAD" w:rsidRDefault="00171183" w:rsidP="0042337C">
            <w:pPr>
              <w:pStyle w:val="StandaardSV"/>
            </w:pPr>
            <w:r w:rsidRPr="00297BAD">
              <w:t>Totaal aantal</w:t>
            </w:r>
          </w:p>
        </w:tc>
        <w:tc>
          <w:tcPr>
            <w:tcW w:w="1716" w:type="dxa"/>
          </w:tcPr>
          <w:p w14:paraId="55427FC3" w14:textId="77777777" w:rsidR="00171183" w:rsidRPr="00297BAD" w:rsidRDefault="00171183" w:rsidP="0042337C">
            <w:pPr>
              <w:pStyle w:val="StandaardSV"/>
            </w:pPr>
            <w:r w:rsidRPr="00297BAD">
              <w:t>Vacature(aanbod)</w:t>
            </w:r>
          </w:p>
        </w:tc>
        <w:tc>
          <w:tcPr>
            <w:tcW w:w="1134" w:type="dxa"/>
          </w:tcPr>
          <w:p w14:paraId="732C4C9B" w14:textId="77777777" w:rsidR="00171183" w:rsidRPr="00297BAD" w:rsidRDefault="00171183" w:rsidP="0042337C">
            <w:pPr>
              <w:pStyle w:val="StandaardSV"/>
            </w:pPr>
            <w:r w:rsidRPr="00297BAD">
              <w:t>Screening</w:t>
            </w:r>
          </w:p>
        </w:tc>
        <w:tc>
          <w:tcPr>
            <w:tcW w:w="1418" w:type="dxa"/>
          </w:tcPr>
          <w:p w14:paraId="0583BE50" w14:textId="77777777" w:rsidR="00171183" w:rsidRPr="00297BAD" w:rsidRDefault="00171183" w:rsidP="0042337C">
            <w:pPr>
              <w:pStyle w:val="StandaardSV"/>
            </w:pPr>
            <w:r w:rsidRPr="00297BAD">
              <w:t>Bemiddeling</w:t>
            </w:r>
          </w:p>
        </w:tc>
        <w:tc>
          <w:tcPr>
            <w:tcW w:w="1269" w:type="dxa"/>
          </w:tcPr>
          <w:p w14:paraId="2A28BB09" w14:textId="77777777" w:rsidR="00171183" w:rsidRPr="00297BAD" w:rsidRDefault="00171183" w:rsidP="0042337C">
            <w:pPr>
              <w:pStyle w:val="StandaardSV"/>
            </w:pPr>
            <w:r w:rsidRPr="00297BAD">
              <w:t>Begeleiding</w:t>
            </w:r>
          </w:p>
        </w:tc>
      </w:tr>
      <w:tr w:rsidR="00171183" w:rsidRPr="00297BAD" w14:paraId="7787EC33" w14:textId="77777777" w:rsidTr="0037596D">
        <w:trPr>
          <w:trHeight w:val="300"/>
        </w:trPr>
        <w:tc>
          <w:tcPr>
            <w:tcW w:w="1843" w:type="dxa"/>
            <w:shd w:val="clear" w:color="auto" w:fill="auto"/>
            <w:noWrap/>
            <w:hideMark/>
          </w:tcPr>
          <w:p w14:paraId="3A0692AA" w14:textId="77777777" w:rsidR="00171183" w:rsidRPr="00297BAD" w:rsidRDefault="00171183" w:rsidP="0042337C">
            <w:pPr>
              <w:pStyle w:val="StandaardSV"/>
            </w:pPr>
            <w:r w:rsidRPr="00297BAD">
              <w:t>2012/08- 2013/08</w:t>
            </w:r>
          </w:p>
        </w:tc>
        <w:tc>
          <w:tcPr>
            <w:tcW w:w="1544" w:type="dxa"/>
          </w:tcPr>
          <w:p w14:paraId="2935688A" w14:textId="77777777" w:rsidR="00171183" w:rsidRPr="00297BAD" w:rsidRDefault="00171183" w:rsidP="0042337C">
            <w:pPr>
              <w:pStyle w:val="StandaardSV"/>
            </w:pPr>
            <w:r w:rsidRPr="00297BAD">
              <w:t>19641</w:t>
            </w:r>
          </w:p>
        </w:tc>
        <w:tc>
          <w:tcPr>
            <w:tcW w:w="1716" w:type="dxa"/>
          </w:tcPr>
          <w:p w14:paraId="00F83560" w14:textId="77777777" w:rsidR="00171183" w:rsidRPr="00297BAD" w:rsidRDefault="00171183" w:rsidP="0042337C">
            <w:pPr>
              <w:pStyle w:val="StandaardSV"/>
            </w:pPr>
            <w:r w:rsidRPr="00297BAD">
              <w:t>14538</w:t>
            </w:r>
          </w:p>
        </w:tc>
        <w:tc>
          <w:tcPr>
            <w:tcW w:w="1134" w:type="dxa"/>
          </w:tcPr>
          <w:p w14:paraId="4D24630A" w14:textId="77777777" w:rsidR="00171183" w:rsidRPr="00297BAD" w:rsidRDefault="00171183" w:rsidP="0042337C">
            <w:pPr>
              <w:pStyle w:val="StandaardSV"/>
            </w:pPr>
            <w:r w:rsidRPr="00297BAD">
              <w:t>7280</w:t>
            </w:r>
          </w:p>
        </w:tc>
        <w:tc>
          <w:tcPr>
            <w:tcW w:w="1418" w:type="dxa"/>
          </w:tcPr>
          <w:p w14:paraId="07F85532" w14:textId="77777777" w:rsidR="00171183" w:rsidRPr="00297BAD" w:rsidRDefault="00171183" w:rsidP="0042337C">
            <w:pPr>
              <w:pStyle w:val="StandaardSV"/>
            </w:pPr>
            <w:r w:rsidRPr="00297BAD">
              <w:t>2339</w:t>
            </w:r>
          </w:p>
        </w:tc>
        <w:tc>
          <w:tcPr>
            <w:tcW w:w="1269" w:type="dxa"/>
          </w:tcPr>
          <w:p w14:paraId="5CE926F2" w14:textId="77777777" w:rsidR="00171183" w:rsidRPr="00297BAD" w:rsidRDefault="00171183" w:rsidP="0042337C">
            <w:pPr>
              <w:pStyle w:val="StandaardSV"/>
            </w:pPr>
            <w:r w:rsidRPr="00297BAD">
              <w:t>6011</w:t>
            </w:r>
          </w:p>
        </w:tc>
      </w:tr>
    </w:tbl>
    <w:p w14:paraId="347D5C03" w14:textId="77777777" w:rsidR="00171183" w:rsidRPr="00297BAD" w:rsidRDefault="00171183" w:rsidP="00171183">
      <w:pPr>
        <w:pStyle w:val="StandaardSV"/>
        <w:rPr>
          <w:b/>
        </w:rPr>
      </w:pPr>
    </w:p>
    <w:p w14:paraId="483F9FC1" w14:textId="77777777" w:rsidR="00171183" w:rsidRPr="00297BAD" w:rsidRDefault="00171183" w:rsidP="0037596D">
      <w:pPr>
        <w:pStyle w:val="StandaardSV"/>
        <w:ind w:firstLine="708"/>
        <w:rPr>
          <w:b/>
        </w:rPr>
      </w:pPr>
      <w:r w:rsidRPr="00297BAD">
        <w:rPr>
          <w:b/>
        </w:rPr>
        <w:t>Waarvan laaggeschoold:</w:t>
      </w:r>
    </w:p>
    <w:tbl>
      <w:tblPr>
        <w:tblW w:w="892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544"/>
        <w:gridCol w:w="1716"/>
        <w:gridCol w:w="1134"/>
        <w:gridCol w:w="1418"/>
        <w:gridCol w:w="1269"/>
      </w:tblGrid>
      <w:tr w:rsidR="00171183" w:rsidRPr="00297BAD" w14:paraId="01AE9483" w14:textId="77777777" w:rsidTr="0037596D">
        <w:trPr>
          <w:trHeight w:val="300"/>
        </w:trPr>
        <w:tc>
          <w:tcPr>
            <w:tcW w:w="1843" w:type="dxa"/>
            <w:shd w:val="clear" w:color="auto" w:fill="auto"/>
            <w:noWrap/>
            <w:hideMark/>
          </w:tcPr>
          <w:p w14:paraId="4BE07F96" w14:textId="77777777" w:rsidR="00171183" w:rsidRPr="00297BAD" w:rsidRDefault="00171183" w:rsidP="0042337C">
            <w:pPr>
              <w:pStyle w:val="StandaardSV"/>
            </w:pPr>
            <w:r w:rsidRPr="00297BAD">
              <w:t>maand</w:t>
            </w:r>
          </w:p>
        </w:tc>
        <w:tc>
          <w:tcPr>
            <w:tcW w:w="1544" w:type="dxa"/>
          </w:tcPr>
          <w:p w14:paraId="7E8B7A7A" w14:textId="77777777" w:rsidR="00171183" w:rsidRPr="00297BAD" w:rsidRDefault="00171183" w:rsidP="0042337C">
            <w:pPr>
              <w:pStyle w:val="StandaardSV"/>
            </w:pPr>
            <w:r w:rsidRPr="00297BAD">
              <w:t>Totaal aantal</w:t>
            </w:r>
          </w:p>
        </w:tc>
        <w:tc>
          <w:tcPr>
            <w:tcW w:w="1716" w:type="dxa"/>
          </w:tcPr>
          <w:p w14:paraId="47E6841E" w14:textId="77777777" w:rsidR="00171183" w:rsidRPr="00297BAD" w:rsidRDefault="00171183" w:rsidP="0042337C">
            <w:pPr>
              <w:pStyle w:val="StandaardSV"/>
            </w:pPr>
            <w:r w:rsidRPr="00297BAD">
              <w:t>Vacature(aanbod)</w:t>
            </w:r>
          </w:p>
        </w:tc>
        <w:tc>
          <w:tcPr>
            <w:tcW w:w="1134" w:type="dxa"/>
          </w:tcPr>
          <w:p w14:paraId="71675F04" w14:textId="77777777" w:rsidR="00171183" w:rsidRPr="00297BAD" w:rsidRDefault="00171183" w:rsidP="0042337C">
            <w:pPr>
              <w:pStyle w:val="StandaardSV"/>
            </w:pPr>
            <w:r w:rsidRPr="00297BAD">
              <w:t>Screening</w:t>
            </w:r>
          </w:p>
        </w:tc>
        <w:tc>
          <w:tcPr>
            <w:tcW w:w="1418" w:type="dxa"/>
          </w:tcPr>
          <w:p w14:paraId="25B520C7" w14:textId="77777777" w:rsidR="00171183" w:rsidRPr="00297BAD" w:rsidRDefault="00171183" w:rsidP="0042337C">
            <w:pPr>
              <w:pStyle w:val="StandaardSV"/>
            </w:pPr>
            <w:r w:rsidRPr="00297BAD">
              <w:t>Bemiddeling</w:t>
            </w:r>
          </w:p>
        </w:tc>
        <w:tc>
          <w:tcPr>
            <w:tcW w:w="1269" w:type="dxa"/>
          </w:tcPr>
          <w:p w14:paraId="30B743BE" w14:textId="77777777" w:rsidR="00171183" w:rsidRPr="00297BAD" w:rsidRDefault="00171183" w:rsidP="0042337C">
            <w:pPr>
              <w:pStyle w:val="StandaardSV"/>
            </w:pPr>
            <w:r w:rsidRPr="00297BAD">
              <w:t>Begeleiding</w:t>
            </w:r>
          </w:p>
        </w:tc>
      </w:tr>
      <w:tr w:rsidR="00171183" w:rsidRPr="00297BAD" w14:paraId="199E12BC" w14:textId="77777777" w:rsidTr="0037596D">
        <w:trPr>
          <w:trHeight w:val="300"/>
        </w:trPr>
        <w:tc>
          <w:tcPr>
            <w:tcW w:w="1843" w:type="dxa"/>
            <w:shd w:val="clear" w:color="auto" w:fill="auto"/>
            <w:noWrap/>
            <w:hideMark/>
          </w:tcPr>
          <w:p w14:paraId="218419D1" w14:textId="77777777" w:rsidR="00171183" w:rsidRPr="00297BAD" w:rsidRDefault="00171183" w:rsidP="0042337C">
            <w:pPr>
              <w:pStyle w:val="StandaardSV"/>
            </w:pPr>
            <w:r w:rsidRPr="00297BAD">
              <w:t>2012/08-2013/08</w:t>
            </w:r>
          </w:p>
        </w:tc>
        <w:tc>
          <w:tcPr>
            <w:tcW w:w="1544" w:type="dxa"/>
          </w:tcPr>
          <w:p w14:paraId="63DF318E" w14:textId="77777777" w:rsidR="00171183" w:rsidRPr="00297BAD" w:rsidRDefault="00171183" w:rsidP="0042337C">
            <w:pPr>
              <w:pStyle w:val="StandaardSV"/>
            </w:pPr>
            <w:r w:rsidRPr="00297BAD">
              <w:t>3187</w:t>
            </w:r>
          </w:p>
        </w:tc>
        <w:tc>
          <w:tcPr>
            <w:tcW w:w="1716" w:type="dxa"/>
          </w:tcPr>
          <w:p w14:paraId="047D0223" w14:textId="77777777" w:rsidR="00171183" w:rsidRPr="00297BAD" w:rsidRDefault="00171183" w:rsidP="0042337C">
            <w:pPr>
              <w:pStyle w:val="StandaardSV"/>
            </w:pPr>
            <w:r w:rsidRPr="00297BAD">
              <w:t>2419</w:t>
            </w:r>
          </w:p>
        </w:tc>
        <w:tc>
          <w:tcPr>
            <w:tcW w:w="1134" w:type="dxa"/>
          </w:tcPr>
          <w:p w14:paraId="4AC79B42" w14:textId="77777777" w:rsidR="00171183" w:rsidRPr="00297BAD" w:rsidRDefault="00171183" w:rsidP="0042337C">
            <w:pPr>
              <w:pStyle w:val="StandaardSV"/>
            </w:pPr>
            <w:r w:rsidRPr="00297BAD">
              <w:t>1189</w:t>
            </w:r>
          </w:p>
        </w:tc>
        <w:tc>
          <w:tcPr>
            <w:tcW w:w="1418" w:type="dxa"/>
          </w:tcPr>
          <w:p w14:paraId="669C02B3" w14:textId="77777777" w:rsidR="00171183" w:rsidRPr="00297BAD" w:rsidRDefault="00171183" w:rsidP="0042337C">
            <w:pPr>
              <w:pStyle w:val="StandaardSV"/>
            </w:pPr>
            <w:r w:rsidRPr="00297BAD">
              <w:t>260</w:t>
            </w:r>
          </w:p>
        </w:tc>
        <w:tc>
          <w:tcPr>
            <w:tcW w:w="1269" w:type="dxa"/>
          </w:tcPr>
          <w:p w14:paraId="0A20710F" w14:textId="77777777" w:rsidR="00171183" w:rsidRPr="00297BAD" w:rsidRDefault="00171183" w:rsidP="0042337C">
            <w:pPr>
              <w:pStyle w:val="StandaardSV"/>
            </w:pPr>
            <w:r w:rsidRPr="00297BAD">
              <w:t>1837</w:t>
            </w:r>
          </w:p>
        </w:tc>
      </w:tr>
    </w:tbl>
    <w:p w14:paraId="6041784F" w14:textId="77777777" w:rsidR="00171183" w:rsidRPr="00297BAD" w:rsidRDefault="00171183" w:rsidP="0037596D">
      <w:pPr>
        <w:pStyle w:val="StandaardSV"/>
        <w:ind w:firstLine="708"/>
      </w:pPr>
      <w:r w:rsidRPr="00297BAD">
        <w:t>Er is 1 actie of een combinatie van acties voor elke werkzoekende jongere mogelijk.</w:t>
      </w:r>
    </w:p>
    <w:p w14:paraId="4AB14983" w14:textId="77777777" w:rsidR="00171183" w:rsidRPr="00297BAD" w:rsidRDefault="00171183" w:rsidP="00171183">
      <w:pPr>
        <w:pStyle w:val="StandaardSV"/>
      </w:pPr>
    </w:p>
    <w:p w14:paraId="0E5E0620" w14:textId="47432B98" w:rsidR="00171183" w:rsidRPr="00297BAD" w:rsidRDefault="0037596D" w:rsidP="0037596D">
      <w:pPr>
        <w:pStyle w:val="StandaardSV"/>
        <w:ind w:left="709" w:hanging="709"/>
      </w:pPr>
      <w:r>
        <w:t>4.</w:t>
      </w:r>
      <w:r>
        <w:tab/>
      </w:r>
      <w:r w:rsidR="00171183" w:rsidRPr="00297BAD">
        <w:t>Algemeen: De rol van de servicelijn start vanaf de zesde week na de inschrijving van de werk</w:t>
      </w:r>
      <w:r>
        <w:softHyphen/>
      </w:r>
      <w:r w:rsidR="00171183" w:rsidRPr="00297BAD">
        <w:t>zoekende. Tijdens een ‘</w:t>
      </w:r>
      <w:proofErr w:type="spellStart"/>
      <w:r w:rsidR="00171183" w:rsidRPr="00297BAD">
        <w:t>outbound</w:t>
      </w:r>
      <w:proofErr w:type="spellEnd"/>
      <w:r w:rsidR="00171183" w:rsidRPr="00297BAD">
        <w:t xml:space="preserve">’ nemen de Serviceconsulenten telefonisch contact op met hooggeschoolde jongeren die in de zesde week na inschrijving nog steeds geregistreerd zijn als werkzoekende en niet over een (geldig) e-mailadres beschikken of </w:t>
      </w:r>
      <w:r w:rsidR="00171183" w:rsidRPr="00297BAD">
        <w:rPr>
          <w:u w:val="single"/>
        </w:rPr>
        <w:t>niet</w:t>
      </w:r>
      <w:r w:rsidR="00171183" w:rsidRPr="00297BAD">
        <w:t xml:space="preserve"> hebben doorgeklikt naar de jongerenpagina op de VDAB-website.</w:t>
      </w:r>
    </w:p>
    <w:p w14:paraId="481DC3CE" w14:textId="5BCBA4B0" w:rsidR="00171183" w:rsidRPr="00297BAD" w:rsidRDefault="00171183" w:rsidP="0037596D">
      <w:pPr>
        <w:pStyle w:val="StandaardSV"/>
        <w:ind w:left="709"/>
      </w:pPr>
      <w:r w:rsidRPr="00297BAD">
        <w:t xml:space="preserve">Het doel is om het dossier te vervolledigen en hen te informeren over het opzet van het </w:t>
      </w:r>
      <w:proofErr w:type="spellStart"/>
      <w:r w:rsidRPr="00297BAD">
        <w:t>jeugd</w:t>
      </w:r>
      <w:r w:rsidR="0037596D">
        <w:softHyphen/>
      </w:r>
      <w:r w:rsidRPr="00297BAD">
        <w:t>werkplan</w:t>
      </w:r>
      <w:proofErr w:type="spellEnd"/>
      <w:r w:rsidRPr="00297BAD">
        <w:t>.</w:t>
      </w:r>
    </w:p>
    <w:p w14:paraId="38ED88EF" w14:textId="77777777" w:rsidR="00171183" w:rsidRPr="00297BAD" w:rsidRDefault="00171183" w:rsidP="0037596D">
      <w:pPr>
        <w:pStyle w:val="StandaardSV"/>
        <w:ind w:left="709"/>
      </w:pPr>
      <w:r w:rsidRPr="00297BAD">
        <w:t>Hierna een overzicht van het aantal hooggeschoolde werkzoekenden die door de servicelijn werden gecontacteerd: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tblGrid>
      <w:tr w:rsidR="00171183" w:rsidRPr="00297BAD" w14:paraId="69D2FFBA" w14:textId="77777777" w:rsidTr="0037596D">
        <w:tc>
          <w:tcPr>
            <w:tcW w:w="1985" w:type="dxa"/>
            <w:shd w:val="clear" w:color="auto" w:fill="auto"/>
          </w:tcPr>
          <w:p w14:paraId="0BAAFD2A" w14:textId="77777777" w:rsidR="00171183" w:rsidRPr="00297BAD" w:rsidRDefault="00171183" w:rsidP="0042337C">
            <w:pPr>
              <w:pStyle w:val="StandaardSV"/>
            </w:pPr>
          </w:p>
        </w:tc>
        <w:tc>
          <w:tcPr>
            <w:tcW w:w="1559" w:type="dxa"/>
            <w:shd w:val="clear" w:color="auto" w:fill="auto"/>
          </w:tcPr>
          <w:p w14:paraId="39BEDA8C" w14:textId="77777777" w:rsidR="00171183" w:rsidRPr="00297BAD" w:rsidRDefault="00171183" w:rsidP="0042337C">
            <w:pPr>
              <w:pStyle w:val="StandaardSV"/>
            </w:pPr>
            <w:r w:rsidRPr="00297BAD">
              <w:t>CONTACT</w:t>
            </w:r>
          </w:p>
        </w:tc>
      </w:tr>
      <w:tr w:rsidR="00171183" w:rsidRPr="00297BAD" w14:paraId="7B58123C" w14:textId="77777777" w:rsidTr="0037596D">
        <w:tc>
          <w:tcPr>
            <w:tcW w:w="1985" w:type="dxa"/>
            <w:shd w:val="clear" w:color="auto" w:fill="auto"/>
          </w:tcPr>
          <w:p w14:paraId="5EA97EBA" w14:textId="77777777" w:rsidR="00171183" w:rsidRPr="00297BAD" w:rsidRDefault="00171183" w:rsidP="0042337C">
            <w:pPr>
              <w:pStyle w:val="StandaardSV"/>
            </w:pPr>
            <w:r w:rsidRPr="00297BAD">
              <w:t>201301</w:t>
            </w:r>
          </w:p>
        </w:tc>
        <w:tc>
          <w:tcPr>
            <w:tcW w:w="1559" w:type="dxa"/>
            <w:shd w:val="clear" w:color="auto" w:fill="auto"/>
          </w:tcPr>
          <w:p w14:paraId="276F7E96" w14:textId="77777777" w:rsidR="00171183" w:rsidRPr="00297BAD" w:rsidRDefault="00171183" w:rsidP="0042337C">
            <w:pPr>
              <w:pStyle w:val="StandaardSV"/>
            </w:pPr>
            <w:r w:rsidRPr="00297BAD">
              <w:t>232</w:t>
            </w:r>
          </w:p>
        </w:tc>
      </w:tr>
      <w:tr w:rsidR="00171183" w:rsidRPr="00297BAD" w14:paraId="5F5B112D" w14:textId="77777777" w:rsidTr="0037596D">
        <w:tc>
          <w:tcPr>
            <w:tcW w:w="1985" w:type="dxa"/>
            <w:shd w:val="clear" w:color="auto" w:fill="auto"/>
          </w:tcPr>
          <w:p w14:paraId="7CC08E84" w14:textId="77777777" w:rsidR="00171183" w:rsidRPr="00297BAD" w:rsidRDefault="00171183" w:rsidP="0042337C">
            <w:pPr>
              <w:pStyle w:val="StandaardSV"/>
            </w:pPr>
            <w:r w:rsidRPr="00297BAD">
              <w:t>201302</w:t>
            </w:r>
          </w:p>
        </w:tc>
        <w:tc>
          <w:tcPr>
            <w:tcW w:w="1559" w:type="dxa"/>
            <w:shd w:val="clear" w:color="auto" w:fill="auto"/>
          </w:tcPr>
          <w:p w14:paraId="02284E93" w14:textId="77777777" w:rsidR="00171183" w:rsidRPr="00297BAD" w:rsidRDefault="00171183" w:rsidP="0042337C">
            <w:pPr>
              <w:pStyle w:val="StandaardSV"/>
            </w:pPr>
            <w:r w:rsidRPr="00297BAD">
              <w:t>127</w:t>
            </w:r>
          </w:p>
        </w:tc>
      </w:tr>
      <w:tr w:rsidR="00171183" w:rsidRPr="00297BAD" w14:paraId="5E3B111A" w14:textId="77777777" w:rsidTr="0037596D">
        <w:tc>
          <w:tcPr>
            <w:tcW w:w="1985" w:type="dxa"/>
            <w:shd w:val="clear" w:color="auto" w:fill="auto"/>
          </w:tcPr>
          <w:p w14:paraId="43AED8E5" w14:textId="77777777" w:rsidR="00171183" w:rsidRPr="00297BAD" w:rsidRDefault="00171183" w:rsidP="0042337C">
            <w:pPr>
              <w:pStyle w:val="StandaardSV"/>
            </w:pPr>
            <w:r w:rsidRPr="00297BAD">
              <w:t>201303</w:t>
            </w:r>
          </w:p>
        </w:tc>
        <w:tc>
          <w:tcPr>
            <w:tcW w:w="1559" w:type="dxa"/>
            <w:shd w:val="clear" w:color="auto" w:fill="auto"/>
          </w:tcPr>
          <w:p w14:paraId="25C3A91A" w14:textId="77777777" w:rsidR="00171183" w:rsidRPr="00297BAD" w:rsidRDefault="00171183" w:rsidP="0042337C">
            <w:pPr>
              <w:pStyle w:val="StandaardSV"/>
            </w:pPr>
            <w:r w:rsidRPr="00297BAD">
              <w:t>121</w:t>
            </w:r>
          </w:p>
        </w:tc>
      </w:tr>
      <w:tr w:rsidR="00171183" w:rsidRPr="00297BAD" w14:paraId="6988C51E" w14:textId="77777777" w:rsidTr="0037596D">
        <w:tc>
          <w:tcPr>
            <w:tcW w:w="1985" w:type="dxa"/>
            <w:shd w:val="clear" w:color="auto" w:fill="auto"/>
          </w:tcPr>
          <w:p w14:paraId="1B0BF74D" w14:textId="77777777" w:rsidR="00171183" w:rsidRPr="00297BAD" w:rsidRDefault="00171183" w:rsidP="0042337C">
            <w:pPr>
              <w:pStyle w:val="StandaardSV"/>
            </w:pPr>
            <w:r w:rsidRPr="00297BAD">
              <w:t>201304</w:t>
            </w:r>
          </w:p>
        </w:tc>
        <w:tc>
          <w:tcPr>
            <w:tcW w:w="1559" w:type="dxa"/>
            <w:shd w:val="clear" w:color="auto" w:fill="auto"/>
          </w:tcPr>
          <w:p w14:paraId="351B0B2E" w14:textId="77777777" w:rsidR="00171183" w:rsidRPr="00297BAD" w:rsidRDefault="00171183" w:rsidP="0042337C">
            <w:pPr>
              <w:pStyle w:val="StandaardSV"/>
            </w:pPr>
            <w:r w:rsidRPr="00297BAD">
              <w:t>258</w:t>
            </w:r>
          </w:p>
        </w:tc>
      </w:tr>
      <w:tr w:rsidR="00171183" w:rsidRPr="00297BAD" w14:paraId="5E41BBD5" w14:textId="77777777" w:rsidTr="0037596D">
        <w:tc>
          <w:tcPr>
            <w:tcW w:w="1985" w:type="dxa"/>
            <w:shd w:val="clear" w:color="auto" w:fill="auto"/>
          </w:tcPr>
          <w:p w14:paraId="3EFEEED5" w14:textId="77777777" w:rsidR="00171183" w:rsidRPr="00297BAD" w:rsidRDefault="00171183" w:rsidP="0042337C">
            <w:pPr>
              <w:pStyle w:val="StandaardSV"/>
            </w:pPr>
            <w:r w:rsidRPr="00297BAD">
              <w:t>201305</w:t>
            </w:r>
          </w:p>
        </w:tc>
        <w:tc>
          <w:tcPr>
            <w:tcW w:w="1559" w:type="dxa"/>
            <w:shd w:val="clear" w:color="auto" w:fill="auto"/>
          </w:tcPr>
          <w:p w14:paraId="551D4089" w14:textId="77777777" w:rsidR="00171183" w:rsidRPr="00297BAD" w:rsidRDefault="00171183" w:rsidP="0042337C">
            <w:pPr>
              <w:pStyle w:val="StandaardSV"/>
            </w:pPr>
            <w:r w:rsidRPr="00297BAD">
              <w:t>102</w:t>
            </w:r>
          </w:p>
        </w:tc>
      </w:tr>
      <w:tr w:rsidR="00171183" w:rsidRPr="00297BAD" w14:paraId="79A0EA9D" w14:textId="77777777" w:rsidTr="0037596D">
        <w:tc>
          <w:tcPr>
            <w:tcW w:w="1985" w:type="dxa"/>
            <w:shd w:val="clear" w:color="auto" w:fill="auto"/>
          </w:tcPr>
          <w:p w14:paraId="1ACFC215" w14:textId="77777777" w:rsidR="00171183" w:rsidRPr="00297BAD" w:rsidRDefault="00171183" w:rsidP="0042337C">
            <w:pPr>
              <w:pStyle w:val="StandaardSV"/>
            </w:pPr>
            <w:r w:rsidRPr="00297BAD">
              <w:t>201306</w:t>
            </w:r>
          </w:p>
        </w:tc>
        <w:tc>
          <w:tcPr>
            <w:tcW w:w="1559" w:type="dxa"/>
            <w:shd w:val="clear" w:color="auto" w:fill="auto"/>
          </w:tcPr>
          <w:p w14:paraId="2F556217" w14:textId="77777777" w:rsidR="00171183" w:rsidRPr="00297BAD" w:rsidRDefault="00171183" w:rsidP="0042337C">
            <w:pPr>
              <w:pStyle w:val="StandaardSV"/>
            </w:pPr>
            <w:r w:rsidRPr="00297BAD">
              <w:t>125</w:t>
            </w:r>
          </w:p>
        </w:tc>
      </w:tr>
      <w:tr w:rsidR="00171183" w:rsidRPr="00297BAD" w14:paraId="3FF82669" w14:textId="77777777" w:rsidTr="0037596D">
        <w:tc>
          <w:tcPr>
            <w:tcW w:w="1985" w:type="dxa"/>
            <w:shd w:val="clear" w:color="auto" w:fill="auto"/>
          </w:tcPr>
          <w:p w14:paraId="2D557635" w14:textId="77777777" w:rsidR="00171183" w:rsidRPr="00297BAD" w:rsidRDefault="00171183" w:rsidP="0042337C">
            <w:pPr>
              <w:pStyle w:val="StandaardSV"/>
            </w:pPr>
            <w:r w:rsidRPr="00297BAD">
              <w:t>201307</w:t>
            </w:r>
          </w:p>
        </w:tc>
        <w:tc>
          <w:tcPr>
            <w:tcW w:w="1559" w:type="dxa"/>
            <w:shd w:val="clear" w:color="auto" w:fill="auto"/>
          </w:tcPr>
          <w:p w14:paraId="42A49BC1" w14:textId="77777777" w:rsidR="00171183" w:rsidRPr="00297BAD" w:rsidRDefault="00171183" w:rsidP="0042337C">
            <w:pPr>
              <w:pStyle w:val="StandaardSV"/>
            </w:pPr>
            <w:r w:rsidRPr="00297BAD">
              <w:t>149</w:t>
            </w:r>
          </w:p>
        </w:tc>
      </w:tr>
    </w:tbl>
    <w:p w14:paraId="2DE6682E" w14:textId="77777777" w:rsidR="00171183" w:rsidRPr="00297BAD" w:rsidRDefault="00171183" w:rsidP="0037596D">
      <w:pPr>
        <w:pStyle w:val="StandaardSV"/>
        <w:ind w:firstLine="708"/>
      </w:pPr>
      <w:r w:rsidRPr="00297BAD">
        <w:t>In aug. en sep. Was er geen ‘</w:t>
      </w:r>
      <w:proofErr w:type="spellStart"/>
      <w:r w:rsidRPr="00297BAD">
        <w:t>outbound</w:t>
      </w:r>
      <w:proofErr w:type="spellEnd"/>
      <w:r w:rsidRPr="00297BAD">
        <w:t>’ jeugdwerkplan.</w:t>
      </w:r>
    </w:p>
    <w:p w14:paraId="7B3784F9" w14:textId="77777777" w:rsidR="00171183" w:rsidRPr="00297BAD" w:rsidRDefault="00171183" w:rsidP="00171183">
      <w:pPr>
        <w:pStyle w:val="StandaardSV"/>
      </w:pPr>
    </w:p>
    <w:p w14:paraId="1BF5439D" w14:textId="151670AC" w:rsidR="00171183" w:rsidRPr="00297BAD" w:rsidRDefault="0037596D" w:rsidP="0037596D">
      <w:pPr>
        <w:pStyle w:val="StandaardSV"/>
        <w:ind w:left="709" w:hanging="709"/>
      </w:pPr>
      <w:r>
        <w:t>5.</w:t>
      </w:r>
      <w:r>
        <w:tab/>
      </w:r>
      <w:r w:rsidR="00171183" w:rsidRPr="00297BAD">
        <w:t>Het jeugdwerkplan heeft als doel om alle werkzoekende jongeren zo snel mogelijk te activeren met als belangrijkste doel een duurzame tewerkstelling te bekomen. De gehanteerde timing en routing verschilt naargelang de scholingsgraad.</w:t>
      </w:r>
    </w:p>
    <w:p w14:paraId="2B2F9AF4" w14:textId="77777777" w:rsidR="00171183" w:rsidRPr="00297BAD" w:rsidRDefault="00171183" w:rsidP="0037596D">
      <w:pPr>
        <w:pStyle w:val="StandaardSV"/>
        <w:ind w:firstLine="708"/>
      </w:pPr>
      <w:r w:rsidRPr="00297BAD">
        <w:t xml:space="preserve">- </w:t>
      </w:r>
      <w:r w:rsidRPr="00297BAD">
        <w:rPr>
          <w:u w:val="single"/>
        </w:rPr>
        <w:t xml:space="preserve">laag- en </w:t>
      </w:r>
      <w:proofErr w:type="spellStart"/>
      <w:r w:rsidRPr="00297BAD">
        <w:rPr>
          <w:u w:val="single"/>
        </w:rPr>
        <w:t>middengeschoolden</w:t>
      </w:r>
      <w:proofErr w:type="spellEnd"/>
      <w:r w:rsidRPr="00297BAD">
        <w:t>:</w:t>
      </w:r>
    </w:p>
    <w:p w14:paraId="5C584FF7" w14:textId="68E2C698" w:rsidR="00171183" w:rsidRPr="00297BAD" w:rsidRDefault="00171183" w:rsidP="0037596D">
      <w:pPr>
        <w:pStyle w:val="StandaardSV"/>
        <w:ind w:left="709"/>
      </w:pPr>
      <w:r w:rsidRPr="00297BAD">
        <w:t>Van bij het begin van de inschrijving als werkzoekende, ontvangt de jongere vacatures via de automatische matching. Een maand  nadat men ingeschreven is als werkzoekende nodigt de consulent de jongere uit voor een (collectieve) infosessie en een individueel gesprek op basis waarvan een bemiddelingstraject wordt opgestart tenzij (intensieve) begeleiding reeds aan</w:t>
      </w:r>
      <w:r w:rsidR="0037596D">
        <w:softHyphen/>
      </w:r>
      <w:r w:rsidRPr="00297BAD">
        <w:t>gewezen is. Een actieplan op maat van de werkzoekende wordt opgemaakt. Nadien wordt de jongere regelmatig (twee- tot driewekelijks) opgevolgd. De consulent evalueert of de behoefte aan intensieve begeleiding, met onder andere aandacht voor de randvoorwaarden, aangewezen is.</w:t>
      </w:r>
    </w:p>
    <w:p w14:paraId="4300A1F4" w14:textId="77777777" w:rsidR="00171183" w:rsidRPr="00297BAD" w:rsidRDefault="00171183" w:rsidP="00171183">
      <w:pPr>
        <w:pStyle w:val="StandaardSV"/>
      </w:pPr>
    </w:p>
    <w:p w14:paraId="0A51E4B6" w14:textId="77777777" w:rsidR="00171183" w:rsidRPr="00297BAD" w:rsidRDefault="00171183" w:rsidP="0037596D">
      <w:pPr>
        <w:pStyle w:val="StandaardSV"/>
        <w:ind w:firstLine="708"/>
      </w:pPr>
      <w:r w:rsidRPr="00297BAD">
        <w:t xml:space="preserve">- </w:t>
      </w:r>
      <w:r w:rsidRPr="00297BAD">
        <w:rPr>
          <w:u w:val="single"/>
        </w:rPr>
        <w:t>hooggeschoolden</w:t>
      </w:r>
      <w:r w:rsidRPr="00297BAD">
        <w:t>:</w:t>
      </w:r>
    </w:p>
    <w:p w14:paraId="02BFD025" w14:textId="470FBFD6" w:rsidR="00171183" w:rsidRPr="00297BAD" w:rsidRDefault="00171183" w:rsidP="0037596D">
      <w:pPr>
        <w:pStyle w:val="StandaardSV"/>
        <w:ind w:left="709" w:hanging="1"/>
      </w:pPr>
      <w:r w:rsidRPr="00297BAD">
        <w:t>Volgen een gelijkaardige aanpak met enkele accentverschillen in de routing.  Na vier weken ontvangen jongeren met e-mail een mail met een link naar de jongerenwebsite en het e-loket voor werkzoekenden. De VDAB-servicelijn zal tussen de zes en negen weken na inschrijving contact opnemen in functie van een passend serviceaanbod.</w:t>
      </w:r>
    </w:p>
    <w:p w14:paraId="13A0CD7F" w14:textId="56758243" w:rsidR="00171183" w:rsidRPr="00297BAD" w:rsidRDefault="00171183" w:rsidP="0037596D">
      <w:pPr>
        <w:pStyle w:val="StandaardSV"/>
        <w:ind w:left="709"/>
      </w:pPr>
      <w:r w:rsidRPr="00297BAD">
        <w:t>De consulent nodigt de jongere uit voor een individueel gesprek na drie maanden (ingeschre</w:t>
      </w:r>
      <w:r w:rsidR="0037596D">
        <w:softHyphen/>
      </w:r>
      <w:r w:rsidRPr="00297BAD">
        <w:t>ven en nog werkzoekend). De nodige acties en afspraken worden gemaakt zoals reeds be</w:t>
      </w:r>
      <w:r w:rsidR="0037596D">
        <w:softHyphen/>
      </w:r>
      <w:r w:rsidRPr="00297BAD">
        <w:t xml:space="preserve">schreven voor laag- en </w:t>
      </w:r>
      <w:proofErr w:type="spellStart"/>
      <w:r w:rsidRPr="00297BAD">
        <w:t>middengeschoolden</w:t>
      </w:r>
      <w:proofErr w:type="spellEnd"/>
      <w:r w:rsidRPr="00297BAD">
        <w:t>. Vier maanden nadien (na het gesprek) vindt even</w:t>
      </w:r>
      <w:r w:rsidR="0037596D">
        <w:softHyphen/>
      </w:r>
      <w:r w:rsidRPr="00297BAD">
        <w:t>eens een evaluatie plaats met de hooggeschoolde in functie van een (intensiever) aanbod op maat.</w:t>
      </w:r>
    </w:p>
    <w:sectPr w:rsidR="00171183" w:rsidRPr="00297BAD" w:rsidSect="0037596D">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ACC9" w14:textId="77777777" w:rsidR="00313C88" w:rsidRDefault="00313C88" w:rsidP="00464A7A">
      <w:r>
        <w:separator/>
      </w:r>
    </w:p>
  </w:endnote>
  <w:endnote w:type="continuationSeparator" w:id="0">
    <w:p w14:paraId="3836632D"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F42B"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C8E2"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5DE4"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11EB8" w14:textId="77777777" w:rsidR="00313C88" w:rsidRDefault="00313C88" w:rsidP="00464A7A">
      <w:r>
        <w:separator/>
      </w:r>
    </w:p>
  </w:footnote>
  <w:footnote w:type="continuationSeparator" w:id="0">
    <w:p w14:paraId="2CF4450C" w14:textId="77777777" w:rsidR="00313C88" w:rsidRDefault="00313C88"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5702"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84E9"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59FCD"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3EA03680"/>
    <w:multiLevelType w:val="hybridMultilevel"/>
    <w:tmpl w:val="29040B16"/>
    <w:lvl w:ilvl="0" w:tplc="6C4E5136">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
  </w:num>
  <w:num w:numId="4">
    <w:abstractNumId w:val="2"/>
  </w:num>
  <w:num w:numId="5">
    <w:abstractNumId w:val="11"/>
  </w:num>
  <w:num w:numId="6">
    <w:abstractNumId w:val="5"/>
  </w:num>
  <w:num w:numId="7">
    <w:abstractNumId w:val="4"/>
  </w:num>
  <w:num w:numId="8">
    <w:abstractNumId w:val="8"/>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71183"/>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7596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5BE9"/>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151096d7a063ea3c134c97223d8b3104">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1bb11781909af6ded2c8d74cebef1e4f"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indexed="true"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1146 Jeugdwerkplan - Resultaten (2)</Titel_x0020_vraag>
    <Vraagnummer xmlns="7a2e3783-fe9a-4a2f-bbf4-debb4ac58a5c">1146</Vraagnummer>
    <DatumVraag xmlns="7a2e3783-fe9a-4a2f-bbf4-debb4ac58a5c">2013-09-19T22:00:00+00:00</DatumVraag>
    <DocumentSetDescription xmlns="http://schemas.microsoft.com/sharepoint/v3" xsi:nil="true"/>
    <Antwoord_x0020_vereist xmlns="7a2e3783-fe9a-4a2f-bbf4-debb4ac58a5c">2013-10-10T22:00:00+00:00</Antwoord_x0020_vereist>
    <Onderwerp_x0020_vraag xmlns="7a2e3783-fe9a-4a2f-bbf4-debb4ac58a5c">Jeugdwerkplan - Resultaten (2)</Onderwerp_x0020_vraag>
    <TaxCatchAll xmlns="7a2e3783-fe9a-4a2f-bbf4-debb4ac58a5c"/>
    <Antwoordnummer xmlns="7a2e3783-fe9a-4a2f-bbf4-debb4ac58a5c">1146</Antwoordnummer>
    <Extra_x0020_Behandelaars xmlns="7a2e3783-fe9a-4a2f-bbf4-debb4ac58a5c">
      <UserInfo>
        <DisplayName/>
        <AccountId xsi:nil="true"/>
        <AccountType/>
      </UserInfo>
    </Extra_x0020_Behandelaars>
    <Parlementair xmlns="7a2e3783-fe9a-4a2f-bbf4-debb4ac58a5c">Bjorn Rzoska</Parlementair>
    <Doorloopstatus xmlns="7a2e3783-fe9a-4a2f-bbf4-debb4ac58a5c">In behandeling</Doorloopstatus>
    <Behandelaar xmlns="7a2e3783-fe9a-4a2f-bbf4-debb4ac58a5c">
      <UserInfo>
        <DisplayName>Vroman, Patricia</DisplayName>
        <AccountId>52</AccountId>
        <AccountType/>
      </UserInfo>
    </Behandelaar>
    <Vraag_x0020_beantwoord xmlns="7a2e3783-fe9a-4a2f-bbf4-debb4ac58a5c" xsi:nil="true"/>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916</DocSetId>
    <Extern_x0020_Agentschap xmlns="ad923ab5-f988-4e82-b3fb-7226e10f961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3.xml><?xml version="1.0" encoding="utf-8"?>
<ds:datastoreItem xmlns:ds="http://schemas.openxmlformats.org/officeDocument/2006/customXml" ds:itemID="{C947E43C-7D74-4577-91FC-EE8D685EF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98DB8-679A-49E4-AA34-B450138B57AB}">
  <ds:schemaRefs>
    <ds:schemaRef ds:uri="http://schemas.microsoft.com/sharepoint/v3"/>
    <ds:schemaRef ds:uri="http://purl.org/dc/elements/1.1/"/>
    <ds:schemaRef ds:uri="http://purl.org/dc/terms/"/>
    <ds:schemaRef ds:uri="http://schemas.microsoft.com/office/infopath/2007/PartnerControls"/>
    <ds:schemaRef ds:uri="ad923ab5-f988-4e82-b3fb-7226e10f9616"/>
    <ds:schemaRef ds:uri="http://schemas.openxmlformats.org/package/2006/metadata/core-properties"/>
    <ds:schemaRef ds:uri="ec82e040-88e9-4975-bc13-a42fab7bb9ce"/>
    <ds:schemaRef ds:uri="http://schemas.microsoft.com/office/2006/metadata/properties"/>
    <ds:schemaRef ds:uri="http://schemas.microsoft.com/office/2006/documentManagement/types"/>
    <ds:schemaRef ds:uri="7a2e3783-fe9a-4a2f-bbf4-debb4ac58a5c"/>
    <ds:schemaRef ds:uri="http://www.w3.org/XML/1998/namespace"/>
    <ds:schemaRef ds:uri="http://purl.org/dc/dcmitype/"/>
  </ds:schemaRefs>
</ds:datastoreItem>
</file>

<file path=customXml/itemProps5.xml><?xml version="1.0" encoding="utf-8"?>
<ds:datastoreItem xmlns:ds="http://schemas.openxmlformats.org/officeDocument/2006/customXml" ds:itemID="{427C115E-DBFE-425A-AF53-089DD886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5288</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Jeugdwerkplan resultaten</vt:lpstr>
      <vt:lpstr/>
    </vt:vector>
  </TitlesOfParts>
  <Company>MVG</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Jeugdwerkplan resultaten</dc:title>
  <dc:creator>Lambrechts, Silvie</dc:creator>
  <cp:lastModifiedBy>Isabelle Cauwel</cp:lastModifiedBy>
  <cp:revision>2</cp:revision>
  <cp:lastPrinted>2013-10-18T07:45:00Z</cp:lastPrinted>
  <dcterms:created xsi:type="dcterms:W3CDTF">2013-10-23T12:49:00Z</dcterms:created>
  <dcterms:modified xsi:type="dcterms:W3CDTF">2013-10-23T12:49:00Z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82d379bd-f87f-42be-971a-7b747eeb8023</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PVOrigID">
    <vt:lpwstr/>
  </property>
</Properties>
</file>