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9D3BE1">
      <w:pPr>
        <w:pStyle w:val="A-NaamMinister"/>
        <w:jc w:val="both"/>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D71D99" w:rsidP="009D3BE1">
      <w:pPr>
        <w:pStyle w:val="A-TitelMinister"/>
        <w:jc w:val="both"/>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rsidR="000976E9" w:rsidRPr="00015BF7" w:rsidRDefault="000976E9" w:rsidP="009D3BE1">
      <w:pPr>
        <w:jc w:val="both"/>
        <w:rPr>
          <w:szCs w:val="22"/>
        </w:rPr>
      </w:pPr>
    </w:p>
    <w:p w:rsidR="000976E9" w:rsidRPr="00DB41C0" w:rsidRDefault="000976E9" w:rsidP="009D3BE1">
      <w:pPr>
        <w:pStyle w:val="A-Lijn"/>
        <w:jc w:val="both"/>
      </w:pPr>
    </w:p>
    <w:p w:rsidR="000976E9" w:rsidRDefault="000976E9" w:rsidP="009D3BE1">
      <w:pPr>
        <w:pStyle w:val="A-Type"/>
        <w:jc w:val="both"/>
        <w:sectPr w:rsidR="000976E9">
          <w:pgSz w:w="11906" w:h="16838"/>
          <w:pgMar w:top="1417" w:right="1417" w:bottom="1417" w:left="1417" w:header="708" w:footer="708" w:gutter="0"/>
          <w:cols w:space="708"/>
          <w:docGrid w:linePitch="360"/>
        </w:sectPr>
      </w:pPr>
    </w:p>
    <w:p w:rsidR="00210C07" w:rsidRDefault="000976E9" w:rsidP="009D3BE1">
      <w:pPr>
        <w:pStyle w:val="A-Type"/>
        <w:jc w:val="both"/>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9D3BE1">
      <w:pPr>
        <w:pStyle w:val="A-Type"/>
        <w:jc w:val="both"/>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407938">
        <w:rPr>
          <w:b w:val="0"/>
        </w:rPr>
        <w:t>1050</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407938">
        <w:rPr>
          <w:b w:val="0"/>
        </w:rPr>
        <w:t>22</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9D3BE1">
      <w:pPr>
        <w:jc w:val="both"/>
        <w:rPr>
          <w:szCs w:val="22"/>
        </w:rPr>
      </w:pPr>
      <w:r>
        <w:rPr>
          <w:szCs w:val="22"/>
        </w:rPr>
        <w:t xml:space="preserve">van </w:t>
      </w:r>
      <w:proofErr w:type="spellStart"/>
      <w:r w:rsidR="009D3BE1">
        <w:rPr>
          <w:rStyle w:val="AntwoordNaamMinisterChar"/>
        </w:rPr>
        <w:t>björn</w:t>
      </w:r>
      <w:proofErr w:type="spellEnd"/>
      <w:r w:rsidR="009D3BE1">
        <w:rPr>
          <w:rStyle w:val="AntwoordNaamMinisterChar"/>
        </w:rPr>
        <w:t xml:space="preserve"> </w:t>
      </w:r>
      <w:proofErr w:type="spellStart"/>
      <w:r w:rsidR="009D3BE1">
        <w:rPr>
          <w:rStyle w:val="AntwoordNaamMinisterChar"/>
        </w:rPr>
        <w:t>rzoska</w:t>
      </w:r>
      <w:proofErr w:type="spellEnd"/>
    </w:p>
    <w:p w:rsidR="00326A58" w:rsidRPr="00015BF7" w:rsidRDefault="00326A58" w:rsidP="009D3BE1">
      <w:pPr>
        <w:jc w:val="both"/>
        <w:rPr>
          <w:szCs w:val="22"/>
        </w:rPr>
      </w:pPr>
    </w:p>
    <w:p w:rsidR="000976E9" w:rsidRPr="00DB41C0" w:rsidRDefault="000976E9" w:rsidP="009D3BE1">
      <w:pPr>
        <w:pStyle w:val="A-Lijn"/>
        <w:jc w:val="both"/>
      </w:pPr>
    </w:p>
    <w:p w:rsidR="000976E9" w:rsidRPr="00DB41C0" w:rsidRDefault="000976E9" w:rsidP="009D3BE1">
      <w:pPr>
        <w:pStyle w:val="A-Lijn"/>
        <w:jc w:val="both"/>
      </w:pPr>
    </w:p>
    <w:p w:rsidR="000976E9" w:rsidRDefault="000976E9" w:rsidP="009D3BE1">
      <w:pPr>
        <w:jc w:val="both"/>
        <w:sectPr w:rsidR="000976E9" w:rsidSect="000976E9">
          <w:type w:val="continuous"/>
          <w:pgSz w:w="11906" w:h="16838"/>
          <w:pgMar w:top="1417" w:right="1417" w:bottom="1417" w:left="1417" w:header="708" w:footer="708" w:gutter="0"/>
          <w:cols w:space="708"/>
          <w:docGrid w:linePitch="360"/>
        </w:sectPr>
      </w:pPr>
    </w:p>
    <w:p w:rsidR="00732B4D" w:rsidRDefault="009D3BE1" w:rsidP="009D3BE1">
      <w:pPr>
        <w:pStyle w:val="StandaardSV"/>
        <w:ind w:left="567" w:hanging="567"/>
      </w:pPr>
      <w:r>
        <w:lastRenderedPageBreak/>
        <w:t>1-2.</w:t>
      </w:r>
      <w:r>
        <w:tab/>
      </w:r>
      <w:r w:rsidR="00407938" w:rsidRPr="00923C0E">
        <w:t xml:space="preserve">De stedenbouwkundige voorschriften van het </w:t>
      </w:r>
      <w:r w:rsidR="00732B4D">
        <w:t xml:space="preserve">gemeentelijk </w:t>
      </w:r>
      <w:r w:rsidR="00407938" w:rsidRPr="00923C0E">
        <w:t xml:space="preserve">RUP </w:t>
      </w:r>
      <w:r w:rsidR="00732B4D">
        <w:t>“</w:t>
      </w:r>
      <w:r w:rsidR="00975CCB" w:rsidRPr="00923C0E">
        <w:t>Zonevreemde woningen</w:t>
      </w:r>
      <w:r w:rsidR="00732B4D">
        <w:t xml:space="preserve">” hebben betrekking op </w:t>
      </w:r>
      <w:r w:rsidR="00407938" w:rsidRPr="00923C0E">
        <w:t>bestaande, niet-verkrotte</w:t>
      </w:r>
      <w:r w:rsidR="00732B4D">
        <w:t xml:space="preserve"> en </w:t>
      </w:r>
      <w:r w:rsidR="00407938" w:rsidRPr="00923C0E">
        <w:t xml:space="preserve">hoofdzakelijk vergund of vergund geachte </w:t>
      </w:r>
      <w:r w:rsidR="00732B4D">
        <w:t xml:space="preserve">woningen.  </w:t>
      </w:r>
      <w:r w:rsidR="00407938" w:rsidRPr="00923C0E">
        <w:t>Tevens gelden deze v</w:t>
      </w:r>
      <w:r w:rsidR="00732B4D">
        <w:t xml:space="preserve">oorschriften voor woningen die werden opgericht na een </w:t>
      </w:r>
      <w:r w:rsidR="00407938" w:rsidRPr="00923C0E">
        <w:t xml:space="preserve">geldige en uitvoerbare stedenbouwkundige vergunning zijn opgericht in uitvoering van een plan van aanleg, een uitvoeringsplan of een verkavelingsplan, </w:t>
      </w:r>
      <w:r w:rsidR="00732B4D">
        <w:t>dat vervolgens</w:t>
      </w:r>
      <w:r w:rsidR="00407938" w:rsidRPr="00923C0E">
        <w:t xml:space="preserve"> werd vernietigd door de Raad van State.</w:t>
      </w:r>
    </w:p>
    <w:p w:rsidR="00732B4D" w:rsidRDefault="00732B4D" w:rsidP="009D3BE1">
      <w:pPr>
        <w:pStyle w:val="StandaardSV"/>
        <w:ind w:left="567"/>
      </w:pPr>
      <w:r>
        <w:t>In</w:t>
      </w:r>
      <w:r w:rsidRPr="00923C0E">
        <w:t xml:space="preserve"> het RUP </w:t>
      </w:r>
      <w:r>
        <w:t xml:space="preserve">is expliciet </w:t>
      </w:r>
      <w:r w:rsidRPr="00923C0E">
        <w:t xml:space="preserve">opgenomen dat niet geraakt wordt aan eerdere uitspraken door de Raad van State. </w:t>
      </w:r>
      <w:r>
        <w:t xml:space="preserve">Het RUP regulariseert niet de bestaande woning noch de ontbossing, maar biedt mogelijkheden voor het bekomen van een regularisatievergunning in dit specifieke geval, waar de vergunning is vernietigd door de Raad van State. </w:t>
      </w:r>
    </w:p>
    <w:p w:rsidR="00732B4D" w:rsidRDefault="00732B4D" w:rsidP="009D3BE1">
      <w:pPr>
        <w:pStyle w:val="StandaardSV"/>
        <w:ind w:left="567"/>
      </w:pPr>
      <w:r>
        <w:t xml:space="preserve">De bedoelde verkavelingsvergunning uit 1992 werd door de Raad van State vernietigd omwille van een onterechte toepassing van de opvulregel. Er wordt dus geenszins geraakt aan </w:t>
      </w:r>
      <w:r w:rsidRPr="00923C0E">
        <w:t xml:space="preserve">eerdere uitspraken van de Raad van </w:t>
      </w:r>
      <w:r>
        <w:t>S</w:t>
      </w:r>
      <w:r w:rsidRPr="00923C0E">
        <w:t xml:space="preserve">tate betreffende de rechtstoestand van een verkaveling. </w:t>
      </w:r>
    </w:p>
    <w:p w:rsidR="008A4A8C" w:rsidRDefault="008A4A8C" w:rsidP="009D3BE1">
      <w:pPr>
        <w:pStyle w:val="StandaardSV"/>
      </w:pPr>
    </w:p>
    <w:p w:rsidR="00E06EE5" w:rsidRPr="00E06EE5" w:rsidRDefault="009D3BE1" w:rsidP="009D3BE1">
      <w:pPr>
        <w:pStyle w:val="StandaardSV"/>
        <w:ind w:left="426" w:hanging="426"/>
      </w:pPr>
      <w:r>
        <w:t>3.</w:t>
      </w:r>
      <w:r>
        <w:tab/>
      </w:r>
      <w:r w:rsidR="00E06EE5" w:rsidRPr="00E06EE5">
        <w:t>In het verleden werden inderdaad reeds enkele berichten ontvangen namens buurtbewoners, waarop echter steeds een antwoord geformuleerd en verzonden werd.</w:t>
      </w:r>
    </w:p>
    <w:p w:rsidR="00E06EE5" w:rsidRDefault="00E06EE5" w:rsidP="009D3BE1">
      <w:pPr>
        <w:pStyle w:val="StandaardSV"/>
      </w:pPr>
    </w:p>
    <w:p w:rsidR="00112238" w:rsidRDefault="00923C0E" w:rsidP="009D3BE1">
      <w:pPr>
        <w:pStyle w:val="StandaardSV"/>
        <w:ind w:left="426" w:hanging="426"/>
      </w:pPr>
      <w:r w:rsidRPr="00923C0E">
        <w:t>4.</w:t>
      </w:r>
      <w:r w:rsidR="009D3BE1">
        <w:tab/>
      </w:r>
      <w:r w:rsidR="00407938" w:rsidRPr="00923C0E">
        <w:t xml:space="preserve">Het ontbossen of het vellen van bomen is volgens de bepalingen van de </w:t>
      </w:r>
      <w:r w:rsidRPr="00923C0E">
        <w:t>Vlaamse C</w:t>
      </w:r>
      <w:r w:rsidR="00407938" w:rsidRPr="00923C0E">
        <w:t xml:space="preserve">odex Ruimtelijke Ordening (VCRO) in artikel 4.2.1. steeds </w:t>
      </w:r>
      <w:proofErr w:type="spellStart"/>
      <w:r w:rsidR="00407938" w:rsidRPr="00923C0E">
        <w:t>vergunningsplichtig</w:t>
      </w:r>
      <w:proofErr w:type="spellEnd"/>
      <w:r w:rsidR="00407938" w:rsidRPr="00923C0E">
        <w:t>. Deze regelgeving zal ook in de toekomst onverminderd toegepast worden</w:t>
      </w:r>
      <w:r w:rsidR="00112238">
        <w:t xml:space="preserve">, met de administratieve beroepsmogelijkheden </w:t>
      </w:r>
      <w:r w:rsidR="00C223AE">
        <w:t xml:space="preserve">zoals opgenomen </w:t>
      </w:r>
      <w:r w:rsidR="009848BA">
        <w:t>in</w:t>
      </w:r>
      <w:r w:rsidR="00C223AE">
        <w:t xml:space="preserve"> de VCRO</w:t>
      </w:r>
      <w:r w:rsidR="00407938" w:rsidRPr="00923C0E">
        <w:t xml:space="preserve">. </w:t>
      </w:r>
      <w:r w:rsidR="00975CCB" w:rsidRPr="00923C0E">
        <w:t>De sectorale regelgeving inzake de ontbossing</w:t>
      </w:r>
      <w:r w:rsidR="009848BA">
        <w:t>, meer bepaald het bosdecreet,</w:t>
      </w:r>
      <w:r w:rsidR="00975CCB" w:rsidRPr="00923C0E">
        <w:t xml:space="preserve"> blijft </w:t>
      </w:r>
      <w:r w:rsidR="009848BA">
        <w:t xml:space="preserve">eveneens </w:t>
      </w:r>
      <w:r w:rsidR="00975CCB" w:rsidRPr="00923C0E">
        <w:t xml:space="preserve">onverminderd van toepassing. </w:t>
      </w:r>
      <w:r w:rsidR="009848BA">
        <w:t>Ik meen dat er hier absoluut geen sprake is van een omzeiling of ontwijking van de bepalingen inzake ruimtelijke ordening en ontbossing.</w:t>
      </w:r>
    </w:p>
    <w:p w:rsidR="00923C0E" w:rsidRPr="00923C0E" w:rsidRDefault="00923C0E" w:rsidP="009D3BE1">
      <w:pPr>
        <w:pStyle w:val="StandaardSV"/>
      </w:pPr>
    </w:p>
    <w:p w:rsidR="00407938" w:rsidRPr="00923C0E" w:rsidRDefault="00923C0E" w:rsidP="009D3BE1">
      <w:pPr>
        <w:pStyle w:val="StandaardSV"/>
        <w:ind w:left="426" w:hanging="426"/>
      </w:pPr>
      <w:r w:rsidRPr="00923C0E">
        <w:t>5.</w:t>
      </w:r>
      <w:r w:rsidR="009D3BE1">
        <w:tab/>
      </w:r>
      <w:r w:rsidR="00407938" w:rsidRPr="00923C0E">
        <w:t xml:space="preserve">Op 3 april 2009 keurde de Vlaamse Regering een uitvoeringsprogramma goed in kader van het planningsproces voor de Afbakening van de Gebieden van de Natuurlijke en Agrarische Structuur (AGNAS). In dit uitvoeringsprogramma werd een actie opgenomen voor de opmaak van een (gewestelijk) RUP ‘boscomplexen </w:t>
      </w:r>
      <w:proofErr w:type="spellStart"/>
      <w:r w:rsidR="00407938" w:rsidRPr="00923C0E">
        <w:t>dekzandrug</w:t>
      </w:r>
      <w:proofErr w:type="spellEnd"/>
      <w:r w:rsidR="00407938" w:rsidRPr="00923C0E">
        <w:t xml:space="preserve">’. In deze actie zit o.a. het behoud en de versterking van het </w:t>
      </w:r>
      <w:proofErr w:type="spellStart"/>
      <w:r w:rsidR="00407938" w:rsidRPr="00923C0E">
        <w:t>Wullebos</w:t>
      </w:r>
      <w:proofErr w:type="spellEnd"/>
      <w:r w:rsidR="00407938" w:rsidRPr="00923C0E">
        <w:t xml:space="preserve"> vervat, het boscomplex nabij het betreffende gebied Polken te </w:t>
      </w:r>
      <w:proofErr w:type="spellStart"/>
      <w:r w:rsidR="00407938" w:rsidRPr="00923C0E">
        <w:t>Stekene</w:t>
      </w:r>
      <w:proofErr w:type="spellEnd"/>
      <w:r w:rsidR="00407938" w:rsidRPr="00923C0E">
        <w:t>. Er werd ook een richtcijfer voor bosuitbreiding (100 ha) opgenomen.</w:t>
      </w:r>
      <w:r w:rsidR="00255999">
        <w:t xml:space="preserve"> Via het instrumentarium van de ruimtelijke ordening wordt op deze manier ruimte voorzien voor bosuitbreiding en bosherstel</w:t>
      </w:r>
      <w:r w:rsidR="00407938" w:rsidRPr="00923C0E">
        <w:t>.</w:t>
      </w:r>
      <w:r w:rsidR="00255999">
        <w:t xml:space="preserve"> De effectieve realisatie van bijkomend bosgebied valt onder de bevoegdheid van mijn collega Schauvliege.</w:t>
      </w:r>
    </w:p>
    <w:p w:rsidR="00923C0E" w:rsidRPr="009D3BE1" w:rsidRDefault="00923C0E" w:rsidP="009D3BE1">
      <w:pPr>
        <w:pStyle w:val="StandaardSV"/>
      </w:pPr>
    </w:p>
    <w:p w:rsidR="009E5F11" w:rsidRDefault="00923C0E" w:rsidP="009D3BE1">
      <w:pPr>
        <w:pStyle w:val="StandaardSV"/>
        <w:ind w:left="426" w:hanging="426"/>
      </w:pPr>
      <w:r w:rsidRPr="009E5F11">
        <w:t>6.</w:t>
      </w:r>
      <w:r w:rsidR="009D3BE1">
        <w:tab/>
      </w:r>
      <w:r w:rsidR="009E5F11" w:rsidRPr="00CB3DFB">
        <w:t>In de realiteit is het bos reeds gekapt in de periode 1993-1995 en de percelen zijn k</w:t>
      </w:r>
      <w:r w:rsidR="009E5F11">
        <w:t>ort daarna bebouwd. Doordat de Raad van S</w:t>
      </w:r>
      <w:r w:rsidR="009E5F11" w:rsidRPr="00CB3DFB">
        <w:t>tate in 2008 de vergunning van 1992</w:t>
      </w:r>
      <w:r w:rsidR="009E5F11">
        <w:t xml:space="preserve"> heeft vernietigd,</w:t>
      </w:r>
      <w:r w:rsidR="009E5F11" w:rsidRPr="00CB3DFB">
        <w:t xml:space="preserve"> </w:t>
      </w:r>
      <w:r w:rsidR="009E5F11">
        <w:t>bestaat thans een illegale toestand. De eigenaars kunnen trachten een regularisatievergunning te bekomen voor de ontbossing en de woning, dan wel de toestand in zijn oorspronkelijke staat te herstellen door afbraak en herbebossing. Hierbij zullen de juiste procedures, zoals bepaald in het Bosdecreet en de VCRO moeten gevolgd worden.</w:t>
      </w:r>
    </w:p>
    <w:p w:rsidR="009E5F11" w:rsidRDefault="009E5F11" w:rsidP="009D3BE1">
      <w:pPr>
        <w:jc w:val="both"/>
      </w:pPr>
    </w:p>
    <w:p w:rsidR="009E5F11" w:rsidRPr="00CB3DFB" w:rsidRDefault="009E5F11" w:rsidP="009D3BE1">
      <w:pPr>
        <w:ind w:left="426"/>
        <w:jc w:val="both"/>
      </w:pPr>
      <w:r w:rsidRPr="00CB3DFB">
        <w:t>In het Bosdecreet wordt in artikel 90</w:t>
      </w:r>
      <w:r>
        <w:t xml:space="preserve"> </w:t>
      </w:r>
      <w:r w:rsidRPr="00CB3DFB">
        <w:t xml:space="preserve">bis het principe van het verbod tot ontbossen en boscompensatie bij ontbossing vastgelegd. Momenteel is de aanvraag tot ontheffing op het verbod op ontbossing bij het Agentschap voor Natuur en Bos in behandeling. Indien deze </w:t>
      </w:r>
      <w:r>
        <w:t xml:space="preserve">ontheffing </w:t>
      </w:r>
      <w:r>
        <w:lastRenderedPageBreak/>
        <w:t xml:space="preserve">wordt verkregen, </w:t>
      </w:r>
      <w:r w:rsidRPr="00CB3DFB">
        <w:t xml:space="preserve">kan een stedenbouwkundige vergunning met boscompensatievoorstel aangevraagd worden. </w:t>
      </w:r>
      <w:r>
        <w:t>D</w:t>
      </w:r>
      <w:r w:rsidRPr="00CB3DFB">
        <w:t xml:space="preserve">e gemeente </w:t>
      </w:r>
      <w:r>
        <w:t>is bevoegd om e</w:t>
      </w:r>
      <w:r w:rsidRPr="00CB3DFB">
        <w:t xml:space="preserve">en stedenbouwkundige vergunning voor een ontbossing </w:t>
      </w:r>
      <w:r>
        <w:t>te verlenen</w:t>
      </w:r>
      <w:r w:rsidRPr="00CB3DFB">
        <w:t xml:space="preserve"> na advies van het Agentschap voor Natuur en Bos.</w:t>
      </w:r>
      <w:r>
        <w:t xml:space="preserve"> </w:t>
      </w:r>
      <w:r w:rsidRPr="00CB3DFB">
        <w:t>De nadere regels inzake de wijze en de omvang van de compensatie zijn opgenomen in het besluit van de Vlaamse Regering van 16 februari 2001 tot vaststelling van nadere regels inzake compensatie van ontbossing en ontheffing van het verbod op ontbossing. Compensatie kan gebeuren financieel of in natura door de realisatie van een bebossing of door een combinatie van beide. Bovendien k</w:t>
      </w:r>
      <w:r>
        <w:t>an de aanvrager initiatieven voorstellen</w:t>
      </w:r>
      <w:r w:rsidRPr="00CB3DFB">
        <w:t xml:space="preserve"> </w:t>
      </w:r>
      <w:r>
        <w:t>in functie van</w:t>
      </w:r>
      <w:r w:rsidRPr="00CB3DFB">
        <w:t xml:space="preserve"> de zorgplicht en het </w:t>
      </w:r>
      <w:proofErr w:type="spellStart"/>
      <w:r w:rsidRPr="00CB3DFB">
        <w:t>standsti</w:t>
      </w:r>
      <w:r>
        <w:t>l</w:t>
      </w:r>
      <w:r w:rsidRPr="00CB3DFB">
        <w:t>l</w:t>
      </w:r>
      <w:proofErr w:type="spellEnd"/>
      <w:r w:rsidRPr="00CB3DFB">
        <w:t>-principe zoals beschreven in het natuurdecreet.</w:t>
      </w:r>
      <w:r>
        <w:t xml:space="preserve"> </w:t>
      </w:r>
      <w:r w:rsidRPr="00CB3DFB">
        <w:t xml:space="preserve">Het Agentschap voor Natuur en Bos en de vergunningverlener zullen het voorstel aan de wetgeving toetsen. De vergunninghouder is verantwoordelijk voor </w:t>
      </w:r>
      <w:r>
        <w:t>het</w:t>
      </w:r>
      <w:r w:rsidRPr="00CB3DFB">
        <w:t xml:space="preserve"> realis</w:t>
      </w:r>
      <w:r>
        <w:t>eren</w:t>
      </w:r>
      <w:r w:rsidRPr="00CB3DFB">
        <w:t xml:space="preserve"> van de compensaties.</w:t>
      </w:r>
    </w:p>
    <w:p w:rsidR="00923C0E" w:rsidRPr="009D3BE1" w:rsidRDefault="00923C0E" w:rsidP="009D3BE1">
      <w:pPr>
        <w:pStyle w:val="StandaardSV"/>
      </w:pPr>
    </w:p>
    <w:p w:rsidR="009E5F11" w:rsidRPr="009E5F11" w:rsidRDefault="00923C0E" w:rsidP="009D3BE1">
      <w:pPr>
        <w:pStyle w:val="StandaardSV"/>
        <w:ind w:left="426" w:hanging="426"/>
      </w:pPr>
      <w:r w:rsidRPr="00923C0E">
        <w:t>7.</w:t>
      </w:r>
      <w:r w:rsidR="009D3BE1">
        <w:tab/>
      </w:r>
      <w:r w:rsidR="009E5F11" w:rsidRPr="009E5F11">
        <w:t xml:space="preserve">Indien een effectieve vergunningsaanvraag wordt ingediend, waarbij ofwel een nieuwe ontbossing aan bod komt, ofwel een regularisatie van een reeds uitgevoerde ontbossing, dan dient er afgetoetst te worden aan de rubrieken uit bijlage II en III van het besluit van de Vlaamse Regering van 10 december 2004 houdende vaststelling van de categorieën van projecten onderworpen aan milieueffectrapportage. </w:t>
      </w:r>
    </w:p>
    <w:p w:rsidR="009E5F11" w:rsidRPr="009E5F11" w:rsidRDefault="009E5F11" w:rsidP="009D3BE1">
      <w:pPr>
        <w:pStyle w:val="StandaardSV"/>
        <w:numPr>
          <w:ilvl w:val="0"/>
          <w:numId w:val="15"/>
        </w:numPr>
      </w:pPr>
      <w:r w:rsidRPr="009E5F11">
        <w:t>Indien de te ontbossen oppervlakte meer dan 3 ha bevat, is bijlage II rubriek 1d 2° van toepassing en dient een verzoek tot ontheffing project-MER ingedien</w:t>
      </w:r>
      <w:r w:rsidR="009D3BE1">
        <w:t xml:space="preserve">d te worden bij de dienst </w:t>
      </w:r>
      <w:proofErr w:type="spellStart"/>
      <w:r w:rsidR="009D3BE1">
        <w:t>Mer</w:t>
      </w:r>
      <w:proofErr w:type="spellEnd"/>
      <w:r w:rsidR="009D3BE1">
        <w:t xml:space="preserve">. </w:t>
      </w:r>
      <w:r w:rsidRPr="009E5F11">
        <w:t xml:space="preserve">De timing voor deze procedure bedraagt 70 dagen. Het verzoek tot ontheffing project-MER wordt na goedkeuring door dienst </w:t>
      </w:r>
      <w:proofErr w:type="spellStart"/>
      <w:r w:rsidRPr="009E5F11">
        <w:t>Mer</w:t>
      </w:r>
      <w:proofErr w:type="spellEnd"/>
      <w:r w:rsidRPr="009E5F11">
        <w:t xml:space="preserve"> bij de vergunningsaanvraag gevoegd ter ondersteuning van de vergunningsbeslissing. </w:t>
      </w:r>
    </w:p>
    <w:p w:rsidR="009E5F11" w:rsidRDefault="009E5F11" w:rsidP="009D3BE1">
      <w:pPr>
        <w:pStyle w:val="StandaardSV"/>
        <w:numPr>
          <w:ilvl w:val="0"/>
          <w:numId w:val="15"/>
        </w:numPr>
      </w:pPr>
      <w:r w:rsidRPr="009E5F11">
        <w:t>Indien de oppervlakte minder dan 3 ha bevat, is bijlage III rubriek 1d van toepassing en dient een project-</w:t>
      </w:r>
      <w:proofErr w:type="spellStart"/>
      <w:r w:rsidRPr="009E5F11">
        <w:t>m.e.r</w:t>
      </w:r>
      <w:proofErr w:type="spellEnd"/>
      <w:r w:rsidRPr="009E5F11">
        <w:t xml:space="preserve">.-screening aan de vergunningsaanvraag toegevoegd te worden. </w:t>
      </w:r>
    </w:p>
    <w:p w:rsidR="009E5F11" w:rsidRPr="009E5F11" w:rsidRDefault="009E5F11" w:rsidP="009D3BE1">
      <w:pPr>
        <w:pStyle w:val="StandaardSV"/>
        <w:ind w:left="426"/>
      </w:pPr>
      <w:r w:rsidRPr="009E5F11">
        <w:t>De overheid die beslist over de ontvankelijkheid en volledigheid van de vergunningsaanvraag spreekt zich uit over het project-</w:t>
      </w:r>
      <w:proofErr w:type="spellStart"/>
      <w:r w:rsidRPr="009E5F11">
        <w:t>m.e.r</w:t>
      </w:r>
      <w:proofErr w:type="spellEnd"/>
      <w:r w:rsidRPr="009E5F11">
        <w:t>.-screeningsdossier en beslist dus of er een project-MER moet worden opgesteld.</w:t>
      </w:r>
      <w:r>
        <w:t xml:space="preserve"> Indien</w:t>
      </w:r>
      <w:r w:rsidRPr="009E5F11">
        <w:t xml:space="preserve"> een project-MER </w:t>
      </w:r>
      <w:r>
        <w:t>noodzakelijk is</w:t>
      </w:r>
      <w:r w:rsidRPr="009E5F11">
        <w:t>,</w:t>
      </w:r>
      <w:r>
        <w:t xml:space="preserve"> </w:t>
      </w:r>
      <w:r w:rsidRPr="009E5F11">
        <w:t>houdt d</w:t>
      </w:r>
      <w:r>
        <w:t xml:space="preserve">it </w:t>
      </w:r>
      <w:r w:rsidRPr="009E5F11">
        <w:t>een openbaar onderzoek in.</w:t>
      </w:r>
    </w:p>
    <w:p w:rsidR="009E5F11" w:rsidRDefault="009E5F11" w:rsidP="009D3BE1">
      <w:pPr>
        <w:pStyle w:val="StandaardSV"/>
      </w:pPr>
    </w:p>
    <w:p w:rsidR="00255999" w:rsidRDefault="00F83F96" w:rsidP="009D3BE1">
      <w:pPr>
        <w:pStyle w:val="StandaardSV"/>
        <w:ind w:left="426"/>
      </w:pPr>
      <w:r>
        <w:t>Bij de procedure tot het verkrijg</w:t>
      </w:r>
      <w:r w:rsidRPr="00CB3DFB">
        <w:t>en van een stedenbouwkundige vergunning is een openbaar onderzoek v</w:t>
      </w:r>
      <w:r w:rsidR="00255999">
        <w:t xml:space="preserve">oorzien. De vergunningverlener </w:t>
      </w:r>
      <w:r w:rsidRPr="00CB3DFB">
        <w:t xml:space="preserve">zal de argumenten uit het openbaar onderzoek meenemen in </w:t>
      </w:r>
      <w:r>
        <w:t>zijn afweging voor de</w:t>
      </w:r>
      <w:r w:rsidRPr="00CB3DFB">
        <w:t xml:space="preserve"> uiteindelijke beslissing.</w:t>
      </w:r>
    </w:p>
    <w:p w:rsidR="009E5F11" w:rsidRDefault="009E5F11" w:rsidP="009D3BE1">
      <w:pPr>
        <w:pStyle w:val="StandaardSV"/>
      </w:pPr>
    </w:p>
    <w:p w:rsidR="00255999" w:rsidRDefault="00255999" w:rsidP="009D3BE1">
      <w:pPr>
        <w:ind w:left="426"/>
        <w:jc w:val="both"/>
      </w:pPr>
      <w:r>
        <w:t xml:space="preserve">Voor de opmaak van een RUP is in bepaalde gevallen een plan-MER of </w:t>
      </w:r>
      <w:proofErr w:type="spellStart"/>
      <w:r>
        <w:t>mer</w:t>
      </w:r>
      <w:proofErr w:type="spellEnd"/>
      <w:r>
        <w:t>-screeningsnota vereist. Op het ogenblik van de opmaak van een dergelijk RUP zal met de milderende of compenserende maatregelen hieruit rekening worden gehouden.</w:t>
      </w:r>
      <w:bookmarkStart w:id="6" w:name="_GoBack"/>
      <w:bookmarkEnd w:id="6"/>
    </w:p>
    <w:sectPr w:rsidR="0025599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D867042"/>
    <w:multiLevelType w:val="hybridMultilevel"/>
    <w:tmpl w:val="C02E1CD6"/>
    <w:lvl w:ilvl="0" w:tplc="122EF36A">
      <w:numFmt w:val="bullet"/>
      <w:lvlText w:val="-"/>
      <w:lvlJc w:val="left"/>
      <w:pPr>
        <w:ind w:left="786" w:hanging="360"/>
      </w:pPr>
      <w:rPr>
        <w:rFonts w:ascii="Calibri" w:eastAsia="Calibri" w:hAnsi="Calibri" w:cs="Calibr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nsid w:val="494E7965"/>
    <w:multiLevelType w:val="hybridMultilevel"/>
    <w:tmpl w:val="D6ECDD10"/>
    <w:lvl w:ilvl="0" w:tplc="122EF36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3"/>
  </w:num>
  <w:num w:numId="4">
    <w:abstractNumId w:val="9"/>
  </w:num>
  <w:num w:numId="5">
    <w:abstractNumId w:val="12"/>
  </w:num>
  <w:num w:numId="6">
    <w:abstractNumId w:val="0"/>
  </w:num>
  <w:num w:numId="7">
    <w:abstractNumId w:val="2"/>
  </w:num>
  <w:num w:numId="8">
    <w:abstractNumId w:val="10"/>
  </w:num>
  <w:num w:numId="9">
    <w:abstractNumId w:val="7"/>
  </w:num>
  <w:num w:numId="10">
    <w:abstractNumId w:val="1"/>
  </w:num>
  <w:num w:numId="11">
    <w:abstractNumId w:val="4"/>
  </w:num>
  <w:num w:numId="12">
    <w:abstractNumId w:val="8"/>
  </w:num>
  <w:num w:numId="13">
    <w:abstractNumId w:val="6"/>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BA"/>
    <w:rsid w:val="00025327"/>
    <w:rsid w:val="0008172E"/>
    <w:rsid w:val="000976E9"/>
    <w:rsid w:val="000C4E8C"/>
    <w:rsid w:val="000F3532"/>
    <w:rsid w:val="00112238"/>
    <w:rsid w:val="00174464"/>
    <w:rsid w:val="001764EC"/>
    <w:rsid w:val="00210C07"/>
    <w:rsid w:val="00227A4D"/>
    <w:rsid w:val="00255999"/>
    <w:rsid w:val="00266E3B"/>
    <w:rsid w:val="00326A58"/>
    <w:rsid w:val="00336BBF"/>
    <w:rsid w:val="00407938"/>
    <w:rsid w:val="005208D5"/>
    <w:rsid w:val="005E38CA"/>
    <w:rsid w:val="006548DD"/>
    <w:rsid w:val="00703F6E"/>
    <w:rsid w:val="0071248C"/>
    <w:rsid w:val="007252C7"/>
    <w:rsid w:val="00732B4D"/>
    <w:rsid w:val="00735E21"/>
    <w:rsid w:val="00787964"/>
    <w:rsid w:val="007A1490"/>
    <w:rsid w:val="008A4A8C"/>
    <w:rsid w:val="008A713D"/>
    <w:rsid w:val="008D5DB4"/>
    <w:rsid w:val="00923C0E"/>
    <w:rsid w:val="00924D85"/>
    <w:rsid w:val="009347E0"/>
    <w:rsid w:val="00975CCB"/>
    <w:rsid w:val="009848BA"/>
    <w:rsid w:val="009D3BE1"/>
    <w:rsid w:val="009D7043"/>
    <w:rsid w:val="009E5F11"/>
    <w:rsid w:val="009E72BD"/>
    <w:rsid w:val="00AF64E1"/>
    <w:rsid w:val="00B45EB2"/>
    <w:rsid w:val="00BB7612"/>
    <w:rsid w:val="00BE425A"/>
    <w:rsid w:val="00C15BA8"/>
    <w:rsid w:val="00C223AE"/>
    <w:rsid w:val="00CE1141"/>
    <w:rsid w:val="00D5579E"/>
    <w:rsid w:val="00D71D99"/>
    <w:rsid w:val="00D754F2"/>
    <w:rsid w:val="00DB41C0"/>
    <w:rsid w:val="00DC00E1"/>
    <w:rsid w:val="00DC4DB6"/>
    <w:rsid w:val="00E06EE5"/>
    <w:rsid w:val="00E55200"/>
    <w:rsid w:val="00F10CD5"/>
    <w:rsid w:val="00F31EBD"/>
    <w:rsid w:val="00F83F9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tandaardSV">
    <w:name w:val="Standaard SV"/>
    <w:basedOn w:val="Standaard"/>
    <w:rsid w:val="00407938"/>
    <w:pPr>
      <w:jc w:val="both"/>
    </w:pPr>
    <w:rPr>
      <w:szCs w:val="20"/>
    </w:rPr>
  </w:style>
  <w:style w:type="paragraph" w:styleId="Ballontekst">
    <w:name w:val="Balloon Text"/>
    <w:basedOn w:val="Standaard"/>
    <w:link w:val="BallontekstChar"/>
    <w:rsid w:val="00025327"/>
    <w:rPr>
      <w:rFonts w:ascii="Tahoma" w:hAnsi="Tahoma" w:cs="Tahoma"/>
      <w:sz w:val="16"/>
      <w:szCs w:val="16"/>
    </w:rPr>
  </w:style>
  <w:style w:type="character" w:customStyle="1" w:styleId="BallontekstChar">
    <w:name w:val="Ballontekst Char"/>
    <w:basedOn w:val="Standaardalinea-lettertype"/>
    <w:link w:val="Ballontekst"/>
    <w:rsid w:val="0002532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tandaardSV">
    <w:name w:val="Standaard SV"/>
    <w:basedOn w:val="Standaard"/>
    <w:rsid w:val="00407938"/>
    <w:pPr>
      <w:jc w:val="both"/>
    </w:pPr>
    <w:rPr>
      <w:szCs w:val="20"/>
    </w:rPr>
  </w:style>
  <w:style w:type="paragraph" w:styleId="Ballontekst">
    <w:name w:val="Balloon Text"/>
    <w:basedOn w:val="Standaard"/>
    <w:link w:val="BallontekstChar"/>
    <w:rsid w:val="00025327"/>
    <w:rPr>
      <w:rFonts w:ascii="Tahoma" w:hAnsi="Tahoma" w:cs="Tahoma"/>
      <w:sz w:val="16"/>
      <w:szCs w:val="16"/>
    </w:rPr>
  </w:style>
  <w:style w:type="character" w:customStyle="1" w:styleId="BallontekstChar">
    <w:name w:val="Ballontekst Char"/>
    <w:basedOn w:val="Standaardalinea-lettertype"/>
    <w:link w:val="Ballontekst"/>
    <w:rsid w:val="0002532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Braet, Johan</dc:creator>
  <cp:lastModifiedBy>Nathalie De Keyzer</cp:lastModifiedBy>
  <cp:revision>3</cp:revision>
  <cp:lastPrinted>2013-09-27T10:38:00Z</cp:lastPrinted>
  <dcterms:created xsi:type="dcterms:W3CDTF">2013-09-27T10:38:00Z</dcterms:created>
  <dcterms:modified xsi:type="dcterms:W3CDTF">2013-10-03T07:42:00Z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0x0101009488E854BFFCF9489C88BFB59DE882FD0102</vt:lpwstr>
  </property>
</Properties>
</file>