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7C" w:rsidRPr="00AF2B88" w:rsidRDefault="00BB3B7C" w:rsidP="00BB3B7C">
      <w:pPr>
        <w:jc w:val="both"/>
        <w:rPr>
          <w:smallCaps/>
          <w:sz w:val="22"/>
          <w:szCs w:val="22"/>
          <w:lang w:val="nl-BE"/>
        </w:rPr>
      </w:pPr>
      <w:proofErr w:type="spellStart"/>
      <w:r w:rsidRPr="00AF2B88">
        <w:rPr>
          <w:b/>
          <w:smallCaps/>
          <w:sz w:val="22"/>
          <w:szCs w:val="22"/>
          <w:lang w:val="nl-BE"/>
        </w:rPr>
        <w:t>ingrid</w:t>
      </w:r>
      <w:proofErr w:type="spellEnd"/>
      <w:r w:rsidRPr="00AF2B88">
        <w:rPr>
          <w:b/>
          <w:smallCaps/>
          <w:sz w:val="22"/>
          <w:szCs w:val="22"/>
          <w:lang w:val="nl-BE"/>
        </w:rPr>
        <w:t xml:space="preserve"> lieten</w:t>
      </w:r>
    </w:p>
    <w:p w:rsidR="00BB3B7C" w:rsidRPr="00AF2B88" w:rsidRDefault="00BB3B7C" w:rsidP="00BB3B7C">
      <w:pPr>
        <w:pStyle w:val="StandaardSV"/>
        <w:pBdr>
          <w:bottom w:val="single" w:sz="4" w:space="1" w:color="auto"/>
        </w:pBdr>
        <w:rPr>
          <w:smallCaps/>
          <w:szCs w:val="22"/>
          <w:lang w:val="nl-BE"/>
        </w:rPr>
      </w:pPr>
      <w:r w:rsidRPr="00AF2B88">
        <w:rPr>
          <w:smallCaps/>
          <w:szCs w:val="22"/>
          <w:lang w:val="nl-BE"/>
        </w:rPr>
        <w:t xml:space="preserve">viceminister-president van de </w:t>
      </w:r>
      <w:proofErr w:type="spellStart"/>
      <w:r w:rsidRPr="00AF2B88">
        <w:rPr>
          <w:smallCaps/>
          <w:szCs w:val="22"/>
          <w:lang w:val="nl-BE"/>
        </w:rPr>
        <w:t>vlaamse</w:t>
      </w:r>
      <w:proofErr w:type="spellEnd"/>
      <w:r w:rsidRPr="00AF2B88">
        <w:rPr>
          <w:smallCaps/>
          <w:szCs w:val="22"/>
          <w:lang w:val="nl-BE"/>
        </w:rPr>
        <w:t xml:space="preserve"> regering, </w:t>
      </w:r>
      <w:proofErr w:type="spellStart"/>
      <w:r w:rsidRPr="00AF2B88">
        <w:rPr>
          <w:smallCaps/>
          <w:szCs w:val="22"/>
          <w:lang w:val="nl-BE"/>
        </w:rPr>
        <w:t>vlaams</w:t>
      </w:r>
      <w:proofErr w:type="spellEnd"/>
      <w:r w:rsidRPr="00AF2B88">
        <w:rPr>
          <w:smallCaps/>
          <w:szCs w:val="22"/>
          <w:lang w:val="nl-BE"/>
        </w:rPr>
        <w:t xml:space="preserve"> minister van innovatie, overheidsinvesteringen, media en armoedebestrijding</w:t>
      </w:r>
    </w:p>
    <w:p w:rsidR="00BB3B7C" w:rsidRPr="00AF2B88" w:rsidRDefault="00BB3B7C" w:rsidP="00BB3B7C">
      <w:pPr>
        <w:pStyle w:val="StandaardSV"/>
        <w:pBdr>
          <w:bottom w:val="single" w:sz="4" w:space="1" w:color="auto"/>
        </w:pBdr>
        <w:rPr>
          <w:szCs w:val="22"/>
        </w:rPr>
      </w:pPr>
    </w:p>
    <w:p w:rsidR="00BB3B7C" w:rsidRPr="00AF2B88" w:rsidRDefault="00BB3B7C" w:rsidP="00BB3B7C">
      <w:pPr>
        <w:jc w:val="both"/>
        <w:rPr>
          <w:sz w:val="22"/>
          <w:szCs w:val="22"/>
        </w:rPr>
      </w:pPr>
    </w:p>
    <w:p w:rsidR="00AF2B88" w:rsidRPr="00AF2B88" w:rsidRDefault="00806F30" w:rsidP="00BB3B7C">
      <w:pPr>
        <w:jc w:val="both"/>
        <w:rPr>
          <w:b/>
          <w:smallCaps/>
          <w:sz w:val="22"/>
          <w:szCs w:val="22"/>
        </w:rPr>
      </w:pPr>
      <w:r>
        <w:rPr>
          <w:b/>
          <w:smallCaps/>
          <w:sz w:val="22"/>
          <w:szCs w:val="22"/>
        </w:rPr>
        <w:t>a</w:t>
      </w:r>
      <w:r w:rsidR="00FE5663" w:rsidRPr="00AF2B88">
        <w:rPr>
          <w:b/>
          <w:smallCaps/>
          <w:sz w:val="22"/>
          <w:szCs w:val="22"/>
        </w:rPr>
        <w:t xml:space="preserve">ntwoord </w:t>
      </w:r>
    </w:p>
    <w:p w:rsidR="00BB3B7C" w:rsidRPr="00AF2B88" w:rsidRDefault="00FE5663" w:rsidP="00BB3B7C">
      <w:pPr>
        <w:jc w:val="both"/>
        <w:rPr>
          <w:sz w:val="22"/>
          <w:szCs w:val="22"/>
        </w:rPr>
      </w:pPr>
      <w:r w:rsidRPr="00AF2B88">
        <w:rPr>
          <w:sz w:val="22"/>
          <w:szCs w:val="22"/>
        </w:rPr>
        <w:t>op v</w:t>
      </w:r>
      <w:r w:rsidR="00BB3B7C" w:rsidRPr="00AF2B88">
        <w:rPr>
          <w:sz w:val="22"/>
          <w:szCs w:val="22"/>
        </w:rPr>
        <w:t>raag nr. 619</w:t>
      </w:r>
      <w:r w:rsidR="00AF2B88" w:rsidRPr="00AF2B88">
        <w:rPr>
          <w:sz w:val="22"/>
          <w:szCs w:val="22"/>
        </w:rPr>
        <w:t xml:space="preserve"> </w:t>
      </w:r>
      <w:r w:rsidR="00BB3B7C" w:rsidRPr="00AF2B88">
        <w:rPr>
          <w:sz w:val="22"/>
          <w:szCs w:val="22"/>
        </w:rPr>
        <w:t>van 29 augustus 2013</w:t>
      </w:r>
    </w:p>
    <w:p w:rsidR="00BB3B7C" w:rsidRPr="00AF2B88" w:rsidRDefault="00BB3B7C" w:rsidP="00BB3B7C">
      <w:pPr>
        <w:pStyle w:val="StandaardSV"/>
        <w:rPr>
          <w:b/>
          <w:smallCaps/>
          <w:szCs w:val="22"/>
        </w:rPr>
      </w:pPr>
      <w:r w:rsidRPr="00AF2B88">
        <w:rPr>
          <w:szCs w:val="22"/>
        </w:rPr>
        <w:t xml:space="preserve">van </w:t>
      </w:r>
      <w:proofErr w:type="spellStart"/>
      <w:r w:rsidRPr="00AF2B88">
        <w:rPr>
          <w:b/>
          <w:smallCaps/>
          <w:szCs w:val="22"/>
        </w:rPr>
        <w:t>matthias</w:t>
      </w:r>
      <w:proofErr w:type="spellEnd"/>
      <w:r w:rsidRPr="00AF2B88">
        <w:rPr>
          <w:b/>
          <w:smallCaps/>
          <w:szCs w:val="22"/>
        </w:rPr>
        <w:t xml:space="preserve"> </w:t>
      </w:r>
      <w:proofErr w:type="spellStart"/>
      <w:r w:rsidRPr="00AF2B88">
        <w:rPr>
          <w:b/>
          <w:smallCaps/>
          <w:szCs w:val="22"/>
        </w:rPr>
        <w:t>diependaele</w:t>
      </w:r>
      <w:proofErr w:type="spellEnd"/>
    </w:p>
    <w:p w:rsidR="00FE5663" w:rsidRDefault="00FE5663" w:rsidP="00806F30">
      <w:pPr>
        <w:pStyle w:val="StandaardSV"/>
        <w:pBdr>
          <w:bottom w:val="single" w:sz="4" w:space="1" w:color="auto"/>
        </w:pBdr>
        <w:rPr>
          <w:rFonts w:ascii="Times New Roman Vet" w:hAnsi="Times New Roman Vet"/>
          <w:b/>
          <w:szCs w:val="22"/>
          <w:u w:val="single"/>
        </w:rPr>
      </w:pPr>
    </w:p>
    <w:p w:rsidR="00806F30" w:rsidRDefault="00806F30" w:rsidP="00BB3B7C">
      <w:pPr>
        <w:pStyle w:val="StandaardSV"/>
        <w:rPr>
          <w:rFonts w:ascii="Times New Roman Vet" w:hAnsi="Times New Roman Vet"/>
          <w:b/>
          <w:szCs w:val="22"/>
          <w:u w:val="single"/>
        </w:rPr>
      </w:pPr>
    </w:p>
    <w:p w:rsidR="00806F30" w:rsidRPr="00806F30" w:rsidRDefault="00806F30" w:rsidP="00BB3B7C">
      <w:pPr>
        <w:pStyle w:val="StandaardSV"/>
        <w:rPr>
          <w:rFonts w:ascii="Times New Roman Vet" w:hAnsi="Times New Roman Vet"/>
          <w:b/>
          <w:szCs w:val="22"/>
          <w:u w:val="single"/>
        </w:rPr>
      </w:pPr>
    </w:p>
    <w:p w:rsidR="00BB3B7C" w:rsidRPr="00AF2B88" w:rsidRDefault="00BB3B7C" w:rsidP="00BB3B7C">
      <w:pPr>
        <w:pStyle w:val="Lijstalinea"/>
        <w:numPr>
          <w:ilvl w:val="0"/>
          <w:numId w:val="2"/>
        </w:numPr>
        <w:jc w:val="both"/>
        <w:rPr>
          <w:color w:val="1F497D"/>
          <w:sz w:val="22"/>
          <w:szCs w:val="22"/>
        </w:rPr>
      </w:pPr>
      <w:proofErr w:type="spellStart"/>
      <w:r w:rsidRPr="00AF2B88">
        <w:rPr>
          <w:sz w:val="22"/>
          <w:szCs w:val="22"/>
        </w:rPr>
        <w:t>Flanders</w:t>
      </w:r>
      <w:proofErr w:type="spellEnd"/>
      <w:r w:rsidRPr="00AF2B88">
        <w:rPr>
          <w:sz w:val="22"/>
          <w:szCs w:val="22"/>
        </w:rPr>
        <w:t xml:space="preserve"> </w:t>
      </w:r>
      <w:proofErr w:type="spellStart"/>
      <w:r w:rsidRPr="00AF2B88">
        <w:rPr>
          <w:sz w:val="22"/>
          <w:szCs w:val="22"/>
        </w:rPr>
        <w:t>Synergy</w:t>
      </w:r>
      <w:proofErr w:type="spellEnd"/>
      <w:r w:rsidRPr="00AF2B88">
        <w:rPr>
          <w:sz w:val="22"/>
          <w:szCs w:val="22"/>
        </w:rPr>
        <w:t xml:space="preserve"> zit in een transitiejaar. Vanaf 1 januari 2013 tot en met 31 maart 2013 volgde de werking de principes van de werking als competentiepool waar geen onderscheid gemaakt werd tussen basiswerking en projectwerking. Vanaf 1 april 2013 is de werking van lichte structuren van toepassing. </w:t>
      </w:r>
    </w:p>
    <w:p w:rsidR="00BB3B7C" w:rsidRPr="00AF2B88" w:rsidRDefault="00BB3B7C" w:rsidP="00BB3B7C">
      <w:pPr>
        <w:jc w:val="both"/>
        <w:rPr>
          <w:sz w:val="22"/>
          <w:szCs w:val="22"/>
        </w:rPr>
      </w:pPr>
    </w:p>
    <w:p w:rsidR="00BB3B7C" w:rsidRPr="00AF2B88" w:rsidRDefault="00BB3B7C" w:rsidP="00AF2B88">
      <w:pPr>
        <w:ind w:left="360"/>
        <w:jc w:val="both"/>
        <w:rPr>
          <w:sz w:val="22"/>
          <w:szCs w:val="22"/>
        </w:rPr>
      </w:pPr>
      <w:r w:rsidRPr="00AF2B88">
        <w:rPr>
          <w:sz w:val="22"/>
          <w:szCs w:val="22"/>
        </w:rPr>
        <w:t xml:space="preserve">Het laatste werkingsjaar </w:t>
      </w:r>
      <w:r w:rsidR="00FE5663" w:rsidRPr="00AF2B88">
        <w:rPr>
          <w:sz w:val="22"/>
          <w:szCs w:val="22"/>
        </w:rPr>
        <w:t xml:space="preserve">van de vorige overeenkomst </w:t>
      </w:r>
      <w:r w:rsidRPr="00AF2B88">
        <w:rPr>
          <w:sz w:val="22"/>
          <w:szCs w:val="22"/>
        </w:rPr>
        <w:t xml:space="preserve">(van januari 2012 tot eind maart 2013) was gericht op het afwerken van activiteiten die gestart werden in de voorafgaande jaren, met het oog op het behalen van de vooropgestelde doelstellingen. Deze werden ruim behaald. Er werden 147 leden bereikt (110 vooropgesteld), er werden bijna 10.000 deelnemers bereikt met “het gesproken woord” (770 vooropgesteld), 48 deelnemers inzake opleiding (48 vooropgesteld), 66 eerste </w:t>
      </w:r>
      <w:proofErr w:type="spellStart"/>
      <w:r w:rsidRPr="00AF2B88">
        <w:rPr>
          <w:sz w:val="22"/>
          <w:szCs w:val="22"/>
        </w:rPr>
        <w:t>lijnsadviezen</w:t>
      </w:r>
      <w:proofErr w:type="spellEnd"/>
      <w:r w:rsidRPr="00AF2B88">
        <w:rPr>
          <w:sz w:val="22"/>
          <w:szCs w:val="22"/>
        </w:rPr>
        <w:t xml:space="preserve"> werden verstrekt (48 vooropgesteld) en 42 veranderingstrajecten werden gestart (24 vooropgesteld). </w:t>
      </w:r>
    </w:p>
    <w:p w:rsidR="00BB3B7C" w:rsidRPr="00AF2B88" w:rsidRDefault="00BB3B7C" w:rsidP="00AF2B88">
      <w:pPr>
        <w:ind w:left="360"/>
        <w:jc w:val="both"/>
        <w:rPr>
          <w:sz w:val="22"/>
          <w:szCs w:val="22"/>
        </w:rPr>
      </w:pPr>
    </w:p>
    <w:p w:rsidR="00BB3B7C" w:rsidRPr="00AF2B88" w:rsidRDefault="00BB3B7C" w:rsidP="00AF2B88">
      <w:pPr>
        <w:ind w:left="360"/>
        <w:jc w:val="both"/>
        <w:rPr>
          <w:sz w:val="22"/>
          <w:szCs w:val="22"/>
        </w:rPr>
      </w:pPr>
      <w:r w:rsidRPr="00AF2B88">
        <w:rPr>
          <w:sz w:val="22"/>
          <w:szCs w:val="22"/>
        </w:rPr>
        <w:t>Daarnaast werden in de tweede jaarhelft van 2012 tot eind maart 2013 de nodige voorbereidingen getroffen om vanaf 1 april 2013 te kunnen starten als lichte structuur. Dit betekent dat er vooral ingezet werd op activiteiten om projecten te genereren die passen binnen dit nieuwe concept.</w:t>
      </w:r>
    </w:p>
    <w:p w:rsidR="00BB3B7C" w:rsidRPr="00AF2B88" w:rsidRDefault="00BB3B7C" w:rsidP="00AF2B88">
      <w:pPr>
        <w:ind w:left="360"/>
        <w:jc w:val="both"/>
        <w:rPr>
          <w:sz w:val="22"/>
          <w:szCs w:val="22"/>
        </w:rPr>
      </w:pPr>
      <w:r w:rsidRPr="00AF2B88">
        <w:rPr>
          <w:sz w:val="22"/>
          <w:szCs w:val="22"/>
        </w:rPr>
        <w:t xml:space="preserve">Het eerste project ging van start op 1 april 2013 (een project gericht op de maakindustrie - VITIO), het tweede project –gericht op de ouderen en thuiszorg; ZIRKO- ging van start net voor de zomer van 2013. Ondertussen worden volop nieuwe projecten voorbereid en ingediend. </w:t>
      </w:r>
    </w:p>
    <w:p w:rsidR="00BB3B7C" w:rsidRPr="00AF2B88" w:rsidRDefault="00BB3B7C" w:rsidP="00BB3B7C">
      <w:pPr>
        <w:pStyle w:val="StandaardSV"/>
        <w:rPr>
          <w:szCs w:val="22"/>
        </w:rPr>
      </w:pPr>
      <w:bookmarkStart w:id="0" w:name="_GoBack"/>
      <w:bookmarkEnd w:id="0"/>
    </w:p>
    <w:p w:rsidR="00BB3B7C" w:rsidRPr="00AF2B88" w:rsidRDefault="00BB3B7C" w:rsidP="00BB3B7C">
      <w:pPr>
        <w:pStyle w:val="Lijstalinea"/>
        <w:numPr>
          <w:ilvl w:val="0"/>
          <w:numId w:val="2"/>
        </w:numPr>
        <w:jc w:val="both"/>
        <w:rPr>
          <w:sz w:val="22"/>
          <w:szCs w:val="22"/>
        </w:rPr>
      </w:pPr>
      <w:r w:rsidRPr="00AF2B88">
        <w:rPr>
          <w:sz w:val="22"/>
          <w:szCs w:val="22"/>
        </w:rPr>
        <w:t xml:space="preserve">Voor de werking als competentiepool (1/1/2009 – 31/3/2013) kan </w:t>
      </w:r>
      <w:proofErr w:type="spellStart"/>
      <w:r w:rsidRPr="00AF2B88">
        <w:rPr>
          <w:sz w:val="22"/>
          <w:szCs w:val="22"/>
        </w:rPr>
        <w:t>Flanders</w:t>
      </w:r>
      <w:proofErr w:type="spellEnd"/>
      <w:r w:rsidRPr="00AF2B88">
        <w:rPr>
          <w:sz w:val="22"/>
          <w:szCs w:val="22"/>
        </w:rPr>
        <w:t xml:space="preserve"> </w:t>
      </w:r>
      <w:proofErr w:type="spellStart"/>
      <w:r w:rsidRPr="00AF2B88">
        <w:rPr>
          <w:sz w:val="22"/>
          <w:szCs w:val="22"/>
        </w:rPr>
        <w:t>Synergy</w:t>
      </w:r>
      <w:proofErr w:type="spellEnd"/>
      <w:r w:rsidRPr="00AF2B88">
        <w:rPr>
          <w:sz w:val="22"/>
          <w:szCs w:val="22"/>
        </w:rPr>
        <w:t xml:space="preserve"> een cofinanciering van 20% van de aanvaarde kosten die ingediend werden voor subsidie aantonen. </w:t>
      </w:r>
    </w:p>
    <w:p w:rsidR="00BB3B7C" w:rsidRPr="00AF2B88" w:rsidRDefault="00BB3B7C" w:rsidP="00BB3B7C">
      <w:pPr>
        <w:jc w:val="both"/>
        <w:rPr>
          <w:sz w:val="22"/>
          <w:szCs w:val="22"/>
        </w:rPr>
      </w:pPr>
    </w:p>
    <w:p w:rsidR="00BB3B7C" w:rsidRPr="00AF2B88" w:rsidRDefault="00BB3B7C" w:rsidP="00AF2B88">
      <w:pPr>
        <w:ind w:left="360"/>
        <w:jc w:val="both"/>
        <w:rPr>
          <w:sz w:val="22"/>
          <w:szCs w:val="22"/>
        </w:rPr>
      </w:pPr>
      <w:r w:rsidRPr="00AF2B88">
        <w:rPr>
          <w:sz w:val="22"/>
          <w:szCs w:val="22"/>
        </w:rPr>
        <w:t xml:space="preserve">Dit werd gerealiseerd via ledenbijdragen, organiseren van opleiding, bijdragen voor events en cofinanciering van veranderingstrajecten door bedrijven. </w:t>
      </w:r>
    </w:p>
    <w:p w:rsidR="00BB3B7C" w:rsidRPr="00AF2B88" w:rsidRDefault="00BB3B7C" w:rsidP="00BB3B7C">
      <w:pPr>
        <w:pStyle w:val="StandaardSV"/>
        <w:rPr>
          <w:szCs w:val="22"/>
        </w:rPr>
      </w:pPr>
    </w:p>
    <w:p w:rsidR="00BB3B7C" w:rsidRPr="00AF2B88" w:rsidRDefault="00BB3B7C" w:rsidP="00BB3B7C">
      <w:pPr>
        <w:pStyle w:val="Lijstalinea"/>
        <w:numPr>
          <w:ilvl w:val="0"/>
          <w:numId w:val="2"/>
        </w:numPr>
        <w:jc w:val="both"/>
        <w:rPr>
          <w:sz w:val="22"/>
          <w:szCs w:val="22"/>
        </w:rPr>
      </w:pPr>
    </w:p>
    <w:p w:rsidR="00BB3B7C" w:rsidRPr="00AF2B88" w:rsidRDefault="00BB3B7C" w:rsidP="00BB3B7C">
      <w:pPr>
        <w:pStyle w:val="Lijstalinea"/>
        <w:numPr>
          <w:ilvl w:val="1"/>
          <w:numId w:val="2"/>
        </w:numPr>
        <w:jc w:val="both"/>
        <w:rPr>
          <w:sz w:val="22"/>
          <w:szCs w:val="22"/>
        </w:rPr>
      </w:pPr>
      <w:r w:rsidRPr="00AF2B88">
        <w:rPr>
          <w:sz w:val="22"/>
          <w:szCs w:val="22"/>
        </w:rPr>
        <w:t xml:space="preserve">In het laatste werkingsjaar (van 1 januari 2012 tot eind maart 2013) gingen 42 veranderingstrajecten van start. In de overgrote meerderheid gaat het om </w:t>
      </w:r>
      <w:proofErr w:type="spellStart"/>
      <w:r w:rsidRPr="00AF2B88">
        <w:rPr>
          <w:sz w:val="22"/>
          <w:szCs w:val="22"/>
        </w:rPr>
        <w:t>kmo’s</w:t>
      </w:r>
      <w:proofErr w:type="spellEnd"/>
      <w:r w:rsidR="00FE5663" w:rsidRPr="00AF2B88">
        <w:rPr>
          <w:sz w:val="22"/>
          <w:szCs w:val="22"/>
        </w:rPr>
        <w:t xml:space="preserve"> </w:t>
      </w:r>
      <w:r w:rsidRPr="00AF2B88">
        <w:rPr>
          <w:sz w:val="22"/>
          <w:szCs w:val="22"/>
        </w:rPr>
        <w:t xml:space="preserve">(EU definitie minder dan 250 werknemers); bij benadering 90% van de veranderingstrajecten situeert zich in </w:t>
      </w:r>
      <w:proofErr w:type="spellStart"/>
      <w:r w:rsidRPr="00AF2B88">
        <w:rPr>
          <w:sz w:val="22"/>
          <w:szCs w:val="22"/>
        </w:rPr>
        <w:t>kmo’s</w:t>
      </w:r>
      <w:proofErr w:type="spellEnd"/>
      <w:r w:rsidRPr="00AF2B88">
        <w:rPr>
          <w:sz w:val="22"/>
          <w:szCs w:val="22"/>
        </w:rPr>
        <w:t xml:space="preserve"> (waarvan bij benadering 30% bij organisaties met minder dan 50 werknemers). </w:t>
      </w:r>
    </w:p>
    <w:p w:rsidR="00BB3B7C" w:rsidRPr="00AF2B88" w:rsidRDefault="00BB3B7C" w:rsidP="00BB3B7C">
      <w:pPr>
        <w:pStyle w:val="Lijstalinea"/>
        <w:numPr>
          <w:ilvl w:val="1"/>
          <w:numId w:val="2"/>
        </w:numPr>
        <w:jc w:val="both"/>
        <w:rPr>
          <w:sz w:val="22"/>
          <w:szCs w:val="22"/>
        </w:rPr>
      </w:pPr>
      <w:r w:rsidRPr="00AF2B88">
        <w:rPr>
          <w:sz w:val="22"/>
          <w:szCs w:val="22"/>
        </w:rPr>
        <w:t xml:space="preserve">In 2013 ging een groot onderwijsproject van start met 23 scholen. De overige veranderingstrajecten situeren zich voornamelijk binnen diensten (inclusief zorg; samen een 12-tal), gevolgd door industrie (een 6-tal veranderingstrajecten). </w:t>
      </w:r>
    </w:p>
    <w:p w:rsidR="00BB3B7C" w:rsidRPr="00AF2B88" w:rsidRDefault="00BB3B7C" w:rsidP="00BB3B7C">
      <w:pPr>
        <w:pStyle w:val="Lijstalinea"/>
        <w:numPr>
          <w:ilvl w:val="1"/>
          <w:numId w:val="2"/>
        </w:numPr>
        <w:jc w:val="both"/>
        <w:rPr>
          <w:sz w:val="22"/>
          <w:szCs w:val="22"/>
        </w:rPr>
      </w:pPr>
      <w:r w:rsidRPr="00AF2B88">
        <w:rPr>
          <w:sz w:val="22"/>
          <w:szCs w:val="22"/>
        </w:rPr>
        <w:t>De vermelde thema’s (het uitbouwen van organisaties waar mensen (langer) werken met goesting; het ontwikkelen van nieuwe zorgmodellen; het ondersteunen van de uitbouw van de “</w:t>
      </w:r>
      <w:proofErr w:type="spellStart"/>
      <w:r w:rsidRPr="00AF2B88">
        <w:rPr>
          <w:sz w:val="22"/>
          <w:szCs w:val="22"/>
        </w:rPr>
        <w:t>factories</w:t>
      </w:r>
      <w:proofErr w:type="spellEnd"/>
      <w:r w:rsidRPr="00AF2B88">
        <w:rPr>
          <w:sz w:val="22"/>
          <w:szCs w:val="22"/>
        </w:rPr>
        <w:t xml:space="preserve"> of the </w:t>
      </w:r>
      <w:proofErr w:type="spellStart"/>
      <w:r w:rsidRPr="00AF2B88">
        <w:rPr>
          <w:sz w:val="22"/>
          <w:szCs w:val="22"/>
        </w:rPr>
        <w:t>future</w:t>
      </w:r>
      <w:proofErr w:type="spellEnd"/>
      <w:r w:rsidRPr="00AF2B88">
        <w:rPr>
          <w:sz w:val="22"/>
          <w:szCs w:val="22"/>
        </w:rPr>
        <w:t xml:space="preserve">” waar de mens centraal staat; groeien zonder te bureaucratiseren in de dienstverlenende sector) zijn leidend voor de vernieuwde projectwerking vanaf 1 april 2013. De veranderingstrajecten die daarbij aansluiten mag men verwachten vanaf het najaar 2013 en de daaropvolgende jaren (al naargelang de projecten worden opgestart). </w:t>
      </w:r>
    </w:p>
    <w:p w:rsidR="00BB3B7C" w:rsidRPr="00AF2B88" w:rsidRDefault="00BB3B7C" w:rsidP="00BB3B7C">
      <w:pPr>
        <w:pStyle w:val="StandaardSV"/>
        <w:rPr>
          <w:szCs w:val="22"/>
        </w:rPr>
      </w:pPr>
    </w:p>
    <w:p w:rsidR="00BB3B7C" w:rsidRPr="00AF2B88" w:rsidRDefault="00BB3B7C" w:rsidP="00BB3B7C">
      <w:pPr>
        <w:pStyle w:val="Lijstalinea"/>
        <w:numPr>
          <w:ilvl w:val="0"/>
          <w:numId w:val="2"/>
        </w:numPr>
        <w:jc w:val="both"/>
        <w:rPr>
          <w:sz w:val="22"/>
          <w:szCs w:val="22"/>
        </w:rPr>
      </w:pPr>
      <w:r w:rsidRPr="00AF2B88">
        <w:rPr>
          <w:sz w:val="22"/>
          <w:szCs w:val="22"/>
        </w:rPr>
        <w:lastRenderedPageBreak/>
        <w:t xml:space="preserve">Eind maart 2013 telde </w:t>
      </w:r>
      <w:proofErr w:type="spellStart"/>
      <w:r w:rsidRPr="00AF2B88">
        <w:rPr>
          <w:sz w:val="22"/>
          <w:szCs w:val="22"/>
        </w:rPr>
        <w:t>Flanders</w:t>
      </w:r>
      <w:proofErr w:type="spellEnd"/>
      <w:r w:rsidRPr="00AF2B88">
        <w:rPr>
          <w:sz w:val="22"/>
          <w:szCs w:val="22"/>
        </w:rPr>
        <w:t xml:space="preserve"> </w:t>
      </w:r>
      <w:proofErr w:type="spellStart"/>
      <w:r w:rsidRPr="00AF2B88">
        <w:rPr>
          <w:sz w:val="22"/>
          <w:szCs w:val="22"/>
        </w:rPr>
        <w:t>Synergy</w:t>
      </w:r>
      <w:proofErr w:type="spellEnd"/>
      <w:r w:rsidRPr="00AF2B88">
        <w:rPr>
          <w:sz w:val="22"/>
          <w:szCs w:val="22"/>
        </w:rPr>
        <w:t xml:space="preserve"> 147 leden. De afgelopen drie jaar schommelde de inkomsten van ledenbijdragen rondom de 200.000 euro. </w:t>
      </w:r>
    </w:p>
    <w:p w:rsidR="00BB3B7C" w:rsidRPr="00AF2B88" w:rsidRDefault="00BB3B7C" w:rsidP="00BB3B7C">
      <w:pPr>
        <w:pStyle w:val="StandaardSV"/>
        <w:ind w:left="360"/>
        <w:rPr>
          <w:szCs w:val="22"/>
        </w:rPr>
      </w:pPr>
    </w:p>
    <w:p w:rsidR="00BB3B7C" w:rsidRPr="00AF2B88" w:rsidRDefault="00BB3B7C" w:rsidP="00BB3B7C">
      <w:pPr>
        <w:pStyle w:val="Lijstalinea"/>
        <w:numPr>
          <w:ilvl w:val="0"/>
          <w:numId w:val="2"/>
        </w:numPr>
        <w:jc w:val="both"/>
        <w:rPr>
          <w:sz w:val="22"/>
          <w:szCs w:val="22"/>
        </w:rPr>
      </w:pPr>
      <w:r w:rsidRPr="00AF2B88">
        <w:rPr>
          <w:sz w:val="22"/>
          <w:szCs w:val="22"/>
        </w:rPr>
        <w:t xml:space="preserve">De gepubliceerde jaarrekeningen geven een detail over de gemaakte kosten (en inkomsten) van </w:t>
      </w:r>
      <w:proofErr w:type="spellStart"/>
      <w:r w:rsidRPr="00AF2B88">
        <w:rPr>
          <w:sz w:val="22"/>
          <w:szCs w:val="22"/>
        </w:rPr>
        <w:t>Flanders</w:t>
      </w:r>
      <w:proofErr w:type="spellEnd"/>
      <w:r w:rsidRPr="00AF2B88">
        <w:rPr>
          <w:sz w:val="22"/>
          <w:szCs w:val="22"/>
        </w:rPr>
        <w:t xml:space="preserve"> </w:t>
      </w:r>
      <w:proofErr w:type="spellStart"/>
      <w:r w:rsidRPr="00AF2B88">
        <w:rPr>
          <w:sz w:val="22"/>
          <w:szCs w:val="22"/>
        </w:rPr>
        <w:t>Synergy</w:t>
      </w:r>
      <w:proofErr w:type="spellEnd"/>
      <w:r w:rsidRPr="00AF2B88">
        <w:rPr>
          <w:sz w:val="22"/>
          <w:szCs w:val="22"/>
        </w:rPr>
        <w:t xml:space="preserve">. </w:t>
      </w:r>
    </w:p>
    <w:p w:rsidR="00BB3B7C" w:rsidRPr="00AF2B88" w:rsidRDefault="00BB3B7C" w:rsidP="00BB3B7C">
      <w:pPr>
        <w:pStyle w:val="Lijstalinea"/>
        <w:rPr>
          <w:sz w:val="22"/>
          <w:szCs w:val="22"/>
        </w:rPr>
      </w:pPr>
    </w:p>
    <w:p w:rsidR="00BB3B7C" w:rsidRPr="00AF2B88" w:rsidRDefault="00BB3B7C" w:rsidP="00AF2B88">
      <w:pPr>
        <w:ind w:left="360"/>
        <w:jc w:val="both"/>
        <w:rPr>
          <w:sz w:val="22"/>
          <w:szCs w:val="22"/>
        </w:rPr>
      </w:pPr>
      <w:r w:rsidRPr="00AF2B88">
        <w:rPr>
          <w:sz w:val="22"/>
          <w:szCs w:val="22"/>
        </w:rPr>
        <w:t xml:space="preserve">De werkingskosten/uitgave gespreid over de duurtijd van de competentiepool (=personeel, huisvesting, algemene kosten, adviesverlening aan bedrijven, onderzoeksgroepen ed.) bedraagt 7,2 miljoen euro. Dit impliceert een gemiddelde uitgave/investering van gemiddeld 1,8 miljoen euro per jaar. Gemiddeld 36% van de middelen gaat naar inzet van personeel, 30% van de middelen wordt besteed aan procesbegeleiding van de organisaties, 10% van de middelen wordt ingezet voor de wetenschappelijke ondersteuning van de veranderingstrajecten, 20% van de middelen gaat naar organisatie netwerkactiviteiten, ontwikkeling van instrumenten, opbouw van de wetenschappelijke databank, organisatie van opleiding en indirecte kosten verbonden aan de werking van de organisatie. </w:t>
      </w:r>
    </w:p>
    <w:p w:rsidR="0006685D" w:rsidRPr="00AF2B88" w:rsidRDefault="0006685D">
      <w:pPr>
        <w:rPr>
          <w:sz w:val="22"/>
          <w:szCs w:val="22"/>
        </w:rPr>
      </w:pPr>
    </w:p>
    <w:sectPr w:rsidR="0006685D" w:rsidRPr="00AF2B88" w:rsidSect="00066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338C"/>
    <w:multiLevelType w:val="hybridMultilevel"/>
    <w:tmpl w:val="65169BA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81726BE"/>
    <w:multiLevelType w:val="hybridMultilevel"/>
    <w:tmpl w:val="4E3233E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7C"/>
    <w:rsid w:val="000004BC"/>
    <w:rsid w:val="00016C7B"/>
    <w:rsid w:val="000379AB"/>
    <w:rsid w:val="0006685D"/>
    <w:rsid w:val="001373BA"/>
    <w:rsid w:val="00140CAB"/>
    <w:rsid w:val="001A0A8D"/>
    <w:rsid w:val="002B6D48"/>
    <w:rsid w:val="0032737B"/>
    <w:rsid w:val="00334C1C"/>
    <w:rsid w:val="00366A51"/>
    <w:rsid w:val="00484AE0"/>
    <w:rsid w:val="0057150F"/>
    <w:rsid w:val="005A4752"/>
    <w:rsid w:val="00605685"/>
    <w:rsid w:val="006B6D90"/>
    <w:rsid w:val="006F122B"/>
    <w:rsid w:val="00806F30"/>
    <w:rsid w:val="00876FC4"/>
    <w:rsid w:val="00A23157"/>
    <w:rsid w:val="00A60EF8"/>
    <w:rsid w:val="00AF2B88"/>
    <w:rsid w:val="00B01134"/>
    <w:rsid w:val="00B22B24"/>
    <w:rsid w:val="00BB3B7C"/>
    <w:rsid w:val="00C776BE"/>
    <w:rsid w:val="00C97EC4"/>
    <w:rsid w:val="00D7093C"/>
    <w:rsid w:val="00DE3631"/>
    <w:rsid w:val="00FE0315"/>
    <w:rsid w:val="00FE56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3B7C"/>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BB3B7C"/>
    <w:pPr>
      <w:jc w:val="both"/>
    </w:pPr>
    <w:rPr>
      <w:b/>
      <w:smallCaps/>
      <w:sz w:val="22"/>
    </w:rPr>
  </w:style>
  <w:style w:type="paragraph" w:customStyle="1" w:styleId="StandaardSV">
    <w:name w:val="Standaard SV"/>
    <w:basedOn w:val="Standaard"/>
    <w:rsid w:val="00BB3B7C"/>
    <w:pPr>
      <w:jc w:val="both"/>
    </w:pPr>
    <w:rPr>
      <w:sz w:val="22"/>
    </w:rPr>
  </w:style>
  <w:style w:type="paragraph" w:styleId="Lijstalinea">
    <w:name w:val="List Paragraph"/>
    <w:basedOn w:val="Standaard"/>
    <w:uiPriority w:val="34"/>
    <w:qFormat/>
    <w:rsid w:val="00BB3B7C"/>
    <w:pPr>
      <w:ind w:left="720"/>
      <w:contextualSpacing/>
    </w:pPr>
  </w:style>
  <w:style w:type="paragraph" w:styleId="Ballontekst">
    <w:name w:val="Balloon Text"/>
    <w:basedOn w:val="Standaard"/>
    <w:link w:val="BallontekstChar"/>
    <w:uiPriority w:val="99"/>
    <w:semiHidden/>
    <w:unhideWhenUsed/>
    <w:rsid w:val="00806F30"/>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F30"/>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3B7C"/>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BB3B7C"/>
    <w:pPr>
      <w:jc w:val="both"/>
    </w:pPr>
    <w:rPr>
      <w:b/>
      <w:smallCaps/>
      <w:sz w:val="22"/>
    </w:rPr>
  </w:style>
  <w:style w:type="paragraph" w:customStyle="1" w:styleId="StandaardSV">
    <w:name w:val="Standaard SV"/>
    <w:basedOn w:val="Standaard"/>
    <w:rsid w:val="00BB3B7C"/>
    <w:pPr>
      <w:jc w:val="both"/>
    </w:pPr>
    <w:rPr>
      <w:sz w:val="22"/>
    </w:rPr>
  </w:style>
  <w:style w:type="paragraph" w:styleId="Lijstalinea">
    <w:name w:val="List Paragraph"/>
    <w:basedOn w:val="Standaard"/>
    <w:uiPriority w:val="34"/>
    <w:qFormat/>
    <w:rsid w:val="00BB3B7C"/>
    <w:pPr>
      <w:ind w:left="720"/>
      <w:contextualSpacing/>
    </w:pPr>
  </w:style>
  <w:style w:type="paragraph" w:styleId="Ballontekst">
    <w:name w:val="Balloon Text"/>
    <w:basedOn w:val="Standaard"/>
    <w:link w:val="BallontekstChar"/>
    <w:uiPriority w:val="99"/>
    <w:semiHidden/>
    <w:unhideWhenUsed/>
    <w:rsid w:val="00806F30"/>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F30"/>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IWT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Arents</dc:creator>
  <cp:lastModifiedBy>Vlaams Parlement</cp:lastModifiedBy>
  <cp:revision>2</cp:revision>
  <cp:lastPrinted>2013-09-30T12:37:00Z</cp:lastPrinted>
  <dcterms:created xsi:type="dcterms:W3CDTF">2013-09-30T12:37:00Z</dcterms:created>
  <dcterms:modified xsi:type="dcterms:W3CDTF">2013-09-30T12:37:00Z</dcterms:modified>
</cp:coreProperties>
</file>