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6A" w:rsidRPr="00D03794" w:rsidRDefault="00574252"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Content>
          <w:r w:rsidR="000A0CD6">
            <w:rPr>
              <w:b/>
              <w:bCs/>
              <w:caps/>
              <w:sz w:val="18"/>
              <w:szCs w:val="22"/>
              <w:lang w:val="nl-BE"/>
            </w:rPr>
            <w:t>Philippe Muyters</w:t>
          </w:r>
        </w:sdtContent>
      </w:sdt>
    </w:p>
    <w:p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Content>
          <w:r w:rsidR="000A0CD6">
            <w:rPr>
              <w:caps/>
              <w:sz w:val="18"/>
              <w:szCs w:val="22"/>
              <w:lang w:val="nl-BE"/>
            </w:rPr>
            <w:t>Financiën, Begroting, Werk, Ruimtelijke Ordening en Sport</w:t>
          </w:r>
        </w:sdtContent>
      </w:sdt>
    </w:p>
    <w:p w:rsidR="0068216A" w:rsidRPr="005628FF" w:rsidRDefault="0068216A" w:rsidP="003F1093">
      <w:pPr>
        <w:pBdr>
          <w:bottom w:val="single" w:sz="4" w:space="1" w:color="auto"/>
        </w:pBdr>
        <w:jc w:val="both"/>
        <w:rPr>
          <w:sz w:val="22"/>
          <w:szCs w:val="22"/>
          <w:lang w:val="nl-BE"/>
        </w:rPr>
      </w:pPr>
    </w:p>
    <w:p w:rsidR="0068216A" w:rsidRPr="005628FF" w:rsidRDefault="0068216A" w:rsidP="003F1093">
      <w:pPr>
        <w:jc w:val="both"/>
        <w:rPr>
          <w:sz w:val="22"/>
          <w:szCs w:val="22"/>
        </w:rPr>
      </w:pPr>
    </w:p>
    <w:p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Content>
          <w:r w:rsidR="000A0CD6">
            <w:rPr>
              <w:sz w:val="22"/>
              <w:szCs w:val="22"/>
              <w:lang w:val="nl-BE"/>
            </w:rPr>
            <w:t>900</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6-28T00:00:00Z">
            <w:dateFormat w:val="d MMMM yyyy"/>
            <w:lid w:val="nl-BE"/>
            <w:storeMappedDataAs w:val="dateTime"/>
            <w:calendar w:val="gregorian"/>
          </w:date>
        </w:sdtPr>
        <w:sdtContent>
          <w:r w:rsidR="000A0CD6">
            <w:rPr>
              <w:sz w:val="22"/>
              <w:szCs w:val="22"/>
              <w:lang w:val="nl-BE"/>
            </w:rPr>
            <w:t>28 juni 2013</w:t>
          </w:r>
        </w:sdtContent>
      </w:sdt>
    </w:p>
    <w:p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Content>
          <w:r w:rsidR="000A0CD6">
            <w:rPr>
              <w:b/>
              <w:caps/>
              <w:sz w:val="18"/>
              <w:szCs w:val="22"/>
              <w:lang w:val="nl-BE"/>
            </w:rPr>
            <w:t>Robrecht B</w:t>
          </w:r>
          <w:r w:rsidR="0071357C">
            <w:rPr>
              <w:b/>
              <w:caps/>
              <w:sz w:val="18"/>
              <w:szCs w:val="22"/>
              <w:lang w:val="nl-BE"/>
            </w:rPr>
            <w:t>o</w:t>
          </w:r>
          <w:r w:rsidR="000A0CD6">
            <w:rPr>
              <w:b/>
              <w:caps/>
              <w:sz w:val="18"/>
              <w:szCs w:val="22"/>
              <w:lang w:val="nl-BE"/>
            </w:rPr>
            <w:t>thuyne</w:t>
          </w:r>
        </w:sdtContent>
      </w:sdt>
    </w:p>
    <w:p w:rsidR="0068216A" w:rsidRPr="005628FF" w:rsidRDefault="0068216A" w:rsidP="003F1093">
      <w:pPr>
        <w:pBdr>
          <w:bottom w:val="single" w:sz="4" w:space="1" w:color="auto"/>
        </w:pBdr>
        <w:jc w:val="both"/>
        <w:rPr>
          <w:sz w:val="22"/>
          <w:szCs w:val="22"/>
        </w:rPr>
      </w:pPr>
    </w:p>
    <w:p w:rsidR="0068216A" w:rsidRPr="005628FF" w:rsidRDefault="0068216A" w:rsidP="003F1093">
      <w:pPr>
        <w:jc w:val="both"/>
        <w:rPr>
          <w:sz w:val="22"/>
          <w:szCs w:val="22"/>
        </w:rPr>
        <w:sectPr w:rsidR="0068216A" w:rsidRPr="005628FF" w:rsidSect="00DF38F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pPr>
    </w:p>
    <w:p w:rsidR="0068216A" w:rsidRPr="005628FF" w:rsidRDefault="0068216A" w:rsidP="003F1093">
      <w:pPr>
        <w:jc w:val="both"/>
        <w:rPr>
          <w:sz w:val="22"/>
          <w:szCs w:val="22"/>
        </w:rPr>
      </w:pPr>
    </w:p>
    <w:p w:rsidR="00CB244B" w:rsidRPr="00CB244B" w:rsidRDefault="00CB244B" w:rsidP="00651886">
      <w:pPr>
        <w:pStyle w:val="StandaardSV"/>
      </w:pPr>
    </w:p>
    <w:p w:rsidR="000A0CD6" w:rsidRPr="00DE3D62" w:rsidRDefault="000A0CD6" w:rsidP="000A0CD6">
      <w:pPr>
        <w:pStyle w:val="StandaardSV"/>
        <w:numPr>
          <w:ilvl w:val="0"/>
          <w:numId w:val="14"/>
        </w:numPr>
        <w:rPr>
          <w:szCs w:val="22"/>
        </w:rPr>
      </w:pPr>
      <w:r w:rsidRPr="00DE3D62">
        <w:rPr>
          <w:szCs w:val="22"/>
        </w:rPr>
        <w:t>VDAB gaat bij elke opleidingsaanvraag na of de opleidingskeuze van de werkzoekende in diens traject naar werk past en of de keuze voor het beroep (en de opleiding) realistisch en haalbaar is. Aangezien een opleidingsvraag tijdens dit diagnosetraject nog kan wijzigen, beschikt VDAB niet over cijfergegevens met betrekking tot het totaal aantal opleidingsaanvragen voor knelpuntopleidingen.</w:t>
      </w:r>
    </w:p>
    <w:p w:rsidR="000A0CD6" w:rsidRPr="00DE3D62" w:rsidRDefault="000A0CD6" w:rsidP="000A0CD6">
      <w:pPr>
        <w:pStyle w:val="StandaardSV"/>
        <w:rPr>
          <w:szCs w:val="22"/>
        </w:rPr>
      </w:pPr>
    </w:p>
    <w:p w:rsidR="000A0CD6" w:rsidRPr="00DE3D62" w:rsidRDefault="000A0CD6" w:rsidP="000A0CD6">
      <w:pPr>
        <w:pStyle w:val="StandaardSV"/>
        <w:numPr>
          <w:ilvl w:val="0"/>
          <w:numId w:val="14"/>
        </w:numPr>
        <w:rPr>
          <w:szCs w:val="22"/>
        </w:rPr>
      </w:pPr>
      <w:r w:rsidRPr="00DE3D62">
        <w:rPr>
          <w:szCs w:val="22"/>
        </w:rPr>
        <w:t>In 2011 zijn er 26.427 knelpuntopleidingen door werkzoekenden gestart. In 2012 waren dit er 27.231. Een cursist kan aan verschillende opleidingen deelgenomen hebben en wordt in dat geval meermaals geteld.</w:t>
      </w:r>
    </w:p>
    <w:p w:rsidR="000A0CD6" w:rsidRPr="00DE3D62" w:rsidRDefault="000A0CD6" w:rsidP="000A0CD6">
      <w:pPr>
        <w:pStyle w:val="StandaardSV"/>
        <w:rPr>
          <w:szCs w:val="22"/>
        </w:rPr>
      </w:pPr>
    </w:p>
    <w:p w:rsidR="000A0CD6" w:rsidRPr="00DE3D62" w:rsidRDefault="000A0CD6" w:rsidP="000A0CD6">
      <w:pPr>
        <w:pStyle w:val="StandaardSV"/>
        <w:numPr>
          <w:ilvl w:val="0"/>
          <w:numId w:val="15"/>
        </w:numPr>
        <w:rPr>
          <w:szCs w:val="22"/>
        </w:rPr>
      </w:pPr>
      <w:r w:rsidRPr="00DE3D62">
        <w:rPr>
          <w:szCs w:val="22"/>
          <w:lang w:val="nl-BE"/>
        </w:rPr>
        <w:t xml:space="preserve">In bijlage 1 vindt u het aantal knelpuntopleidingen die in 2011 en 2012 door werkzoekenden gestart zijn, achtereenvolgens opgesplitst per provincie, geslacht en opleidingssector. </w:t>
      </w:r>
    </w:p>
    <w:p w:rsidR="000A0CD6" w:rsidRPr="00DE3D62" w:rsidRDefault="000A0CD6" w:rsidP="000A0CD6">
      <w:pPr>
        <w:pStyle w:val="StandaardSV"/>
        <w:ind w:left="720"/>
        <w:rPr>
          <w:szCs w:val="22"/>
        </w:rPr>
      </w:pPr>
    </w:p>
    <w:p w:rsidR="000A0CD6" w:rsidRPr="00DE3D62" w:rsidRDefault="000A0CD6" w:rsidP="000A0CD6">
      <w:pPr>
        <w:pStyle w:val="StandaardSV"/>
        <w:numPr>
          <w:ilvl w:val="0"/>
          <w:numId w:val="15"/>
        </w:numPr>
        <w:jc w:val="left"/>
        <w:rPr>
          <w:szCs w:val="22"/>
        </w:rPr>
      </w:pPr>
      <w:r w:rsidRPr="00DE3D62">
        <w:rPr>
          <w:szCs w:val="22"/>
        </w:rPr>
        <w:t>- Is er een realistische kans op werk?</w:t>
      </w:r>
      <w:r w:rsidRPr="00DE3D62">
        <w:rPr>
          <w:szCs w:val="22"/>
        </w:rPr>
        <w:br/>
        <w:t>- Motivatie van de kandidaat</w:t>
      </w:r>
      <w:r w:rsidRPr="00DE3D62">
        <w:rPr>
          <w:szCs w:val="22"/>
        </w:rPr>
        <w:br/>
        <w:t>- Leercapaciteit en scholingsgraad van de kandidaat</w:t>
      </w:r>
    </w:p>
    <w:p w:rsidR="000A0CD6" w:rsidRPr="00DE3D62" w:rsidRDefault="000A0CD6" w:rsidP="000A0CD6">
      <w:pPr>
        <w:pStyle w:val="StandaardSV"/>
        <w:rPr>
          <w:szCs w:val="22"/>
        </w:rPr>
      </w:pPr>
    </w:p>
    <w:p w:rsidR="000A0CD6" w:rsidRPr="00DE3D62" w:rsidRDefault="000A0CD6" w:rsidP="000A0CD6">
      <w:pPr>
        <w:pStyle w:val="StandaardSV"/>
        <w:numPr>
          <w:ilvl w:val="0"/>
          <w:numId w:val="15"/>
        </w:numPr>
        <w:rPr>
          <w:szCs w:val="22"/>
        </w:rPr>
      </w:pPr>
      <w:r w:rsidRPr="00DE3D62">
        <w:rPr>
          <w:szCs w:val="22"/>
        </w:rPr>
        <w:t xml:space="preserve">In 2012 werden er 3,0% meer knelpuntopleidingen gestart ten opzichte van 2011. Deze stijging is het grootst in de provincies Oost-Vlaanderen en Limburg. Ook in de provincies Antwerpen en West-Vlaanderen werden er in 2012 meer knelpuntopleidingen gestart dan in 2011. Wat de verdeling naar geslacht betreft, zien we in 2012 een lichte toename met 0,5% van het aandeel vrouwen in knelpuntopleidingen ten opzichte van 2011. Hiermee stijgt het aandeel vrouwen in knelpuntopleidingen van 39,1% naar 39,6%. </w:t>
      </w:r>
      <w:r w:rsidR="00EA3A93">
        <w:rPr>
          <w:szCs w:val="22"/>
        </w:rPr>
        <w:t xml:space="preserve">We </w:t>
      </w:r>
      <w:r w:rsidRPr="00DE3D62">
        <w:rPr>
          <w:szCs w:val="22"/>
        </w:rPr>
        <w:t xml:space="preserve">zien dat in 2012 het grootste aantal knelpuntopleidingen, met name 60,9%, door mannen worden gestart. Vooral het aantal knelpuntopleidingen in de opleidingssectoren </w:t>
      </w:r>
      <w:proofErr w:type="spellStart"/>
      <w:r w:rsidRPr="00DE3D62">
        <w:rPr>
          <w:szCs w:val="22"/>
        </w:rPr>
        <w:t>social</w:t>
      </w:r>
      <w:proofErr w:type="spellEnd"/>
      <w:r w:rsidRPr="00DE3D62">
        <w:rPr>
          <w:szCs w:val="22"/>
        </w:rPr>
        <w:t xml:space="preserve"> </w:t>
      </w:r>
      <w:proofErr w:type="spellStart"/>
      <w:r w:rsidRPr="00DE3D62">
        <w:rPr>
          <w:szCs w:val="22"/>
        </w:rPr>
        <w:t>profit</w:t>
      </w:r>
      <w:proofErr w:type="spellEnd"/>
      <w:r w:rsidRPr="00DE3D62">
        <w:rPr>
          <w:szCs w:val="22"/>
        </w:rPr>
        <w:t xml:space="preserve"> en metaal zijn in 2012 gestegen ten opzichte van 2011. Hoewel de opleidingen </w:t>
      </w:r>
      <w:proofErr w:type="spellStart"/>
      <w:r w:rsidRPr="00DE3D62">
        <w:rPr>
          <w:szCs w:val="22"/>
        </w:rPr>
        <w:t>social</w:t>
      </w:r>
      <w:proofErr w:type="spellEnd"/>
      <w:r w:rsidRPr="00DE3D62">
        <w:rPr>
          <w:szCs w:val="22"/>
        </w:rPr>
        <w:t xml:space="preserve"> </w:t>
      </w:r>
      <w:proofErr w:type="spellStart"/>
      <w:r w:rsidRPr="00DE3D62">
        <w:rPr>
          <w:szCs w:val="22"/>
        </w:rPr>
        <w:t>profit</w:t>
      </w:r>
      <w:proofErr w:type="spellEnd"/>
      <w:r w:rsidRPr="00DE3D62">
        <w:rPr>
          <w:szCs w:val="22"/>
        </w:rPr>
        <w:t xml:space="preserve"> in 2011 al goed waren voor 25,8% van de knelpuntopleidingen, is dit aandeel in 2012 nog met 0,8 procentpunten verhoogd tot 26,6%. Het aandeel van de opleidingssector metaal is zelfs met 1,0 procentpunt gestegen tot 15,2% van het totaal aantal gestarte knelpuntopleidingen. Ook het aantal knelpuntopleidingen binnen de opleidingssectoren industriële automatisering en schoonmaak is in deze periode met respectievelijk 0,7 en 0,4  procentpunten sterk toegenomen tot 5,8% en 7,9% van het totaal aantal gestarte knelpuntopleidingen in 2012. Verder merken we  een belangrijke toename van het aantal knelpuntopleidingen binnen de opleidingssectoren elektriciteit, hout, de primaire sector (opleidingen groenwerk) en de tertiaire sector. </w:t>
      </w:r>
      <w:r w:rsidR="00EA3A93">
        <w:rPr>
          <w:szCs w:val="22"/>
        </w:rPr>
        <w:t xml:space="preserve">Het </w:t>
      </w:r>
      <w:r w:rsidRPr="00DE3D62">
        <w:rPr>
          <w:szCs w:val="22"/>
        </w:rPr>
        <w:t xml:space="preserve">aandeel knelpuntopleidingen in de opleidingssector bouw ten opzichte van 2011 </w:t>
      </w:r>
      <w:r w:rsidR="00EA3A93">
        <w:rPr>
          <w:szCs w:val="22"/>
        </w:rPr>
        <w:t xml:space="preserve">is </w:t>
      </w:r>
      <w:r w:rsidRPr="00DE3D62">
        <w:rPr>
          <w:szCs w:val="22"/>
        </w:rPr>
        <w:t xml:space="preserve">met 1,1 procentpunt gedaald tot 12,9% in 2012. De grootste daling is voor de opleidingssector vervoer, waarvan het aandeel in 2012 met 1,2 procentpunt gedaald is ten opzichte van 2011 tot 9,6% van het totaal aantal gestarte knelpuntopleidingen. Tenslotte is er een daling van het aantal gestarte knelpuntopleidingen in de opleidingssectoren horeca en logistiek. Hun aandeel binnen het totaal aantal gestarte knelpuntopleidingen is met 0,5 procentpunten </w:t>
      </w:r>
      <w:proofErr w:type="spellStart"/>
      <w:r w:rsidRPr="00DE3D62">
        <w:rPr>
          <w:szCs w:val="22"/>
        </w:rPr>
        <w:t>gekrimpt</w:t>
      </w:r>
      <w:proofErr w:type="spellEnd"/>
      <w:r w:rsidRPr="00DE3D62">
        <w:rPr>
          <w:szCs w:val="22"/>
        </w:rPr>
        <w:t xml:space="preserve"> tot respectievelijk 4,0% en 0,7%.</w:t>
      </w:r>
    </w:p>
    <w:p w:rsidR="000A0CD6" w:rsidRPr="00DE3D62" w:rsidRDefault="000A0CD6" w:rsidP="000A0CD6">
      <w:pPr>
        <w:pStyle w:val="StandaardSV"/>
        <w:rPr>
          <w:szCs w:val="22"/>
        </w:rPr>
      </w:pPr>
    </w:p>
    <w:p w:rsidR="000A0CD6" w:rsidRPr="00DE3D62" w:rsidRDefault="000A0CD6" w:rsidP="000A0CD6">
      <w:pPr>
        <w:pStyle w:val="StandaardSV"/>
        <w:numPr>
          <w:ilvl w:val="0"/>
          <w:numId w:val="14"/>
        </w:numPr>
        <w:rPr>
          <w:szCs w:val="22"/>
        </w:rPr>
      </w:pPr>
      <w:r w:rsidRPr="00DE3D62">
        <w:rPr>
          <w:szCs w:val="22"/>
        </w:rPr>
        <w:t xml:space="preserve">Van de 25.672 knelpuntopleidingen die in 2011 door werkzoekenden beëindigd werden (zowel uitgevoerd als stopgezet), werden er 21.240 of 82,7% op een positieve manier afgerond. In 2012 werden 21.734 van de 26.250 knelpuntopleidingen of 82,8% op een positieve manier beëindigd. </w:t>
      </w:r>
      <w:r w:rsidRPr="00DE3D62">
        <w:rPr>
          <w:szCs w:val="22"/>
          <w:lang w:val="nl-BE"/>
        </w:rPr>
        <w:t xml:space="preserve">Onder positief beëindigd wordt begrepen alle opleidingen die uitgevoerd en geslaagd zijn of stopgezet werden wegens tewerkstelling. De einddatum van de opleiding bepaalt aan welk jaar deze wordt toegewezen. De opleiding hoeft dus niet noodzakelijk in hetzelfde jaar aangevat te zijn. </w:t>
      </w:r>
      <w:r w:rsidRPr="00DE3D62">
        <w:rPr>
          <w:szCs w:val="22"/>
        </w:rPr>
        <w:t>Een cursist kan aan verschillende opleidingen deelgenomen hebben en wordt in dat geval meermaals geteld.</w:t>
      </w:r>
    </w:p>
    <w:p w:rsidR="000A0CD6" w:rsidRPr="00DE3D62" w:rsidRDefault="000A0CD6" w:rsidP="000A0CD6">
      <w:pPr>
        <w:pStyle w:val="StandaardSV"/>
        <w:ind w:left="360"/>
        <w:rPr>
          <w:szCs w:val="22"/>
        </w:rPr>
      </w:pPr>
    </w:p>
    <w:p w:rsidR="000A0CD6" w:rsidRPr="00DE3D62" w:rsidRDefault="000A0CD6" w:rsidP="000A0CD6">
      <w:pPr>
        <w:pStyle w:val="StandaardSV"/>
        <w:ind w:left="360"/>
        <w:rPr>
          <w:szCs w:val="22"/>
        </w:rPr>
      </w:pPr>
      <w:r w:rsidRPr="00DE3D62">
        <w:rPr>
          <w:szCs w:val="22"/>
        </w:rPr>
        <w:t>In onderstaande tabel vindt u het aantal beëindigde opleidingen, opgesplitst volgens resultaat:</w:t>
      </w:r>
    </w:p>
    <w:p w:rsidR="000A0CD6" w:rsidRPr="00DE3D62" w:rsidRDefault="000A0CD6" w:rsidP="000A0CD6">
      <w:pPr>
        <w:pStyle w:val="StandaardSV"/>
        <w:ind w:left="360"/>
        <w:rPr>
          <w:szCs w:val="22"/>
        </w:rPr>
      </w:pPr>
    </w:p>
    <w:tbl>
      <w:tblPr>
        <w:tblW w:w="7160" w:type="dxa"/>
        <w:jc w:val="center"/>
        <w:tblInd w:w="55" w:type="dxa"/>
        <w:tblCellMar>
          <w:left w:w="70" w:type="dxa"/>
          <w:right w:w="70" w:type="dxa"/>
        </w:tblCellMar>
        <w:tblLook w:val="04A0"/>
      </w:tblPr>
      <w:tblGrid>
        <w:gridCol w:w="1546"/>
        <w:gridCol w:w="4372"/>
        <w:gridCol w:w="745"/>
        <w:gridCol w:w="745"/>
      </w:tblGrid>
      <w:tr w:rsidR="000A0CD6" w:rsidRPr="00DE3D62" w:rsidTr="00FA0BD4">
        <w:trPr>
          <w:trHeight w:val="300"/>
          <w:jc w:val="center"/>
        </w:trPr>
        <w:tc>
          <w:tcPr>
            <w:tcW w:w="7160" w:type="dxa"/>
            <w:gridSpan w:val="4"/>
            <w:tcBorders>
              <w:top w:val="single" w:sz="4" w:space="0" w:color="auto"/>
              <w:left w:val="single" w:sz="4" w:space="0" w:color="auto"/>
              <w:bottom w:val="single" w:sz="4" w:space="0" w:color="auto"/>
              <w:right w:val="single" w:sz="4" w:space="0" w:color="000000"/>
            </w:tcBorders>
            <w:noWrap/>
            <w:vAlign w:val="center"/>
            <w:hideMark/>
          </w:tcPr>
          <w:p w:rsidR="000A0CD6" w:rsidRPr="00DE3D62" w:rsidRDefault="000A0CD6" w:rsidP="00FA0BD4">
            <w:pPr>
              <w:spacing w:line="276" w:lineRule="auto"/>
              <w:jc w:val="center"/>
              <w:rPr>
                <w:b/>
                <w:bCs/>
                <w:color w:val="000000"/>
                <w:sz w:val="22"/>
                <w:szCs w:val="22"/>
                <w:lang w:val="nl-BE" w:eastAsia="nl-BE"/>
              </w:rPr>
            </w:pPr>
            <w:r w:rsidRPr="00DE3D62">
              <w:rPr>
                <w:b/>
                <w:bCs/>
                <w:color w:val="000000"/>
                <w:sz w:val="22"/>
                <w:szCs w:val="22"/>
                <w:lang w:val="nl-BE" w:eastAsia="nl-BE"/>
              </w:rPr>
              <w:t>Beëindigde knelpuntopleidingen volgens resultaat</w:t>
            </w:r>
          </w:p>
        </w:tc>
      </w:tr>
      <w:tr w:rsidR="000A0CD6" w:rsidRPr="00DE3D62" w:rsidTr="00FA0BD4">
        <w:trPr>
          <w:trHeight w:val="300"/>
          <w:jc w:val="center"/>
        </w:trPr>
        <w:tc>
          <w:tcPr>
            <w:tcW w:w="1546" w:type="dxa"/>
            <w:tcBorders>
              <w:top w:val="nil"/>
              <w:left w:val="single" w:sz="4" w:space="0" w:color="auto"/>
              <w:bottom w:val="single" w:sz="4" w:space="0" w:color="auto"/>
              <w:right w:val="nil"/>
            </w:tcBorders>
            <w:noWrap/>
            <w:vAlign w:val="center"/>
            <w:hideMark/>
          </w:tcPr>
          <w:p w:rsidR="000A0CD6" w:rsidRPr="00DE3D62" w:rsidRDefault="000A0CD6" w:rsidP="00FA0BD4">
            <w:pPr>
              <w:spacing w:line="276" w:lineRule="auto"/>
              <w:jc w:val="center"/>
              <w:rPr>
                <w:b/>
                <w:bCs/>
                <w:sz w:val="22"/>
                <w:szCs w:val="22"/>
                <w:lang w:val="nl-BE" w:eastAsia="nl-BE"/>
              </w:rPr>
            </w:pPr>
            <w:r w:rsidRPr="00DE3D62">
              <w:rPr>
                <w:b/>
                <w:bCs/>
                <w:sz w:val="22"/>
                <w:szCs w:val="22"/>
                <w:lang w:val="nl-BE" w:eastAsia="nl-BE"/>
              </w:rPr>
              <w:t>Toestand</w:t>
            </w:r>
          </w:p>
        </w:tc>
        <w:tc>
          <w:tcPr>
            <w:tcW w:w="4372" w:type="dxa"/>
            <w:tcBorders>
              <w:top w:val="nil"/>
              <w:left w:val="single" w:sz="4" w:space="0" w:color="000000"/>
              <w:bottom w:val="single" w:sz="4" w:space="0" w:color="auto"/>
              <w:right w:val="nil"/>
            </w:tcBorders>
            <w:noWrap/>
            <w:vAlign w:val="center"/>
            <w:hideMark/>
          </w:tcPr>
          <w:p w:rsidR="000A0CD6" w:rsidRPr="00DE3D62" w:rsidRDefault="000A0CD6" w:rsidP="00FA0BD4">
            <w:pPr>
              <w:spacing w:line="276" w:lineRule="auto"/>
              <w:jc w:val="center"/>
              <w:rPr>
                <w:b/>
                <w:bCs/>
                <w:sz w:val="22"/>
                <w:szCs w:val="22"/>
                <w:lang w:val="nl-BE" w:eastAsia="nl-BE"/>
              </w:rPr>
            </w:pPr>
            <w:r w:rsidRPr="00DE3D62">
              <w:rPr>
                <w:b/>
                <w:bCs/>
                <w:sz w:val="22"/>
                <w:szCs w:val="22"/>
                <w:lang w:val="nl-BE" w:eastAsia="nl-BE"/>
              </w:rPr>
              <w:t>Resultaat</w:t>
            </w:r>
          </w:p>
        </w:tc>
        <w:tc>
          <w:tcPr>
            <w:tcW w:w="621" w:type="dxa"/>
            <w:tcBorders>
              <w:top w:val="nil"/>
              <w:left w:val="single" w:sz="4" w:space="0" w:color="auto"/>
              <w:bottom w:val="single" w:sz="4" w:space="0" w:color="auto"/>
              <w:right w:val="nil"/>
            </w:tcBorders>
            <w:noWrap/>
            <w:vAlign w:val="center"/>
            <w:hideMark/>
          </w:tcPr>
          <w:p w:rsidR="000A0CD6" w:rsidRPr="00DE3D62" w:rsidRDefault="000A0CD6" w:rsidP="00FA0BD4">
            <w:pPr>
              <w:spacing w:line="276" w:lineRule="auto"/>
              <w:jc w:val="center"/>
              <w:rPr>
                <w:b/>
                <w:bCs/>
                <w:sz w:val="22"/>
                <w:szCs w:val="22"/>
                <w:lang w:val="nl-BE" w:eastAsia="nl-BE"/>
              </w:rPr>
            </w:pPr>
            <w:r w:rsidRPr="00DE3D62">
              <w:rPr>
                <w:b/>
                <w:bCs/>
                <w:sz w:val="22"/>
                <w:szCs w:val="22"/>
                <w:lang w:val="nl-BE" w:eastAsia="nl-BE"/>
              </w:rPr>
              <w:t>2011</w:t>
            </w:r>
          </w:p>
        </w:tc>
        <w:tc>
          <w:tcPr>
            <w:tcW w:w="621" w:type="dxa"/>
            <w:tcBorders>
              <w:top w:val="nil"/>
              <w:left w:val="single" w:sz="4" w:space="0" w:color="auto"/>
              <w:bottom w:val="single" w:sz="4" w:space="0" w:color="auto"/>
              <w:right w:val="single" w:sz="4" w:space="0" w:color="auto"/>
            </w:tcBorders>
            <w:noWrap/>
            <w:vAlign w:val="center"/>
            <w:hideMark/>
          </w:tcPr>
          <w:p w:rsidR="000A0CD6" w:rsidRPr="00DE3D62" w:rsidRDefault="000A0CD6" w:rsidP="00FA0BD4">
            <w:pPr>
              <w:spacing w:line="276" w:lineRule="auto"/>
              <w:jc w:val="center"/>
              <w:rPr>
                <w:b/>
                <w:bCs/>
                <w:sz w:val="22"/>
                <w:szCs w:val="22"/>
                <w:lang w:val="nl-BE" w:eastAsia="nl-BE"/>
              </w:rPr>
            </w:pPr>
            <w:r w:rsidRPr="00DE3D62">
              <w:rPr>
                <w:b/>
                <w:bCs/>
                <w:sz w:val="22"/>
                <w:szCs w:val="22"/>
                <w:lang w:val="nl-BE" w:eastAsia="nl-BE"/>
              </w:rPr>
              <w:t>2012</w:t>
            </w:r>
          </w:p>
        </w:tc>
      </w:tr>
      <w:tr w:rsidR="000A0CD6" w:rsidRPr="00DE3D62" w:rsidTr="00FA0BD4">
        <w:trPr>
          <w:trHeight w:val="300"/>
          <w:jc w:val="center"/>
        </w:trPr>
        <w:tc>
          <w:tcPr>
            <w:tcW w:w="1546"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Uitgevoerd</w:t>
            </w:r>
          </w:p>
        </w:tc>
        <w:tc>
          <w:tcPr>
            <w:tcW w:w="4372" w:type="dxa"/>
            <w:tcBorders>
              <w:top w:val="nil"/>
              <w:left w:val="single" w:sz="4" w:space="0" w:color="000000"/>
              <w:bottom w:val="nil"/>
              <w:right w:val="nil"/>
            </w:tcBorders>
            <w:shd w:val="clear" w:color="auto" w:fill="FFFF00"/>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Geslaagd</w:t>
            </w:r>
          </w:p>
        </w:tc>
        <w:tc>
          <w:tcPr>
            <w:tcW w:w="621" w:type="dxa"/>
            <w:tcBorders>
              <w:top w:val="nil"/>
              <w:left w:val="single" w:sz="4" w:space="0" w:color="000000"/>
              <w:bottom w:val="nil"/>
              <w:right w:val="nil"/>
            </w:tcBorders>
            <w:shd w:val="clear" w:color="auto" w:fill="FFFF00"/>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19.733</w:t>
            </w:r>
          </w:p>
        </w:tc>
        <w:tc>
          <w:tcPr>
            <w:tcW w:w="621" w:type="dxa"/>
            <w:tcBorders>
              <w:top w:val="nil"/>
              <w:left w:val="single" w:sz="4" w:space="0" w:color="auto"/>
              <w:bottom w:val="nil"/>
              <w:right w:val="single" w:sz="4" w:space="0" w:color="auto"/>
            </w:tcBorders>
            <w:shd w:val="clear" w:color="auto" w:fill="FFFF00"/>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20.624</w:t>
            </w:r>
          </w:p>
        </w:tc>
      </w:tr>
      <w:tr w:rsidR="000A0CD6" w:rsidRPr="00DE3D62" w:rsidTr="00FA0BD4">
        <w:trPr>
          <w:trHeight w:val="300"/>
          <w:jc w:val="center"/>
        </w:trPr>
        <w:tc>
          <w:tcPr>
            <w:tcW w:w="1546"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 </w:t>
            </w:r>
          </w:p>
        </w:tc>
        <w:tc>
          <w:tcPr>
            <w:tcW w:w="4372"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Niet geslaagd</w:t>
            </w:r>
          </w:p>
        </w:tc>
        <w:tc>
          <w:tcPr>
            <w:tcW w:w="621" w:type="dxa"/>
            <w:tcBorders>
              <w:top w:val="nil"/>
              <w:left w:val="single" w:sz="4" w:space="0" w:color="000000"/>
              <w:bottom w:val="nil"/>
              <w:right w:val="nil"/>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1.307</w:t>
            </w:r>
          </w:p>
        </w:tc>
        <w:tc>
          <w:tcPr>
            <w:tcW w:w="621" w:type="dxa"/>
            <w:tcBorders>
              <w:top w:val="nil"/>
              <w:left w:val="single" w:sz="4" w:space="0" w:color="auto"/>
              <w:bottom w:val="nil"/>
              <w:right w:val="single" w:sz="4" w:space="0" w:color="auto"/>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1.278</w:t>
            </w:r>
          </w:p>
        </w:tc>
      </w:tr>
      <w:tr w:rsidR="000A0CD6" w:rsidRPr="00DE3D62" w:rsidTr="00FA0BD4">
        <w:trPr>
          <w:trHeight w:val="300"/>
          <w:jc w:val="center"/>
        </w:trPr>
        <w:tc>
          <w:tcPr>
            <w:tcW w:w="1546" w:type="dxa"/>
            <w:tcBorders>
              <w:top w:val="single" w:sz="4" w:space="0" w:color="000000"/>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Totaal Uitgevoerd</w:t>
            </w:r>
          </w:p>
        </w:tc>
        <w:tc>
          <w:tcPr>
            <w:tcW w:w="4372" w:type="dxa"/>
            <w:tcBorders>
              <w:top w:val="single" w:sz="4" w:space="0" w:color="000000"/>
              <w:left w:val="nil"/>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 </w:t>
            </w:r>
          </w:p>
        </w:tc>
        <w:tc>
          <w:tcPr>
            <w:tcW w:w="621" w:type="dxa"/>
            <w:tcBorders>
              <w:top w:val="single" w:sz="4" w:space="0" w:color="000000"/>
              <w:left w:val="single" w:sz="4" w:space="0" w:color="000000"/>
              <w:bottom w:val="nil"/>
              <w:right w:val="nil"/>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21.040</w:t>
            </w:r>
          </w:p>
        </w:tc>
        <w:tc>
          <w:tcPr>
            <w:tcW w:w="621" w:type="dxa"/>
            <w:tcBorders>
              <w:top w:val="single" w:sz="4" w:space="0" w:color="000000"/>
              <w:left w:val="single" w:sz="4" w:space="0" w:color="auto"/>
              <w:bottom w:val="nil"/>
              <w:right w:val="single" w:sz="4" w:space="0" w:color="auto"/>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21.902</w:t>
            </w:r>
          </w:p>
        </w:tc>
      </w:tr>
      <w:tr w:rsidR="000A0CD6" w:rsidRPr="00DE3D62" w:rsidTr="00FA0BD4">
        <w:trPr>
          <w:trHeight w:val="300"/>
          <w:jc w:val="center"/>
        </w:trPr>
        <w:tc>
          <w:tcPr>
            <w:tcW w:w="1546" w:type="dxa"/>
            <w:tcBorders>
              <w:top w:val="single" w:sz="4" w:space="0" w:color="000000"/>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Stopgezet</w:t>
            </w:r>
          </w:p>
        </w:tc>
        <w:tc>
          <w:tcPr>
            <w:tcW w:w="4372" w:type="dxa"/>
            <w:tcBorders>
              <w:top w:val="single" w:sz="4" w:space="0" w:color="000000"/>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door klant- geldige reden</w:t>
            </w:r>
          </w:p>
        </w:tc>
        <w:tc>
          <w:tcPr>
            <w:tcW w:w="621" w:type="dxa"/>
            <w:tcBorders>
              <w:top w:val="single" w:sz="4" w:space="0" w:color="000000"/>
              <w:left w:val="single" w:sz="4" w:space="0" w:color="000000"/>
              <w:bottom w:val="nil"/>
              <w:right w:val="nil"/>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287</w:t>
            </w:r>
          </w:p>
        </w:tc>
        <w:tc>
          <w:tcPr>
            <w:tcW w:w="621" w:type="dxa"/>
            <w:tcBorders>
              <w:top w:val="single" w:sz="4" w:space="0" w:color="000000"/>
              <w:left w:val="single" w:sz="4" w:space="0" w:color="auto"/>
              <w:bottom w:val="nil"/>
              <w:right w:val="single" w:sz="4" w:space="0" w:color="auto"/>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260</w:t>
            </w:r>
          </w:p>
        </w:tc>
      </w:tr>
      <w:tr w:rsidR="000A0CD6" w:rsidRPr="00DE3D62" w:rsidTr="00FA0BD4">
        <w:trPr>
          <w:trHeight w:val="300"/>
          <w:jc w:val="center"/>
        </w:trPr>
        <w:tc>
          <w:tcPr>
            <w:tcW w:w="1546"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 </w:t>
            </w:r>
          </w:p>
        </w:tc>
        <w:tc>
          <w:tcPr>
            <w:tcW w:w="4372"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Om technische redenen</w:t>
            </w:r>
          </w:p>
        </w:tc>
        <w:tc>
          <w:tcPr>
            <w:tcW w:w="621" w:type="dxa"/>
            <w:tcBorders>
              <w:top w:val="nil"/>
              <w:left w:val="single" w:sz="4" w:space="0" w:color="000000"/>
              <w:bottom w:val="nil"/>
              <w:right w:val="nil"/>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255</w:t>
            </w:r>
          </w:p>
        </w:tc>
        <w:tc>
          <w:tcPr>
            <w:tcW w:w="621" w:type="dxa"/>
            <w:tcBorders>
              <w:top w:val="nil"/>
              <w:left w:val="single" w:sz="4" w:space="0" w:color="auto"/>
              <w:bottom w:val="nil"/>
              <w:right w:val="single" w:sz="4" w:space="0" w:color="auto"/>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274</w:t>
            </w:r>
          </w:p>
        </w:tc>
      </w:tr>
      <w:tr w:rsidR="000A0CD6" w:rsidRPr="00DE3D62" w:rsidTr="00FA0BD4">
        <w:trPr>
          <w:trHeight w:val="300"/>
          <w:jc w:val="center"/>
        </w:trPr>
        <w:tc>
          <w:tcPr>
            <w:tcW w:w="1546"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 </w:t>
            </w:r>
          </w:p>
        </w:tc>
        <w:tc>
          <w:tcPr>
            <w:tcW w:w="4372"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Door de klant</w:t>
            </w:r>
          </w:p>
        </w:tc>
        <w:tc>
          <w:tcPr>
            <w:tcW w:w="621" w:type="dxa"/>
            <w:tcBorders>
              <w:top w:val="nil"/>
              <w:left w:val="single" w:sz="4" w:space="0" w:color="000000"/>
              <w:bottom w:val="nil"/>
              <w:right w:val="nil"/>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201</w:t>
            </w:r>
          </w:p>
        </w:tc>
        <w:tc>
          <w:tcPr>
            <w:tcW w:w="621" w:type="dxa"/>
            <w:tcBorders>
              <w:top w:val="nil"/>
              <w:left w:val="single" w:sz="4" w:space="0" w:color="auto"/>
              <w:bottom w:val="nil"/>
              <w:right w:val="single" w:sz="4" w:space="0" w:color="auto"/>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248</w:t>
            </w:r>
          </w:p>
        </w:tc>
      </w:tr>
      <w:tr w:rsidR="000A0CD6" w:rsidRPr="00DE3D62" w:rsidTr="00FA0BD4">
        <w:trPr>
          <w:trHeight w:val="300"/>
          <w:jc w:val="center"/>
        </w:trPr>
        <w:tc>
          <w:tcPr>
            <w:tcW w:w="1546"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 </w:t>
            </w:r>
          </w:p>
        </w:tc>
        <w:tc>
          <w:tcPr>
            <w:tcW w:w="4372"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Wegens ongeschiktheid</w:t>
            </w:r>
          </w:p>
        </w:tc>
        <w:tc>
          <w:tcPr>
            <w:tcW w:w="621" w:type="dxa"/>
            <w:tcBorders>
              <w:top w:val="nil"/>
              <w:left w:val="single" w:sz="4" w:space="0" w:color="000000"/>
              <w:bottom w:val="nil"/>
              <w:right w:val="nil"/>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752</w:t>
            </w:r>
          </w:p>
        </w:tc>
        <w:tc>
          <w:tcPr>
            <w:tcW w:w="621" w:type="dxa"/>
            <w:tcBorders>
              <w:top w:val="nil"/>
              <w:left w:val="single" w:sz="4" w:space="0" w:color="auto"/>
              <w:bottom w:val="nil"/>
              <w:right w:val="single" w:sz="4" w:space="0" w:color="auto"/>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793</w:t>
            </w:r>
          </w:p>
        </w:tc>
      </w:tr>
      <w:tr w:rsidR="000A0CD6" w:rsidRPr="00DE3D62" w:rsidTr="00FA0BD4">
        <w:trPr>
          <w:trHeight w:val="300"/>
          <w:jc w:val="center"/>
        </w:trPr>
        <w:tc>
          <w:tcPr>
            <w:tcW w:w="1546"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 </w:t>
            </w:r>
          </w:p>
        </w:tc>
        <w:tc>
          <w:tcPr>
            <w:tcW w:w="4372" w:type="dxa"/>
            <w:tcBorders>
              <w:top w:val="nil"/>
              <w:left w:val="single" w:sz="4" w:space="0" w:color="000000"/>
              <w:bottom w:val="nil"/>
              <w:right w:val="nil"/>
            </w:tcBorders>
            <w:shd w:val="clear" w:color="auto" w:fill="FFFF00"/>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Wegens tewerkstelling (tijdens opleiding)</w:t>
            </w:r>
          </w:p>
        </w:tc>
        <w:tc>
          <w:tcPr>
            <w:tcW w:w="621" w:type="dxa"/>
            <w:tcBorders>
              <w:top w:val="nil"/>
              <w:left w:val="single" w:sz="4" w:space="0" w:color="000000"/>
              <w:bottom w:val="nil"/>
              <w:right w:val="nil"/>
            </w:tcBorders>
            <w:shd w:val="clear" w:color="auto" w:fill="FFFF00"/>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1.507</w:t>
            </w:r>
          </w:p>
        </w:tc>
        <w:tc>
          <w:tcPr>
            <w:tcW w:w="621" w:type="dxa"/>
            <w:tcBorders>
              <w:top w:val="nil"/>
              <w:left w:val="single" w:sz="4" w:space="0" w:color="auto"/>
              <w:bottom w:val="nil"/>
              <w:right w:val="single" w:sz="4" w:space="0" w:color="auto"/>
            </w:tcBorders>
            <w:shd w:val="clear" w:color="auto" w:fill="FFFF00"/>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1.110</w:t>
            </w:r>
          </w:p>
        </w:tc>
      </w:tr>
      <w:tr w:rsidR="000A0CD6" w:rsidRPr="00DE3D62" w:rsidTr="00FA0BD4">
        <w:trPr>
          <w:trHeight w:val="300"/>
          <w:jc w:val="center"/>
        </w:trPr>
        <w:tc>
          <w:tcPr>
            <w:tcW w:w="1546"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 </w:t>
            </w:r>
          </w:p>
        </w:tc>
        <w:tc>
          <w:tcPr>
            <w:tcW w:w="4372"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door klant - ongeldige reden</w:t>
            </w:r>
          </w:p>
        </w:tc>
        <w:tc>
          <w:tcPr>
            <w:tcW w:w="621" w:type="dxa"/>
            <w:tcBorders>
              <w:top w:val="nil"/>
              <w:left w:val="single" w:sz="4" w:space="0" w:color="000000"/>
              <w:bottom w:val="nil"/>
              <w:right w:val="nil"/>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251</w:t>
            </w:r>
          </w:p>
        </w:tc>
        <w:tc>
          <w:tcPr>
            <w:tcW w:w="621" w:type="dxa"/>
            <w:tcBorders>
              <w:top w:val="nil"/>
              <w:left w:val="single" w:sz="4" w:space="0" w:color="auto"/>
              <w:bottom w:val="nil"/>
              <w:right w:val="single" w:sz="4" w:space="0" w:color="auto"/>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217</w:t>
            </w:r>
          </w:p>
        </w:tc>
      </w:tr>
      <w:tr w:rsidR="000A0CD6" w:rsidRPr="00DE3D62" w:rsidTr="00FA0BD4">
        <w:trPr>
          <w:trHeight w:val="300"/>
          <w:jc w:val="center"/>
        </w:trPr>
        <w:tc>
          <w:tcPr>
            <w:tcW w:w="1546"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 </w:t>
            </w:r>
          </w:p>
        </w:tc>
        <w:tc>
          <w:tcPr>
            <w:tcW w:w="4372"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 xml:space="preserve">Wegens </w:t>
            </w:r>
            <w:proofErr w:type="spellStart"/>
            <w:r w:rsidRPr="00DE3D62">
              <w:rPr>
                <w:sz w:val="22"/>
                <w:szCs w:val="22"/>
                <w:lang w:val="nl-BE" w:eastAsia="nl-BE"/>
              </w:rPr>
              <w:t>landurige</w:t>
            </w:r>
            <w:proofErr w:type="spellEnd"/>
            <w:r w:rsidRPr="00DE3D62">
              <w:rPr>
                <w:sz w:val="22"/>
                <w:szCs w:val="22"/>
                <w:lang w:val="nl-BE" w:eastAsia="nl-BE"/>
              </w:rPr>
              <w:t xml:space="preserve"> ziekte</w:t>
            </w:r>
          </w:p>
        </w:tc>
        <w:tc>
          <w:tcPr>
            <w:tcW w:w="621" w:type="dxa"/>
            <w:tcBorders>
              <w:top w:val="nil"/>
              <w:left w:val="single" w:sz="4" w:space="0" w:color="000000"/>
              <w:bottom w:val="nil"/>
              <w:right w:val="nil"/>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669</w:t>
            </w:r>
          </w:p>
        </w:tc>
        <w:tc>
          <w:tcPr>
            <w:tcW w:w="621" w:type="dxa"/>
            <w:tcBorders>
              <w:top w:val="nil"/>
              <w:left w:val="single" w:sz="4" w:space="0" w:color="auto"/>
              <w:bottom w:val="nil"/>
              <w:right w:val="single" w:sz="4" w:space="0" w:color="auto"/>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713</w:t>
            </w:r>
          </w:p>
        </w:tc>
      </w:tr>
      <w:tr w:rsidR="000A0CD6" w:rsidRPr="00DE3D62" w:rsidTr="00FA0BD4">
        <w:trPr>
          <w:trHeight w:val="300"/>
          <w:jc w:val="center"/>
        </w:trPr>
        <w:tc>
          <w:tcPr>
            <w:tcW w:w="1546"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 </w:t>
            </w:r>
          </w:p>
        </w:tc>
        <w:tc>
          <w:tcPr>
            <w:tcW w:w="4372"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Wegens orde en tucht</w:t>
            </w:r>
          </w:p>
        </w:tc>
        <w:tc>
          <w:tcPr>
            <w:tcW w:w="621" w:type="dxa"/>
            <w:tcBorders>
              <w:top w:val="nil"/>
              <w:left w:val="single" w:sz="4" w:space="0" w:color="000000"/>
              <w:bottom w:val="nil"/>
              <w:right w:val="nil"/>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358</w:t>
            </w:r>
          </w:p>
        </w:tc>
        <w:tc>
          <w:tcPr>
            <w:tcW w:w="621" w:type="dxa"/>
            <w:tcBorders>
              <w:top w:val="nil"/>
              <w:left w:val="single" w:sz="4" w:space="0" w:color="auto"/>
              <w:bottom w:val="nil"/>
              <w:right w:val="single" w:sz="4" w:space="0" w:color="auto"/>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379</w:t>
            </w:r>
          </w:p>
        </w:tc>
      </w:tr>
      <w:tr w:rsidR="000A0CD6" w:rsidRPr="00DE3D62" w:rsidTr="00FA0BD4">
        <w:trPr>
          <w:trHeight w:val="300"/>
          <w:jc w:val="center"/>
        </w:trPr>
        <w:tc>
          <w:tcPr>
            <w:tcW w:w="1546"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 </w:t>
            </w:r>
          </w:p>
        </w:tc>
        <w:tc>
          <w:tcPr>
            <w:tcW w:w="4372" w:type="dxa"/>
            <w:tcBorders>
              <w:top w:val="nil"/>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Wegens mutatie naar een ander opleidingscentrum</w:t>
            </w:r>
          </w:p>
        </w:tc>
        <w:tc>
          <w:tcPr>
            <w:tcW w:w="621" w:type="dxa"/>
            <w:tcBorders>
              <w:top w:val="nil"/>
              <w:left w:val="single" w:sz="4" w:space="0" w:color="000000"/>
              <w:bottom w:val="nil"/>
              <w:right w:val="nil"/>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352</w:t>
            </w:r>
          </w:p>
        </w:tc>
        <w:tc>
          <w:tcPr>
            <w:tcW w:w="621" w:type="dxa"/>
            <w:tcBorders>
              <w:top w:val="nil"/>
              <w:left w:val="single" w:sz="4" w:space="0" w:color="auto"/>
              <w:bottom w:val="nil"/>
              <w:right w:val="single" w:sz="4" w:space="0" w:color="auto"/>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354</w:t>
            </w:r>
          </w:p>
        </w:tc>
      </w:tr>
      <w:tr w:rsidR="000A0CD6" w:rsidRPr="00DE3D62" w:rsidTr="00FA0BD4">
        <w:trPr>
          <w:trHeight w:val="300"/>
          <w:jc w:val="center"/>
        </w:trPr>
        <w:tc>
          <w:tcPr>
            <w:tcW w:w="1546" w:type="dxa"/>
            <w:tcBorders>
              <w:top w:val="single" w:sz="4" w:space="0" w:color="000000"/>
              <w:left w:val="single" w:sz="4" w:space="0" w:color="000000"/>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Totaal Stopgezet</w:t>
            </w:r>
          </w:p>
        </w:tc>
        <w:tc>
          <w:tcPr>
            <w:tcW w:w="4372" w:type="dxa"/>
            <w:tcBorders>
              <w:top w:val="single" w:sz="4" w:space="0" w:color="000000"/>
              <w:left w:val="nil"/>
              <w:bottom w:val="nil"/>
              <w:right w:val="nil"/>
            </w:tcBorders>
            <w:noWrap/>
            <w:vAlign w:val="bottom"/>
            <w:hideMark/>
          </w:tcPr>
          <w:p w:rsidR="000A0CD6" w:rsidRPr="00DE3D62" w:rsidRDefault="000A0CD6" w:rsidP="00FA0BD4">
            <w:pPr>
              <w:spacing w:line="276" w:lineRule="auto"/>
              <w:rPr>
                <w:sz w:val="22"/>
                <w:szCs w:val="22"/>
                <w:lang w:val="nl-BE" w:eastAsia="nl-BE"/>
              </w:rPr>
            </w:pPr>
            <w:r w:rsidRPr="00DE3D62">
              <w:rPr>
                <w:sz w:val="22"/>
                <w:szCs w:val="22"/>
                <w:lang w:val="nl-BE" w:eastAsia="nl-BE"/>
              </w:rPr>
              <w:t> </w:t>
            </w:r>
          </w:p>
        </w:tc>
        <w:tc>
          <w:tcPr>
            <w:tcW w:w="621" w:type="dxa"/>
            <w:tcBorders>
              <w:top w:val="single" w:sz="4" w:space="0" w:color="000000"/>
              <w:left w:val="single" w:sz="4" w:space="0" w:color="000000"/>
              <w:bottom w:val="nil"/>
              <w:right w:val="nil"/>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4.632</w:t>
            </w:r>
          </w:p>
        </w:tc>
        <w:tc>
          <w:tcPr>
            <w:tcW w:w="621" w:type="dxa"/>
            <w:tcBorders>
              <w:top w:val="single" w:sz="4" w:space="0" w:color="000000"/>
              <w:left w:val="single" w:sz="4" w:space="0" w:color="auto"/>
              <w:bottom w:val="nil"/>
              <w:right w:val="single" w:sz="4" w:space="0" w:color="auto"/>
            </w:tcBorders>
            <w:noWrap/>
            <w:vAlign w:val="bottom"/>
            <w:hideMark/>
          </w:tcPr>
          <w:p w:rsidR="000A0CD6" w:rsidRPr="00DE3D62" w:rsidRDefault="000A0CD6" w:rsidP="00FA0BD4">
            <w:pPr>
              <w:spacing w:line="276" w:lineRule="auto"/>
              <w:jc w:val="right"/>
              <w:rPr>
                <w:sz w:val="22"/>
                <w:szCs w:val="22"/>
                <w:lang w:val="nl-BE" w:eastAsia="nl-BE"/>
              </w:rPr>
            </w:pPr>
            <w:r w:rsidRPr="00DE3D62">
              <w:rPr>
                <w:sz w:val="22"/>
                <w:szCs w:val="22"/>
                <w:lang w:val="nl-BE" w:eastAsia="nl-BE"/>
              </w:rPr>
              <w:t>4.348</w:t>
            </w:r>
          </w:p>
        </w:tc>
      </w:tr>
      <w:tr w:rsidR="000A0CD6" w:rsidRPr="00DE3D62" w:rsidTr="00FA0BD4">
        <w:trPr>
          <w:trHeight w:val="300"/>
          <w:jc w:val="center"/>
        </w:trPr>
        <w:tc>
          <w:tcPr>
            <w:tcW w:w="1546" w:type="dxa"/>
            <w:tcBorders>
              <w:top w:val="single" w:sz="4" w:space="0" w:color="000000"/>
              <w:left w:val="single" w:sz="4" w:space="0" w:color="000000"/>
              <w:bottom w:val="single" w:sz="4" w:space="0" w:color="000000"/>
              <w:right w:val="nil"/>
            </w:tcBorders>
            <w:noWrap/>
            <w:vAlign w:val="bottom"/>
            <w:hideMark/>
          </w:tcPr>
          <w:p w:rsidR="000A0CD6" w:rsidRPr="00DE3D62" w:rsidRDefault="000A0CD6" w:rsidP="00FA0BD4">
            <w:pPr>
              <w:spacing w:line="276" w:lineRule="auto"/>
              <w:rPr>
                <w:b/>
                <w:bCs/>
                <w:sz w:val="22"/>
                <w:szCs w:val="22"/>
                <w:lang w:val="nl-BE" w:eastAsia="nl-BE"/>
              </w:rPr>
            </w:pPr>
            <w:r w:rsidRPr="00DE3D62">
              <w:rPr>
                <w:b/>
                <w:bCs/>
                <w:sz w:val="22"/>
                <w:szCs w:val="22"/>
                <w:lang w:val="nl-BE" w:eastAsia="nl-BE"/>
              </w:rPr>
              <w:t>Eindtotaal</w:t>
            </w:r>
          </w:p>
        </w:tc>
        <w:tc>
          <w:tcPr>
            <w:tcW w:w="4372" w:type="dxa"/>
            <w:tcBorders>
              <w:top w:val="single" w:sz="4" w:space="0" w:color="000000"/>
              <w:left w:val="nil"/>
              <w:bottom w:val="single" w:sz="4" w:space="0" w:color="000000"/>
              <w:right w:val="nil"/>
            </w:tcBorders>
            <w:noWrap/>
            <w:vAlign w:val="bottom"/>
            <w:hideMark/>
          </w:tcPr>
          <w:p w:rsidR="000A0CD6" w:rsidRPr="00DE3D62" w:rsidRDefault="000A0CD6" w:rsidP="00FA0BD4">
            <w:pPr>
              <w:spacing w:line="276" w:lineRule="auto"/>
              <w:rPr>
                <w:b/>
                <w:bCs/>
                <w:sz w:val="22"/>
                <w:szCs w:val="22"/>
                <w:lang w:val="nl-BE" w:eastAsia="nl-BE"/>
              </w:rPr>
            </w:pPr>
            <w:r w:rsidRPr="00DE3D62">
              <w:rPr>
                <w:b/>
                <w:bCs/>
                <w:sz w:val="22"/>
                <w:szCs w:val="22"/>
                <w:lang w:val="nl-BE" w:eastAsia="nl-BE"/>
              </w:rPr>
              <w:t> </w:t>
            </w:r>
          </w:p>
        </w:tc>
        <w:tc>
          <w:tcPr>
            <w:tcW w:w="621" w:type="dxa"/>
            <w:tcBorders>
              <w:top w:val="single" w:sz="4" w:space="0" w:color="000000"/>
              <w:left w:val="single" w:sz="4" w:space="0" w:color="000000"/>
              <w:bottom w:val="single" w:sz="4" w:space="0" w:color="000000"/>
              <w:right w:val="nil"/>
            </w:tcBorders>
            <w:noWrap/>
            <w:vAlign w:val="bottom"/>
            <w:hideMark/>
          </w:tcPr>
          <w:p w:rsidR="000A0CD6" w:rsidRPr="00DE3D62" w:rsidRDefault="000A0CD6" w:rsidP="00FA0BD4">
            <w:pPr>
              <w:spacing w:line="276" w:lineRule="auto"/>
              <w:jc w:val="right"/>
              <w:rPr>
                <w:b/>
                <w:bCs/>
                <w:sz w:val="22"/>
                <w:szCs w:val="22"/>
                <w:lang w:val="nl-BE" w:eastAsia="nl-BE"/>
              </w:rPr>
            </w:pPr>
            <w:r w:rsidRPr="00DE3D62">
              <w:rPr>
                <w:b/>
                <w:bCs/>
                <w:sz w:val="22"/>
                <w:szCs w:val="22"/>
                <w:lang w:val="nl-BE" w:eastAsia="nl-BE"/>
              </w:rPr>
              <w:t>25.672</w:t>
            </w:r>
          </w:p>
        </w:tc>
        <w:tc>
          <w:tcPr>
            <w:tcW w:w="621" w:type="dxa"/>
            <w:tcBorders>
              <w:top w:val="single" w:sz="4" w:space="0" w:color="000000"/>
              <w:left w:val="single" w:sz="4" w:space="0" w:color="auto"/>
              <w:bottom w:val="single" w:sz="4" w:space="0" w:color="auto"/>
              <w:right w:val="single" w:sz="4" w:space="0" w:color="auto"/>
            </w:tcBorders>
            <w:noWrap/>
            <w:vAlign w:val="bottom"/>
            <w:hideMark/>
          </w:tcPr>
          <w:p w:rsidR="000A0CD6" w:rsidRPr="00DE3D62" w:rsidRDefault="000A0CD6" w:rsidP="00FA0BD4">
            <w:pPr>
              <w:spacing w:line="276" w:lineRule="auto"/>
              <w:jc w:val="right"/>
              <w:rPr>
                <w:b/>
                <w:bCs/>
                <w:sz w:val="22"/>
                <w:szCs w:val="22"/>
                <w:lang w:val="nl-BE" w:eastAsia="nl-BE"/>
              </w:rPr>
            </w:pPr>
            <w:r w:rsidRPr="00DE3D62">
              <w:rPr>
                <w:b/>
                <w:bCs/>
                <w:sz w:val="22"/>
                <w:szCs w:val="22"/>
                <w:lang w:val="nl-BE" w:eastAsia="nl-BE"/>
              </w:rPr>
              <w:t>26.250</w:t>
            </w:r>
          </w:p>
        </w:tc>
      </w:tr>
    </w:tbl>
    <w:p w:rsidR="000A0CD6" w:rsidRPr="00DE3D62" w:rsidRDefault="000A0CD6" w:rsidP="000A0CD6">
      <w:pPr>
        <w:pStyle w:val="StandaardSV"/>
        <w:ind w:left="360"/>
        <w:rPr>
          <w:szCs w:val="22"/>
          <w:lang w:val="nl-BE"/>
        </w:rPr>
      </w:pPr>
    </w:p>
    <w:p w:rsidR="000A0CD6" w:rsidRPr="00DE3D62" w:rsidRDefault="000A0CD6" w:rsidP="000A0CD6">
      <w:pPr>
        <w:pStyle w:val="StandaardSV"/>
        <w:rPr>
          <w:szCs w:val="22"/>
        </w:rPr>
      </w:pPr>
    </w:p>
    <w:p w:rsidR="000A0CD6" w:rsidRPr="00DE3D62" w:rsidRDefault="000A0CD6" w:rsidP="000A0CD6">
      <w:pPr>
        <w:pStyle w:val="StandaardSV"/>
        <w:numPr>
          <w:ilvl w:val="0"/>
          <w:numId w:val="16"/>
        </w:numPr>
        <w:rPr>
          <w:szCs w:val="22"/>
        </w:rPr>
      </w:pPr>
      <w:r w:rsidRPr="00DE3D62">
        <w:rPr>
          <w:szCs w:val="22"/>
          <w:lang w:val="nl-BE"/>
        </w:rPr>
        <w:t>In bijlage 2 vindt u het aantal knelpuntopleidingen die in 2011 en 2012 door werkzoekenden positief beëindigd werden, achtereenvolgens opgesplitst per provincie, geslacht en opleidingssector.</w:t>
      </w:r>
    </w:p>
    <w:p w:rsidR="000A0CD6" w:rsidRPr="00DE3D62" w:rsidRDefault="000A0CD6" w:rsidP="000A0CD6">
      <w:pPr>
        <w:pStyle w:val="StandaardSV"/>
        <w:ind w:left="720"/>
        <w:rPr>
          <w:szCs w:val="22"/>
        </w:rPr>
      </w:pPr>
    </w:p>
    <w:p w:rsidR="000A0CD6" w:rsidRPr="00DE3D62" w:rsidRDefault="000A0CD6" w:rsidP="000A0CD6">
      <w:pPr>
        <w:pStyle w:val="StandaardSV"/>
        <w:numPr>
          <w:ilvl w:val="0"/>
          <w:numId w:val="16"/>
        </w:numPr>
        <w:rPr>
          <w:szCs w:val="22"/>
        </w:rPr>
      </w:pPr>
      <w:r w:rsidRPr="00DE3D62">
        <w:rPr>
          <w:szCs w:val="22"/>
        </w:rPr>
        <w:t xml:space="preserve">De tewerkstelling van de cursist is de belangrijkste reden waarom een knelpuntopleiding wordt stopgezet. In 2011 was tewerkstelling goed voor een derde van alle stopzettingen, in 2012 viel dit terug tot een vierde. Dit  komt overeen met respectievelijk 5,9% en 4,2% van alle beëindigde knelpuntopleidingen. 16,2% van de stopzettingen in 2011 en 18,2% in 2012 vond plaats omdat de cursist tijdens de knelpuntopleiding toch niet geschikt bleek. Dit komt overeen met respectievelijk 2,9% en 3,0% van het totaal aantal beëindigde knelpuntopleidingen in deze periode. Langdurige ziekte van de cursist is de derde belangrijkste reden om een knelpuntopleiding stop te zetten, als door de langdurige afwezigheid de </w:t>
      </w:r>
      <w:proofErr w:type="spellStart"/>
      <w:r w:rsidRPr="00DE3D62">
        <w:rPr>
          <w:szCs w:val="22"/>
        </w:rPr>
        <w:t>reïntegratie</w:t>
      </w:r>
      <w:proofErr w:type="spellEnd"/>
      <w:r w:rsidRPr="00DE3D62">
        <w:rPr>
          <w:szCs w:val="22"/>
        </w:rPr>
        <w:t xml:space="preserve"> van de cursist in de opleiding niet meer mogelijk is. In 2011 was dit de oorzaak voor 14,4% van de stopzettingen. In 2012 steeg dit tot 16,4% van de stopzettingen. Ten opzichte van alle beëindigde knelpuntopleidingen werd in 2011 en 2012 respectievelijk 2,6% en 2,7% om deze reden stopgezet. </w:t>
      </w:r>
      <w:r w:rsidRPr="00DE3D62">
        <w:rPr>
          <w:szCs w:val="22"/>
          <w:lang w:val="nl-BE"/>
        </w:rPr>
        <w:t>Cursisten die vroegtijdig afhaken en/of niet slagen in hun opleiding worden steeds doorverwezen naar hun trajectbegeleider voor verdere begeleiding in hun traject naar werk.</w:t>
      </w:r>
    </w:p>
    <w:p w:rsidR="000A0CD6" w:rsidRPr="00DE3D62" w:rsidRDefault="000A0CD6" w:rsidP="000A0CD6">
      <w:pPr>
        <w:pStyle w:val="StandaardSV"/>
        <w:rPr>
          <w:szCs w:val="22"/>
        </w:rPr>
      </w:pPr>
    </w:p>
    <w:p w:rsidR="000A0CD6" w:rsidRPr="00DE3D62" w:rsidRDefault="000A0CD6" w:rsidP="000A0CD6">
      <w:pPr>
        <w:pStyle w:val="StandaardSV"/>
        <w:numPr>
          <w:ilvl w:val="0"/>
          <w:numId w:val="14"/>
        </w:numPr>
        <w:rPr>
          <w:szCs w:val="22"/>
        </w:rPr>
      </w:pPr>
      <w:r w:rsidRPr="00DE3D62">
        <w:rPr>
          <w:szCs w:val="22"/>
          <w:lang w:val="nl-BE"/>
        </w:rPr>
        <w:t xml:space="preserve">Aangezien een werkzoekende meerdere opleidingen kan volgen, wordt de uitstroom naar werk 6 maanden na het einde van het opleidingstraject (= opeenvolging van opleidingen die door één cursist gevolgd worden en die niet onderbroken wordt door een periode van meer dan 6 maanden) gemeten, waarbij de cijfers worden gecumuleerd over 12 kalendermaanden (januari – december). Dit betekent concreet dat de meting de opleidingstrajecten bevat waarvan de laatste opleiding tussen de 18 en 6 maanden voor het meetpunt (eind december) beëindigd werd. </w:t>
      </w:r>
    </w:p>
    <w:p w:rsidR="000A0CD6" w:rsidRPr="00DE3D62" w:rsidRDefault="000A0CD6" w:rsidP="000A0CD6">
      <w:pPr>
        <w:pStyle w:val="StandaardSV"/>
        <w:rPr>
          <w:szCs w:val="22"/>
          <w:lang w:val="nl-BE"/>
        </w:rPr>
      </w:pPr>
    </w:p>
    <w:p w:rsidR="000A0CD6" w:rsidRPr="00DE3D62" w:rsidRDefault="000A0CD6" w:rsidP="000A0CD6">
      <w:pPr>
        <w:pStyle w:val="StandaardSV"/>
        <w:ind w:left="360"/>
        <w:rPr>
          <w:szCs w:val="22"/>
        </w:rPr>
      </w:pPr>
      <w:r w:rsidRPr="00DE3D62">
        <w:rPr>
          <w:szCs w:val="22"/>
          <w:lang w:val="nl-BE"/>
        </w:rPr>
        <w:t>De uitstroom naar werk na een knelpuntopleiding wordt gemeten op de opleidingstrajecten waarvan de hoofdopleiding naar een knelpuntberoep leidt.</w:t>
      </w:r>
      <w:r w:rsidRPr="00DE3D62">
        <w:rPr>
          <w:szCs w:val="22"/>
        </w:rPr>
        <w:t xml:space="preserve"> </w:t>
      </w:r>
      <w:r w:rsidRPr="00DE3D62">
        <w:rPr>
          <w:szCs w:val="22"/>
          <w:lang w:val="nl-BE"/>
        </w:rPr>
        <w:t>In 2011 bedroeg de uitstroom naar werk, na het volgen van een beroepsgericht opleidingstraject met een knelpuntopleiding als hoofdopleiding, 72,0%. In 2012 viel dit terug tot 68,9%.</w:t>
      </w:r>
    </w:p>
    <w:p w:rsidR="000A0CD6" w:rsidRPr="00DE3D62" w:rsidRDefault="000A0CD6" w:rsidP="000A0CD6">
      <w:pPr>
        <w:pStyle w:val="StandaardSV"/>
        <w:rPr>
          <w:szCs w:val="22"/>
        </w:rPr>
      </w:pPr>
    </w:p>
    <w:p w:rsidR="000A0CD6" w:rsidRPr="00DE3D62" w:rsidRDefault="000A0CD6" w:rsidP="000A0CD6">
      <w:pPr>
        <w:pStyle w:val="StandaardSV"/>
        <w:numPr>
          <w:ilvl w:val="0"/>
          <w:numId w:val="17"/>
        </w:numPr>
        <w:rPr>
          <w:szCs w:val="22"/>
        </w:rPr>
      </w:pPr>
      <w:r w:rsidRPr="00DE3D62">
        <w:rPr>
          <w:szCs w:val="22"/>
        </w:rPr>
        <w:lastRenderedPageBreak/>
        <w:t>In bijlage 3 vindt u de uitstroom naar werk, gemeten 6 maanden na het einde van het knelpuntgericht opleidingstraject, achtereenvolgens opgesplitst per provincie, geslacht en opleidingssector.</w:t>
      </w:r>
    </w:p>
    <w:p w:rsidR="000A0CD6" w:rsidRPr="00DE3D62" w:rsidRDefault="000A0CD6" w:rsidP="000A0CD6">
      <w:pPr>
        <w:pStyle w:val="StandaardSV"/>
        <w:ind w:left="720"/>
        <w:rPr>
          <w:szCs w:val="22"/>
        </w:rPr>
      </w:pPr>
    </w:p>
    <w:p w:rsidR="000A0CD6" w:rsidRPr="00DE3D62" w:rsidRDefault="000A0CD6" w:rsidP="000A0CD6">
      <w:pPr>
        <w:pStyle w:val="StandaardSV"/>
        <w:numPr>
          <w:ilvl w:val="0"/>
          <w:numId w:val="17"/>
        </w:numPr>
        <w:rPr>
          <w:szCs w:val="22"/>
        </w:rPr>
      </w:pPr>
      <w:r w:rsidRPr="00DE3D62">
        <w:rPr>
          <w:szCs w:val="22"/>
        </w:rPr>
        <w:t xml:space="preserve">Ten opzichte van 2011 is de uitstroom naar werk na het volgen van een knelpuntopleiding onder druk van de mindere conjunctuur in 2012 met 3,1 procentpunten gedaald. Deze daling is algemeen en zet zich in alle opleidingssectoren door, behalve in de opleidingssector </w:t>
      </w:r>
      <w:proofErr w:type="spellStart"/>
      <w:r w:rsidRPr="00DE3D62">
        <w:rPr>
          <w:szCs w:val="22"/>
        </w:rPr>
        <w:t>toezichtsfuncties</w:t>
      </w:r>
      <w:proofErr w:type="spellEnd"/>
      <w:r w:rsidRPr="00DE3D62">
        <w:rPr>
          <w:szCs w:val="22"/>
        </w:rPr>
        <w:t xml:space="preserve">: de uitstroom naar werk was voor deze knelpuntopleidingen met 72,8% al hoog in 2011 en steeg in 2012 nog met 1,1 procentpunt tot 73,9%. Enkel knelpuntopleidingen binnen de opleidingssectoren </w:t>
      </w:r>
      <w:proofErr w:type="spellStart"/>
      <w:r w:rsidRPr="00DE3D62">
        <w:rPr>
          <w:szCs w:val="22"/>
        </w:rPr>
        <w:t>social</w:t>
      </w:r>
      <w:proofErr w:type="spellEnd"/>
      <w:r w:rsidRPr="00DE3D62">
        <w:rPr>
          <w:szCs w:val="22"/>
        </w:rPr>
        <w:t xml:space="preserve"> </w:t>
      </w:r>
      <w:proofErr w:type="spellStart"/>
      <w:r w:rsidRPr="00DE3D62">
        <w:rPr>
          <w:szCs w:val="22"/>
        </w:rPr>
        <w:t>profit</w:t>
      </w:r>
      <w:proofErr w:type="spellEnd"/>
      <w:r w:rsidRPr="00DE3D62">
        <w:rPr>
          <w:szCs w:val="22"/>
        </w:rPr>
        <w:t xml:space="preserve"> (79,6%) en hout (74,1%) halen een hoger uitstroompercentage, al is deze ten opzichte van 2011 met respectievelijk 1,4 en 3,3 procentpunten gedaald. Ook de uitstroom naar werk na een knelpuntopleiding binnen de opleidingssectoren grafische technieken (72,7%) en metaal (72,4%) blijft ondanks een daling met respectievelijk 6,0 en 2,5 procentpunten hoger dan 70%. Bij de sterkste dalers vindt men, naast de eerder genoemde grafische technieken, de opleidingssectoren logistiek (-15,7 procentpunten), haven – maritieme – expeditie (-10,8 procentpunten), verkoop (-9,1 procentpunten) en de primaire sector (-7,6 procentpunten). </w:t>
      </w:r>
      <w:r w:rsidR="00EA3A93">
        <w:rPr>
          <w:szCs w:val="22"/>
        </w:rPr>
        <w:t xml:space="preserve">Er is een </w:t>
      </w:r>
      <w:r w:rsidRPr="00DE3D62">
        <w:rPr>
          <w:szCs w:val="22"/>
        </w:rPr>
        <w:t>daling van de opleidingssector logistiek</w:t>
      </w:r>
      <w:r w:rsidR="00EA3A93">
        <w:rPr>
          <w:szCs w:val="22"/>
        </w:rPr>
        <w:t>.</w:t>
      </w:r>
      <w:r w:rsidRPr="00DE3D62">
        <w:rPr>
          <w:szCs w:val="22"/>
        </w:rPr>
        <w:t xml:space="preserve"> </w:t>
      </w:r>
      <w:r w:rsidR="00EA3A93">
        <w:rPr>
          <w:szCs w:val="22"/>
        </w:rPr>
        <w:t>D</w:t>
      </w:r>
      <w:r w:rsidRPr="00DE3D62">
        <w:rPr>
          <w:szCs w:val="22"/>
        </w:rPr>
        <w:t>e uitstroom naar werk</w:t>
      </w:r>
      <w:r w:rsidR="00EA3A93">
        <w:rPr>
          <w:szCs w:val="22"/>
        </w:rPr>
        <w:t xml:space="preserve"> is</w:t>
      </w:r>
      <w:r w:rsidRPr="00DE3D62">
        <w:rPr>
          <w:szCs w:val="22"/>
        </w:rPr>
        <w:t xml:space="preserve"> na een knelpuntopleiding in 2011 70,5% en in 2012 is </w:t>
      </w:r>
      <w:r w:rsidR="00EA3A93">
        <w:rPr>
          <w:szCs w:val="22"/>
        </w:rPr>
        <w:t>dit</w:t>
      </w:r>
      <w:r w:rsidRPr="00DE3D62">
        <w:rPr>
          <w:szCs w:val="22"/>
        </w:rPr>
        <w:t xml:space="preserve"> 54,7%. Knelpuntopleidingen in de logistiek sluiten samen met de opleidingssectoren verkoop (54,1%), voeding (54,6%), horeca (55,8%) en confectie – vormgeving (58,0%) 2012 af met een uitstroom naar werk onder de 60%. In 2011 was dit enkel het geval voor knelpuntopleidingen in de opleidingssector voeding.</w:t>
      </w:r>
    </w:p>
    <w:p w:rsidR="000A0CD6" w:rsidRDefault="000A0CD6" w:rsidP="000A0CD6">
      <w:pPr>
        <w:pStyle w:val="StandaardSV"/>
        <w:ind w:left="720"/>
        <w:rPr>
          <w:szCs w:val="22"/>
          <w:highlight w:val="yellow"/>
        </w:rPr>
      </w:pPr>
    </w:p>
    <w:p w:rsidR="000A0CD6" w:rsidRPr="00DE3D62" w:rsidRDefault="000A0CD6" w:rsidP="000A0CD6">
      <w:pPr>
        <w:pStyle w:val="StandaardSV"/>
        <w:ind w:left="720"/>
        <w:rPr>
          <w:szCs w:val="22"/>
        </w:rPr>
      </w:pPr>
      <w:r w:rsidRPr="00DE3D62">
        <w:rPr>
          <w:szCs w:val="22"/>
        </w:rPr>
        <w:t xml:space="preserve">Bij mannelijke cursisten zien we tussen 2011 en 2012 een terugval van 3,9 procentpunten in de uitstroom naar werk na het volgen van een knelpuntopleiding, die in 2012 67,4% bedraagt en hiermee onder de drempel van 70% zakt. Bij vrouwelijke cursisten blijft deze daling beperkt tot 2,1 procentpunten en blijft de uitstroom naar werk na een knelpuntopleiding met 71,1% hoger dan 70%. De kloof tussen het uitstroomresultaat van mannen en vrouwen bedroeg in 2011 1,9 procentpunten </w:t>
      </w:r>
      <w:r w:rsidR="00A1799D">
        <w:rPr>
          <w:szCs w:val="22"/>
        </w:rPr>
        <w:t>gaat in</w:t>
      </w:r>
      <w:r w:rsidRPr="00DE3D62">
        <w:rPr>
          <w:szCs w:val="22"/>
        </w:rPr>
        <w:t xml:space="preserve"> 2012 </w:t>
      </w:r>
      <w:r w:rsidR="00A1799D">
        <w:rPr>
          <w:szCs w:val="22"/>
        </w:rPr>
        <w:t xml:space="preserve">naar </w:t>
      </w:r>
      <w:r w:rsidRPr="00DE3D62">
        <w:rPr>
          <w:szCs w:val="22"/>
        </w:rPr>
        <w:t>3,8 procentpunten</w:t>
      </w:r>
      <w:r w:rsidR="00A1799D">
        <w:rPr>
          <w:szCs w:val="22"/>
        </w:rPr>
        <w:t xml:space="preserve">. Vrouwen zijn in de uitstroommeting van 2012 vooral vertegenwoordigd in de </w:t>
      </w:r>
      <w:proofErr w:type="spellStart"/>
      <w:r w:rsidR="00A1799D">
        <w:rPr>
          <w:szCs w:val="22"/>
        </w:rPr>
        <w:t>social</w:t>
      </w:r>
      <w:proofErr w:type="spellEnd"/>
      <w:r w:rsidR="00A1799D">
        <w:rPr>
          <w:szCs w:val="22"/>
        </w:rPr>
        <w:t xml:space="preserve"> </w:t>
      </w:r>
      <w:proofErr w:type="spellStart"/>
      <w:r w:rsidR="00A1799D">
        <w:rPr>
          <w:szCs w:val="22"/>
        </w:rPr>
        <w:t>profit</w:t>
      </w:r>
      <w:proofErr w:type="spellEnd"/>
      <w:r w:rsidR="00A1799D">
        <w:rPr>
          <w:szCs w:val="22"/>
        </w:rPr>
        <w:t>:</w:t>
      </w:r>
      <w:r w:rsidRPr="00DE3D62">
        <w:rPr>
          <w:szCs w:val="22"/>
        </w:rPr>
        <w:t xml:space="preserve"> 80,3%. Mannen zijn in de uitstroommeting van 2012 vooral vertegenwoordigd in knelpuntopleidingen van de opleidingssectoren bouw (23,0%), vervoer (14,1%), metaal (12,2%), industriële automatsering (10,9%) en de tertiaire sector (9,3%). De uitstroom naar werk van mannen na een knelpuntopleiding in deze opleidingssectoren varieert in 2012 tussen 66,9% (bouw) en 71,7% (metaal). Terwijl vrouwen in de uitstroommeting van 2012 naast de opleidingssector </w:t>
      </w:r>
      <w:proofErr w:type="spellStart"/>
      <w:r w:rsidRPr="00DE3D62">
        <w:rPr>
          <w:szCs w:val="22"/>
        </w:rPr>
        <w:t>social</w:t>
      </w:r>
      <w:proofErr w:type="spellEnd"/>
      <w:r w:rsidRPr="00DE3D62">
        <w:rPr>
          <w:szCs w:val="22"/>
        </w:rPr>
        <w:t xml:space="preserve"> </w:t>
      </w:r>
      <w:proofErr w:type="spellStart"/>
      <w:r w:rsidRPr="00DE3D62">
        <w:rPr>
          <w:szCs w:val="22"/>
        </w:rPr>
        <w:t>profit</w:t>
      </w:r>
      <w:proofErr w:type="spellEnd"/>
      <w:r w:rsidRPr="00DE3D62">
        <w:rPr>
          <w:szCs w:val="22"/>
        </w:rPr>
        <w:t xml:space="preserve"> vooral aanwezig zijn in knelpuntopleidingen in de schoonmaak (19,5%), de tertiaire sector (7,8%), de verkoop (6,4%) en de horeca (6,2%). Binnen deze opleidingssectoren stroomden vrouwen in 2012 het best uit naar werk na een knelpuntopleiding in de schoonmaak (65,4%). </w:t>
      </w:r>
    </w:p>
    <w:p w:rsidR="000A0CD6" w:rsidRPr="00DE3D62" w:rsidRDefault="000A0CD6" w:rsidP="000A0CD6">
      <w:pPr>
        <w:pStyle w:val="Lijstalinea"/>
        <w:rPr>
          <w:rFonts w:ascii="Times New Roman" w:hAnsi="Times New Roman"/>
          <w:highlight w:val="yellow"/>
        </w:rPr>
      </w:pPr>
    </w:p>
    <w:p w:rsidR="000A0CD6" w:rsidRPr="00DE3D62" w:rsidRDefault="000A0CD6" w:rsidP="000A0CD6">
      <w:pPr>
        <w:pStyle w:val="StandaardSV"/>
        <w:numPr>
          <w:ilvl w:val="0"/>
          <w:numId w:val="17"/>
        </w:numPr>
        <w:rPr>
          <w:szCs w:val="22"/>
        </w:rPr>
      </w:pPr>
      <w:r w:rsidRPr="00DE3D62">
        <w:rPr>
          <w:szCs w:val="22"/>
          <w:lang w:val="nl-BE"/>
        </w:rPr>
        <w:t xml:space="preserve">In 2011 lag de uitstroom naar werk na een knelpuntopleiding in alle provincies boven de 70%, behalve in Brussel waar deze slechts 60,8% bereikte. De uitstroom naar werk na een knelpuntopleiding steeg in Brussel wel met 2,7 procentpunten in 2012. Met deze inhaalbeweging is Brussel de enige waar de uitstroom in 2012 gestegen is ten opzichte van 2011, al blijft er nog een kloof met de andere provincies. De lagere uitstroomcijfers voor Brussel kunnen verklaard worden vanwege het feit dat zij naast Vlaamse ook een groot aantal Brusselse werkzoekenden opleiden. VDAB beschikt echter niet altijd over de reële tewerkstellingsresultaten van deze groep Brusselse werkzoekenden, aangezien zij meestal slechts kortstondig bij VDAB ingeschreven blijven. Bovendien is VDAB slechts ten dele betrokken bij de toeleiding naar werk na opleiding, daar zij wat de Brusselse werkzoekenden betreft deze verantwoordelijkheid met Actiris deelt. </w:t>
      </w:r>
      <w:r w:rsidRPr="00DE3D62">
        <w:rPr>
          <w:szCs w:val="22"/>
        </w:rPr>
        <w:t>De grootste daling van de uitstroom wordt opgetekend in de provincies Limburg (-6,1 procentpunten) en Antwerpen (-4,5 procentpunten). Hiermee komt de uitstroom naar werk na een knelpuntopleiding in beide provincies op respectievelijk 67,5% en 66,3% te liggen. In de provincies Vlaams-Brabant, Oost- en West-Vlaanderen treedt er evenzeer een daling op, maar blijft de uitstroom naar werk na een knelpuntopleiding wel nog hoger dan 70%.</w:t>
      </w:r>
    </w:p>
    <w:p w:rsidR="000A0CD6" w:rsidRPr="00DE3D62" w:rsidRDefault="000A0CD6" w:rsidP="000A0CD6">
      <w:pPr>
        <w:pStyle w:val="StandaardSV"/>
        <w:rPr>
          <w:szCs w:val="22"/>
        </w:rPr>
      </w:pPr>
    </w:p>
    <w:p w:rsidR="000A0CD6" w:rsidRPr="00DE3D62" w:rsidRDefault="000A0CD6" w:rsidP="000A0CD6">
      <w:pPr>
        <w:pStyle w:val="StandaardSV"/>
        <w:numPr>
          <w:ilvl w:val="0"/>
          <w:numId w:val="14"/>
        </w:numPr>
        <w:rPr>
          <w:szCs w:val="22"/>
        </w:rPr>
      </w:pPr>
      <w:r w:rsidRPr="00DE3D62">
        <w:rPr>
          <w:szCs w:val="22"/>
          <w:lang w:val="nl-BE"/>
        </w:rPr>
        <w:t xml:space="preserve">Elke werkzoekende die een opleiding wenst te volgen, kan hiervoor een aanvraag indienen. De VDAB gaat vervolgens na of de opleidingskeuze van de werkzoekende past in diens traject naar werk en of de keuze voor het beroep (en de opleiding) realistisch en haalbaar is. Dit gebeurt tijdens het diagnosetraject, waarbij afgetoetst wordt in welke mate de werkzoekende voldoet aan de instapvoorwaarden. Op dit </w:t>
      </w:r>
      <w:r w:rsidRPr="00DE3D62">
        <w:rPr>
          <w:szCs w:val="22"/>
          <w:lang w:val="nl-BE"/>
        </w:rPr>
        <w:lastRenderedPageBreak/>
        <w:t>moment is de werkzoekende nog niet in wachttijd. Uiteraard dient VDAB de diagnose zo snel mogelijk te stellen. Een kandidaat is in wachttijd vanaf het moment dat het diagnosetraject met een positief advies werd afgerond.</w:t>
      </w:r>
    </w:p>
    <w:p w:rsidR="000A0CD6" w:rsidRPr="00DE3D62" w:rsidRDefault="000A0CD6" w:rsidP="000A0CD6">
      <w:pPr>
        <w:pStyle w:val="Bloktekst"/>
        <w:ind w:left="360"/>
        <w:jc w:val="both"/>
        <w:rPr>
          <w:sz w:val="22"/>
          <w:szCs w:val="22"/>
          <w:lang w:val="nl-BE"/>
        </w:rPr>
      </w:pPr>
    </w:p>
    <w:p w:rsidR="000A0CD6" w:rsidRPr="00DE3D62" w:rsidRDefault="000A0CD6" w:rsidP="000A0CD6">
      <w:pPr>
        <w:pStyle w:val="StandaardSV"/>
        <w:ind w:left="360"/>
        <w:rPr>
          <w:szCs w:val="22"/>
          <w:u w:val="single"/>
        </w:rPr>
      </w:pPr>
      <w:r w:rsidRPr="00DE3D62">
        <w:rPr>
          <w:szCs w:val="22"/>
          <w:lang w:val="nl-BE"/>
        </w:rPr>
        <w:t xml:space="preserve">Om </w:t>
      </w:r>
      <w:r w:rsidRPr="00DE3D62">
        <w:rPr>
          <w:szCs w:val="22"/>
        </w:rPr>
        <w:t xml:space="preserve">een accuraat beeld van de wachttijden te </w:t>
      </w:r>
      <w:r w:rsidRPr="00DE3D62">
        <w:rPr>
          <w:szCs w:val="22"/>
          <w:lang w:val="nl-BE"/>
        </w:rPr>
        <w:t xml:space="preserve">geven </w:t>
      </w:r>
      <w:r w:rsidRPr="00DE3D62">
        <w:rPr>
          <w:szCs w:val="22"/>
        </w:rPr>
        <w:t xml:space="preserve">, hanteert </w:t>
      </w:r>
      <w:r w:rsidRPr="00DE3D62">
        <w:rPr>
          <w:szCs w:val="22"/>
          <w:lang w:val="nl-BE"/>
        </w:rPr>
        <w:t xml:space="preserve">VDAB </w:t>
      </w:r>
      <w:r w:rsidRPr="00DE3D62">
        <w:rPr>
          <w:i/>
          <w:szCs w:val="22"/>
          <w:lang w:val="nl-BE"/>
        </w:rPr>
        <w:t>de mediaan van de wachttijd</w:t>
      </w:r>
      <w:r w:rsidRPr="00DE3D62">
        <w:rPr>
          <w:szCs w:val="22"/>
          <w:lang w:val="nl-BE"/>
        </w:rPr>
        <w:t>. De mediaan wordt enkel berekend op de kandidaten die effectief staan te wachten voor opname in opleiding. Eind december 2012 bedraagt d</w:t>
      </w:r>
      <w:r w:rsidRPr="00DE3D62">
        <w:rPr>
          <w:szCs w:val="22"/>
        </w:rPr>
        <w:t xml:space="preserve">e mediaan van de wachttijd voor knelpuntopleidingen 8 dagen. Dit betekent dus dat 50% van de cursisten binnen de </w:t>
      </w:r>
      <w:r w:rsidRPr="00DE3D62">
        <w:rPr>
          <w:i/>
          <w:szCs w:val="22"/>
        </w:rPr>
        <w:t>8 dagen</w:t>
      </w:r>
      <w:r w:rsidRPr="00DE3D62">
        <w:rPr>
          <w:szCs w:val="22"/>
        </w:rPr>
        <w:t xml:space="preserve"> na einde diagnosetraject (= positief advies voor opname in de opleiding) met de knelpuntopleiding zijn gestart. Eind december 2011 bedroeg de mediaan van de wachttijd voor knelpuntopleidingen nog 9 dagen.</w:t>
      </w:r>
    </w:p>
    <w:p w:rsidR="000A0CD6" w:rsidRPr="00DE3D62" w:rsidRDefault="000A0CD6" w:rsidP="000A0CD6">
      <w:pPr>
        <w:pStyle w:val="StandaardSV"/>
        <w:rPr>
          <w:szCs w:val="22"/>
        </w:rPr>
      </w:pPr>
    </w:p>
    <w:p w:rsidR="000A0CD6" w:rsidRPr="00DE3D62" w:rsidRDefault="000A0CD6" w:rsidP="000A0CD6">
      <w:pPr>
        <w:pStyle w:val="StandaardSV"/>
        <w:numPr>
          <w:ilvl w:val="0"/>
          <w:numId w:val="18"/>
        </w:numPr>
        <w:rPr>
          <w:szCs w:val="22"/>
        </w:rPr>
      </w:pPr>
      <w:r w:rsidRPr="00DE3D62">
        <w:rPr>
          <w:szCs w:val="22"/>
        </w:rPr>
        <w:t>In bijlage 4 vindt u een overzicht van de mediaan van de wachttijd per provincie en per opleidingssector. De mediaan van de wachttijd per geslacht van de cursisten is niet voorhanden.</w:t>
      </w:r>
    </w:p>
    <w:p w:rsidR="000A0CD6" w:rsidRPr="00DE3D62" w:rsidRDefault="000A0CD6" w:rsidP="000A0CD6">
      <w:pPr>
        <w:pStyle w:val="StandaardSV"/>
        <w:ind w:left="720"/>
        <w:rPr>
          <w:szCs w:val="22"/>
        </w:rPr>
      </w:pPr>
    </w:p>
    <w:p w:rsidR="000A0CD6" w:rsidRPr="00DE3D62" w:rsidRDefault="000A0CD6" w:rsidP="000A0CD6">
      <w:pPr>
        <w:pStyle w:val="StandaardSV"/>
        <w:numPr>
          <w:ilvl w:val="0"/>
          <w:numId w:val="18"/>
        </w:numPr>
        <w:rPr>
          <w:szCs w:val="22"/>
        </w:rPr>
      </w:pPr>
      <w:r w:rsidRPr="00DE3D62">
        <w:rPr>
          <w:szCs w:val="22"/>
        </w:rPr>
        <w:t xml:space="preserve">De mediaan van de wachttijd is voor knelpuntopleidingen tussen december 2011 en december 2012 van 9 naar 8 dagen gedaald en is hiermee lager dan de mediaan van de wachttijd voor alle opleidingen. De mediaan van de wachttijd voor het volledig opleidingsaanbod bedroeg in deze periode respectievelijk 17 en 13 dagen. Deze daling heeft zich in alle provincies doorgezet, behalve in Oost-Vlaanderen waar de mediaan van de wachttijd voor knelpuntopleidingen licht gestegen is van 8 naar 10 dagen. Eind december 2012 is de mediaan met 7 dagen het laagst in Antwerpen en West-Vlaanderen, in Oost-Vlaanderen met 10 dagen het hoogst. Beschouwd per opleidingssector is de mediaan eind december 2012 het hoogst voor de opleidingssectoren </w:t>
      </w:r>
      <w:proofErr w:type="spellStart"/>
      <w:r w:rsidRPr="00DE3D62">
        <w:rPr>
          <w:szCs w:val="22"/>
        </w:rPr>
        <w:t>toezichtsfuncties</w:t>
      </w:r>
      <w:proofErr w:type="spellEnd"/>
      <w:r w:rsidRPr="00DE3D62">
        <w:rPr>
          <w:szCs w:val="22"/>
        </w:rPr>
        <w:t xml:space="preserve">, logistiek, elektriciteit en toerisme: hier bedraagt ze 30 dagen of meer. Toch is er een gunstige evolutie bij de opleidingen elektriciteit en toerisme, waar de mediaan van de wachttijd - die eind december 2011 nog meer dan 40 dagen bedroeg - met een derde is afgenomen. In de opleidingssectoren </w:t>
      </w:r>
      <w:proofErr w:type="spellStart"/>
      <w:r w:rsidRPr="00DE3D62">
        <w:rPr>
          <w:szCs w:val="22"/>
        </w:rPr>
        <w:t>toezichtsfuncties</w:t>
      </w:r>
      <w:proofErr w:type="spellEnd"/>
      <w:r w:rsidRPr="00DE3D62">
        <w:rPr>
          <w:szCs w:val="22"/>
        </w:rPr>
        <w:t xml:space="preserve"> en logistiek is de mediaan in deze periode daarentegen sterk verhoogd. In de primaire sector en  de opleidingssectoren vervoer, verkoop en voeding is de mediaan dan weer sterk gedaald. </w:t>
      </w:r>
    </w:p>
    <w:p w:rsidR="000A0CD6" w:rsidRPr="00DE3D62" w:rsidRDefault="000A0CD6" w:rsidP="000A0CD6">
      <w:pPr>
        <w:pStyle w:val="Bloktekst"/>
        <w:ind w:left="360"/>
        <w:jc w:val="both"/>
        <w:rPr>
          <w:sz w:val="22"/>
          <w:szCs w:val="22"/>
          <w:lang w:val="nl-NL"/>
        </w:rPr>
      </w:pPr>
    </w:p>
    <w:p w:rsidR="000A0CD6" w:rsidRPr="00DE3D62" w:rsidRDefault="000A0CD6" w:rsidP="000A0CD6">
      <w:pPr>
        <w:pStyle w:val="Bloktekst"/>
        <w:ind w:left="360" w:firstLine="348"/>
        <w:jc w:val="both"/>
        <w:rPr>
          <w:sz w:val="22"/>
          <w:szCs w:val="22"/>
          <w:lang w:val="nl-NL"/>
        </w:rPr>
      </w:pPr>
      <w:r w:rsidRPr="00DE3D62">
        <w:rPr>
          <w:sz w:val="22"/>
          <w:szCs w:val="22"/>
          <w:lang w:val="nl-NL"/>
        </w:rPr>
        <w:t>De verschillen tussen de opleidingssectoren hebben te maken met:</w:t>
      </w:r>
    </w:p>
    <w:p w:rsidR="000A0CD6" w:rsidRPr="00DE3D62" w:rsidRDefault="000A0CD6" w:rsidP="000A0CD6">
      <w:pPr>
        <w:pStyle w:val="Bloktekst"/>
        <w:numPr>
          <w:ilvl w:val="0"/>
          <w:numId w:val="19"/>
        </w:numPr>
        <w:jc w:val="both"/>
        <w:rPr>
          <w:sz w:val="22"/>
          <w:szCs w:val="22"/>
          <w:lang w:val="nl-NL"/>
        </w:rPr>
      </w:pPr>
      <w:r w:rsidRPr="00DE3D62">
        <w:rPr>
          <w:sz w:val="22"/>
          <w:szCs w:val="22"/>
          <w:lang w:val="nl-NL"/>
        </w:rPr>
        <w:t xml:space="preserve">verschillen tussen opleidingen met continue opname van cursisten (bijvoorbeeld administratie) of opleidingen </w:t>
      </w:r>
      <w:bookmarkStart w:id="0" w:name="_GoBack"/>
      <w:bookmarkEnd w:id="0"/>
      <w:r w:rsidRPr="00DE3D62">
        <w:rPr>
          <w:sz w:val="22"/>
          <w:szCs w:val="22"/>
          <w:lang w:val="nl-NL"/>
        </w:rPr>
        <w:t>die enkel in groep starten (bijvoorbeeld chauffeur).</w:t>
      </w:r>
    </w:p>
    <w:p w:rsidR="000A0CD6" w:rsidRPr="00DE3D62" w:rsidRDefault="000A0CD6" w:rsidP="000A0CD6">
      <w:pPr>
        <w:pStyle w:val="Bloktekst"/>
        <w:numPr>
          <w:ilvl w:val="0"/>
          <w:numId w:val="19"/>
        </w:numPr>
        <w:jc w:val="both"/>
        <w:rPr>
          <w:sz w:val="22"/>
          <w:szCs w:val="22"/>
          <w:lang w:val="nl-NL"/>
        </w:rPr>
      </w:pPr>
      <w:r w:rsidRPr="00DE3D62">
        <w:rPr>
          <w:sz w:val="22"/>
          <w:szCs w:val="22"/>
          <w:lang w:val="nl-NL"/>
        </w:rPr>
        <w:t>de al of niet aanwezigheid van vaste startmomenten, gelinkt aan contracten met externe partners (bijvoorbeeld scholen).</w:t>
      </w:r>
    </w:p>
    <w:p w:rsidR="000A0CD6" w:rsidRPr="00DE3D62" w:rsidRDefault="000A0CD6" w:rsidP="000A0CD6">
      <w:pPr>
        <w:pStyle w:val="Bloktekst"/>
        <w:numPr>
          <w:ilvl w:val="0"/>
          <w:numId w:val="19"/>
        </w:numPr>
        <w:jc w:val="both"/>
        <w:rPr>
          <w:sz w:val="22"/>
          <w:szCs w:val="22"/>
          <w:lang w:val="nl-NL"/>
        </w:rPr>
      </w:pPr>
      <w:r w:rsidRPr="00DE3D62">
        <w:rPr>
          <w:sz w:val="22"/>
          <w:szCs w:val="22"/>
          <w:lang w:val="nl-NL"/>
        </w:rPr>
        <w:t>de omvang van het aanbod: unieke centra hebben gemiddeld genomen langere wachttijden (bijvoorbeeld HVAC) en zijn onderhevig aan ‘instructeurgebonden’ afwezigheden (bijvoorbeeld ziekte van de instructeur).</w:t>
      </w:r>
    </w:p>
    <w:p w:rsidR="000A0CD6" w:rsidRPr="00DE3D62" w:rsidRDefault="000A0CD6" w:rsidP="000A0CD6">
      <w:pPr>
        <w:pStyle w:val="StandaardSV"/>
        <w:rPr>
          <w:szCs w:val="22"/>
        </w:rPr>
      </w:pPr>
    </w:p>
    <w:p w:rsidR="000A0CD6" w:rsidRPr="00DE3D62" w:rsidRDefault="000A0CD6" w:rsidP="000A0CD6">
      <w:pPr>
        <w:pStyle w:val="Bloktekst"/>
        <w:numPr>
          <w:ilvl w:val="0"/>
          <w:numId w:val="14"/>
        </w:numPr>
        <w:jc w:val="both"/>
        <w:rPr>
          <w:sz w:val="22"/>
          <w:szCs w:val="22"/>
          <w:lang w:val="nl-NL"/>
        </w:rPr>
      </w:pPr>
    </w:p>
    <w:p w:rsidR="000A0CD6" w:rsidRPr="00DE3D62" w:rsidRDefault="000A0CD6" w:rsidP="000A0CD6">
      <w:pPr>
        <w:pStyle w:val="Bloktekst"/>
        <w:numPr>
          <w:ilvl w:val="0"/>
          <w:numId w:val="20"/>
        </w:numPr>
        <w:jc w:val="both"/>
        <w:rPr>
          <w:sz w:val="22"/>
          <w:szCs w:val="22"/>
          <w:lang w:val="nl-NL"/>
        </w:rPr>
      </w:pPr>
      <w:r w:rsidRPr="00DE3D62">
        <w:rPr>
          <w:sz w:val="22"/>
          <w:szCs w:val="22"/>
          <w:lang w:val="nl-NL"/>
        </w:rPr>
        <w:t xml:space="preserve">Jaarlijks op basis van de arbeidsmarktgegevens de opleidingscapaciteit </w:t>
      </w:r>
      <w:proofErr w:type="spellStart"/>
      <w:r w:rsidRPr="00DE3D62">
        <w:rPr>
          <w:sz w:val="22"/>
          <w:szCs w:val="22"/>
          <w:lang w:val="nl-NL"/>
        </w:rPr>
        <w:t>i.f.v</w:t>
      </w:r>
      <w:proofErr w:type="spellEnd"/>
      <w:r w:rsidRPr="00DE3D62">
        <w:rPr>
          <w:sz w:val="22"/>
          <w:szCs w:val="22"/>
          <w:lang w:val="nl-NL"/>
        </w:rPr>
        <w:t xml:space="preserve">. de wachttijden analyseren en met flexibel aanbod in uitbesteding bijsturen waar mogelijk. </w:t>
      </w:r>
    </w:p>
    <w:p w:rsidR="000A0CD6" w:rsidRPr="00DE3D62" w:rsidRDefault="000A0CD6" w:rsidP="000A0CD6">
      <w:pPr>
        <w:pStyle w:val="Bloktekst"/>
        <w:numPr>
          <w:ilvl w:val="0"/>
          <w:numId w:val="20"/>
        </w:numPr>
        <w:jc w:val="both"/>
        <w:rPr>
          <w:sz w:val="22"/>
          <w:szCs w:val="22"/>
          <w:lang w:val="nl-NL"/>
        </w:rPr>
      </w:pPr>
      <w:r w:rsidRPr="00DE3D62">
        <w:rPr>
          <w:sz w:val="22"/>
          <w:szCs w:val="22"/>
          <w:lang w:val="nl-NL"/>
        </w:rPr>
        <w:t>Versterkt inzetten om de opleidingsduurtijden in te korten door de trajecten maximaal uit te breiden met werkplekleren.</w:t>
      </w:r>
    </w:p>
    <w:p w:rsidR="000A0CD6" w:rsidRPr="00DE3D62" w:rsidRDefault="000A0CD6" w:rsidP="000A0CD6">
      <w:pPr>
        <w:pStyle w:val="StandaardSV"/>
        <w:ind w:left="360"/>
        <w:rPr>
          <w:szCs w:val="22"/>
        </w:rPr>
      </w:pPr>
    </w:p>
    <w:p w:rsidR="000A0CD6" w:rsidRPr="00DE3D62" w:rsidRDefault="000A0CD6" w:rsidP="000A0CD6">
      <w:pPr>
        <w:pStyle w:val="StandaardSV"/>
        <w:numPr>
          <w:ilvl w:val="0"/>
          <w:numId w:val="14"/>
        </w:numPr>
        <w:rPr>
          <w:szCs w:val="22"/>
        </w:rPr>
      </w:pPr>
      <w:r w:rsidRPr="00DE3D62">
        <w:rPr>
          <w:szCs w:val="22"/>
        </w:rPr>
        <w:t>Zie punt 6.</w:t>
      </w:r>
    </w:p>
    <w:p w:rsidR="000A0CD6" w:rsidRPr="00DE3D62" w:rsidRDefault="000A0CD6" w:rsidP="000A0CD6">
      <w:pPr>
        <w:pStyle w:val="Lijstalinea"/>
        <w:rPr>
          <w:rFonts w:ascii="Times New Roman" w:hAnsi="Times New Roman"/>
          <w:i/>
        </w:rPr>
      </w:pPr>
    </w:p>
    <w:p w:rsidR="000A0CD6" w:rsidRPr="0071357C" w:rsidRDefault="0071357C" w:rsidP="000A0CD6">
      <w:pPr>
        <w:rPr>
          <w:rFonts w:ascii="Times New Roman Vet" w:hAnsi="Times New Roman Vet"/>
          <w:b/>
          <w:smallCaps/>
          <w:color w:val="FF0000"/>
          <w:sz w:val="22"/>
          <w:szCs w:val="22"/>
          <w:u w:val="single"/>
        </w:rPr>
      </w:pPr>
      <w:r>
        <w:rPr>
          <w:rFonts w:ascii="Times New Roman Vet" w:hAnsi="Times New Roman Vet"/>
          <w:b/>
          <w:smallCaps/>
          <w:color w:val="FF0000"/>
          <w:sz w:val="22"/>
          <w:szCs w:val="22"/>
          <w:u w:val="single"/>
        </w:rPr>
        <w:t>b</w:t>
      </w:r>
      <w:r w:rsidR="000A0CD6" w:rsidRPr="0071357C">
        <w:rPr>
          <w:rFonts w:ascii="Times New Roman Vet" w:hAnsi="Times New Roman Vet"/>
          <w:b/>
          <w:smallCaps/>
          <w:color w:val="FF0000"/>
          <w:sz w:val="22"/>
          <w:szCs w:val="22"/>
          <w:u w:val="single"/>
        </w:rPr>
        <w:t>ijlagen</w:t>
      </w:r>
    </w:p>
    <w:p w:rsidR="0071357C" w:rsidRPr="00DE3D62" w:rsidRDefault="0071357C" w:rsidP="000A0CD6">
      <w:pPr>
        <w:rPr>
          <w:b/>
          <w:sz w:val="22"/>
          <w:szCs w:val="22"/>
          <w:u w:val="single"/>
        </w:rPr>
      </w:pPr>
    </w:p>
    <w:p w:rsidR="000A0CD6" w:rsidRPr="00DE3D62" w:rsidRDefault="000A0CD6" w:rsidP="00524C7E">
      <w:pPr>
        <w:pStyle w:val="Lijstalinea"/>
        <w:numPr>
          <w:ilvl w:val="0"/>
          <w:numId w:val="21"/>
        </w:numPr>
        <w:ind w:left="426" w:hanging="426"/>
        <w:contextualSpacing/>
        <w:rPr>
          <w:rFonts w:ascii="Times New Roman" w:hAnsi="Times New Roman"/>
        </w:rPr>
      </w:pPr>
      <w:r w:rsidRPr="00DE3D62">
        <w:rPr>
          <w:rFonts w:ascii="Times New Roman" w:hAnsi="Times New Roman"/>
        </w:rPr>
        <w:t>Aantal gestarte knelpuntopleidingen</w:t>
      </w:r>
    </w:p>
    <w:p w:rsidR="000A0CD6" w:rsidRPr="00DE3D62" w:rsidRDefault="000A0CD6" w:rsidP="00524C7E">
      <w:pPr>
        <w:pStyle w:val="Lijstalinea"/>
        <w:numPr>
          <w:ilvl w:val="0"/>
          <w:numId w:val="21"/>
        </w:numPr>
        <w:ind w:left="426" w:hanging="426"/>
        <w:contextualSpacing/>
        <w:rPr>
          <w:rFonts w:ascii="Times New Roman" w:hAnsi="Times New Roman"/>
        </w:rPr>
      </w:pPr>
      <w:r w:rsidRPr="00DE3D62">
        <w:rPr>
          <w:rFonts w:ascii="Times New Roman" w:hAnsi="Times New Roman"/>
        </w:rPr>
        <w:t>Aantal positief beëindigde knelpuntopleidingen</w:t>
      </w:r>
    </w:p>
    <w:p w:rsidR="000A0CD6" w:rsidRPr="00DE3D62" w:rsidRDefault="000A0CD6" w:rsidP="00524C7E">
      <w:pPr>
        <w:pStyle w:val="Lijstalinea"/>
        <w:numPr>
          <w:ilvl w:val="0"/>
          <w:numId w:val="21"/>
        </w:numPr>
        <w:ind w:left="426" w:hanging="426"/>
        <w:contextualSpacing/>
        <w:rPr>
          <w:rFonts w:ascii="Times New Roman" w:hAnsi="Times New Roman"/>
        </w:rPr>
      </w:pPr>
      <w:r w:rsidRPr="00DE3D62">
        <w:rPr>
          <w:rFonts w:ascii="Times New Roman" w:hAnsi="Times New Roman"/>
        </w:rPr>
        <w:t>Uitstroom naar werk na een knelpuntopleiding</w:t>
      </w:r>
    </w:p>
    <w:p w:rsidR="000A0CD6" w:rsidRPr="00DE3D62" w:rsidRDefault="000A0CD6" w:rsidP="00524C7E">
      <w:pPr>
        <w:pStyle w:val="Lijstalinea"/>
        <w:numPr>
          <w:ilvl w:val="0"/>
          <w:numId w:val="21"/>
        </w:numPr>
        <w:ind w:left="426" w:hanging="426"/>
        <w:contextualSpacing/>
        <w:rPr>
          <w:rFonts w:ascii="Times New Roman" w:hAnsi="Times New Roman"/>
        </w:rPr>
      </w:pPr>
      <w:r w:rsidRPr="00DE3D62">
        <w:rPr>
          <w:rFonts w:ascii="Times New Roman" w:hAnsi="Times New Roman"/>
        </w:rPr>
        <w:t>Mediaan van de wachttijd voor knelpuntopleidingen</w:t>
      </w:r>
    </w:p>
    <w:p w:rsidR="007E2BCE" w:rsidRPr="006F7827" w:rsidRDefault="000A0CD6" w:rsidP="00524C7E">
      <w:pPr>
        <w:jc w:val="both"/>
      </w:pPr>
      <w:r w:rsidRPr="00DE3D62">
        <w:rPr>
          <w:sz w:val="22"/>
          <w:szCs w:val="22"/>
        </w:rPr>
        <w:t xml:space="preserve"> </w:t>
      </w:r>
    </w:p>
    <w:sectPr w:rsidR="007E2BCE" w:rsidRPr="006F7827" w:rsidSect="006856A0">
      <w:type w:val="continuous"/>
      <w:pgSz w:w="11906" w:h="16838"/>
      <w:pgMar w:top="1134"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5F0" w:rsidRDefault="006F45F0" w:rsidP="00464A7A">
      <w:r>
        <w:separator/>
      </w:r>
    </w:p>
  </w:endnote>
  <w:endnote w:type="continuationSeparator" w:id="0">
    <w:p w:rsidR="006F45F0" w:rsidRDefault="006F45F0" w:rsidP="00464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7A" w:rsidRDefault="00464A7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7A" w:rsidRDefault="00464A7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7A" w:rsidRDefault="00464A7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5F0" w:rsidRDefault="006F45F0" w:rsidP="00464A7A">
      <w:r>
        <w:separator/>
      </w:r>
    </w:p>
  </w:footnote>
  <w:footnote w:type="continuationSeparator" w:id="0">
    <w:p w:rsidR="006F45F0" w:rsidRDefault="006F45F0" w:rsidP="00464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7A" w:rsidRDefault="00464A7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7A" w:rsidRDefault="00464A7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7A" w:rsidRDefault="00464A7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A14409D"/>
    <w:multiLevelType w:val="hybridMultilevel"/>
    <w:tmpl w:val="3766B79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15132928"/>
    <w:multiLevelType w:val="hybridMultilevel"/>
    <w:tmpl w:val="A2F40270"/>
    <w:lvl w:ilvl="0" w:tplc="B16C058C">
      <w:start w:val="4300"/>
      <w:numFmt w:val="bullet"/>
      <w:lvlText w:val="-"/>
      <w:lvlJc w:val="left"/>
      <w:pPr>
        <w:ind w:left="1068" w:hanging="360"/>
      </w:pPr>
      <w:rPr>
        <w:rFonts w:ascii="Times New Roman" w:eastAsia="Times New Roman" w:hAnsi="Times New Roman" w:cs="Times New Roman" w:hint="default"/>
        <w:sz w:val="24"/>
      </w:rPr>
    </w:lvl>
    <w:lvl w:ilvl="1" w:tplc="B16C058C">
      <w:start w:val="4300"/>
      <w:numFmt w:val="bullet"/>
      <w:lvlText w:val="-"/>
      <w:lvlJc w:val="left"/>
      <w:pPr>
        <w:ind w:left="1788" w:hanging="360"/>
      </w:pPr>
      <w:rPr>
        <w:rFonts w:ascii="Times New Roman" w:eastAsia="Times New Roman" w:hAnsi="Times New Roman" w:cs="Times New Roman" w:hint="default"/>
        <w:sz w:val="24"/>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6">
    <w:nsid w:val="19020641"/>
    <w:multiLevelType w:val="hybridMultilevel"/>
    <w:tmpl w:val="670469E4"/>
    <w:lvl w:ilvl="0" w:tplc="08130017">
      <w:start w:val="1"/>
      <w:numFmt w:val="lowerLetter"/>
      <w:lvlText w:val="%1)"/>
      <w:lvlJc w:val="left"/>
      <w:pPr>
        <w:ind w:left="720" w:hanging="360"/>
      </w:pPr>
    </w:lvl>
    <w:lvl w:ilvl="1" w:tplc="BF768C16">
      <w:numFmt w:val="bullet"/>
      <w:lvlText w:val="-"/>
      <w:lvlJc w:val="left"/>
      <w:pPr>
        <w:ind w:left="2010" w:hanging="930"/>
      </w:pPr>
      <w:rPr>
        <w:rFonts w:ascii="Times New Roman" w:eastAsia="Times New Roman" w:hAnsi="Times New Roman" w:cs="Times New Roman"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CC53BDA"/>
    <w:multiLevelType w:val="hybridMultilevel"/>
    <w:tmpl w:val="BDB2C9B6"/>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nsid w:val="30850FC4"/>
    <w:multiLevelType w:val="hybridMultilevel"/>
    <w:tmpl w:val="8DC654E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nsid w:val="31EA20AE"/>
    <w:multiLevelType w:val="hybridMultilevel"/>
    <w:tmpl w:val="D51C4B4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nsid w:val="32AA582D"/>
    <w:multiLevelType w:val="hybridMultilevel"/>
    <w:tmpl w:val="30D60E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6">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662E4096"/>
    <w:multiLevelType w:val="hybridMultilevel"/>
    <w:tmpl w:val="D4BE396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7"/>
  </w:num>
  <w:num w:numId="6">
    <w:abstractNumId w:val="8"/>
  </w:num>
  <w:num w:numId="7">
    <w:abstractNumId w:val="7"/>
  </w:num>
  <w:num w:numId="8">
    <w:abstractNumId w:val="14"/>
  </w:num>
  <w:num w:numId="9">
    <w:abstractNumId w:val="13"/>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rsids>
    <w:rsidRoot w:val="00A27757"/>
    <w:rsid w:val="000017C9"/>
    <w:rsid w:val="00024243"/>
    <w:rsid w:val="00031286"/>
    <w:rsid w:val="000503E5"/>
    <w:rsid w:val="000610CE"/>
    <w:rsid w:val="000731A8"/>
    <w:rsid w:val="000A0CD6"/>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24C7E"/>
    <w:rsid w:val="005628FF"/>
    <w:rsid w:val="00572E3E"/>
    <w:rsid w:val="00574252"/>
    <w:rsid w:val="00587AAA"/>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5F0"/>
    <w:rsid w:val="006F477D"/>
    <w:rsid w:val="006F7827"/>
    <w:rsid w:val="00707498"/>
    <w:rsid w:val="00707D2E"/>
    <w:rsid w:val="00710414"/>
    <w:rsid w:val="0071357C"/>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1799D"/>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7231E"/>
    <w:rsid w:val="00EA3A93"/>
    <w:rsid w:val="00EB1EE1"/>
    <w:rsid w:val="00EC7346"/>
    <w:rsid w:val="00ED0183"/>
    <w:rsid w:val="00ED7FBB"/>
    <w:rsid w:val="00EE0092"/>
    <w:rsid w:val="00F6262A"/>
    <w:rsid w:val="00F84CFC"/>
    <w:rsid w:val="00F95777"/>
    <w:rsid w:val="00FD2B0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4252"/>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link w:val="StandaardSVChar"/>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styleId="Bloktekst">
    <w:name w:val="Block Text"/>
    <w:basedOn w:val="Standaard"/>
    <w:semiHidden/>
    <w:unhideWhenUsed/>
    <w:rsid w:val="000A0CD6"/>
    <w:rPr>
      <w:szCs w:val="20"/>
      <w:lang w:val="en-US" w:eastAsia="en-US"/>
    </w:rPr>
  </w:style>
  <w:style w:type="character" w:customStyle="1" w:styleId="StandaardSVChar">
    <w:name w:val="Standaard SV Char"/>
    <w:link w:val="StandaardSV"/>
    <w:locked/>
    <w:rsid w:val="000A0CD6"/>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link w:val="StandaardSVChar"/>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styleId="Bloktekst">
    <w:name w:val="Block Text"/>
    <w:basedOn w:val="Standaard"/>
    <w:semiHidden/>
    <w:unhideWhenUsed/>
    <w:rsid w:val="000A0CD6"/>
    <w:rPr>
      <w:szCs w:val="20"/>
      <w:lang w:val="en-US" w:eastAsia="en-US"/>
    </w:rPr>
  </w:style>
  <w:style w:type="character" w:customStyle="1" w:styleId="StandaardSVChar">
    <w:name w:val="Standaard SV Char"/>
    <w:link w:val="StandaardSV"/>
    <w:locked/>
    <w:rsid w:val="000A0CD6"/>
    <w:rPr>
      <w:sz w:val="22"/>
      <w:lang w:val="nl-NL" w:eastAsia="nl-NL"/>
    </w:rPr>
  </w:style>
</w:styles>
</file>

<file path=word/webSettings.xml><?xml version="1.0" encoding="utf-8"?>
<w:webSettings xmlns:r="http://schemas.openxmlformats.org/officeDocument/2006/relationships" xmlns:w="http://schemas.openxmlformats.org/wordprocessingml/2006/main">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1008D"/>
    <w:rsid w:val="00840383"/>
    <w:rsid w:val="00842B68"/>
    <w:rsid w:val="00857F16"/>
    <w:rsid w:val="00896769"/>
    <w:rsid w:val="008D3E7A"/>
    <w:rsid w:val="00955364"/>
    <w:rsid w:val="009A00E1"/>
    <w:rsid w:val="00A639BC"/>
    <w:rsid w:val="00A86254"/>
    <w:rsid w:val="00B91F8D"/>
    <w:rsid w:val="00C57AC2"/>
    <w:rsid w:val="00D23D78"/>
    <w:rsid w:val="00D9386F"/>
    <w:rsid w:val="00E3712F"/>
    <w:rsid w:val="00F4742C"/>
    <w:rsid w:val="00F823D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0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rsid w:val="009A00E1"/>
  </w:style>
  <w:style w:type="paragraph" w:customStyle="1" w:styleId="27E3C382D8D14201B7342A660457AEF8">
    <w:name w:val="27E3C382D8D14201B7342A660457AEF8"/>
    <w:rsid w:val="009A00E1"/>
  </w:style>
  <w:style w:type="paragraph" w:customStyle="1" w:styleId="F0470CEBDEE543F29923086AC198A34C">
    <w:name w:val="F0470CEBDEE543F29923086AC198A34C"/>
    <w:rsid w:val="009A00E1"/>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900 Knelpuntopleidingen VDAB - Wachttijden - Uitstroom</Titel_x0020_vraag>
    <Vraagnummer xmlns="7a2e3783-fe9a-4a2f-bbf4-debb4ac58a5c">900</Vraagnummer>
    <DatumVraag xmlns="7a2e3783-fe9a-4a2f-bbf4-debb4ac58a5c">2013-06-27T22:00:00+00:00</DatumVraag>
    <DocumentSetDescription xmlns="http://schemas.microsoft.com/sharepoint/v3" xsi:nil="true"/>
    <Antwoord_x0020_vereist xmlns="7a2e3783-fe9a-4a2f-bbf4-debb4ac58a5c">2013-08-11T22:00:00+00:00</Antwoord_x0020_vereist>
    <Onderwerp_x0020_vraag xmlns="7a2e3783-fe9a-4a2f-bbf4-debb4ac58a5c">Knelpuntopleidingen VDAB - Wachttijden - Uitstroom</Onderwerp_x0020_vraag>
    <TaxCatchAll xmlns="7a2e3783-fe9a-4a2f-bbf4-debb4ac58a5c"/>
    <Antwoordnummer xmlns="7a2e3783-fe9a-4a2f-bbf4-debb4ac58a5c">900</Antwoordnummer>
    <Extra_x0020_Behandelaars xmlns="7a2e3783-fe9a-4a2f-bbf4-debb4ac58a5c">
      <UserInfo>
        <DisplayName/>
        <AccountId xsi:nil="true"/>
        <AccountType/>
      </UserInfo>
    </Extra_x0020_Behandelaars>
    <Parlementair xmlns="7a2e3783-fe9a-4a2f-bbf4-debb4ac58a5c">Robrecht Bothuyne</Parlementair>
    <Doorloopstatus xmlns="7a2e3783-fe9a-4a2f-bbf4-debb4ac58a5c">Beantwoord</Doorloopstatus>
    <Behandelaar xmlns="7a2e3783-fe9a-4a2f-bbf4-debb4ac58a5c">
      <UserInfo>
        <DisplayName>Welslau, Kristof</DisplayName>
        <AccountId>106</AccountId>
        <AccountType/>
      </UserInfo>
    </Behandelaar>
    <Vraag_x0020_beantwoord xmlns="7a2e3783-fe9a-4a2f-bbf4-debb4ac58a5c">2013-08-07T11:37:32+00:00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Competentiebeleid</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758</DocSetId>
    <Extern_x0020_Agentschap xmlns="ad923ab5-f988-4e82-b3fb-7226e10f96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schemas.microsoft.com/office/2006/metadata/properties"/>
    <ds:schemaRef ds:uri="http://schemas.microsoft.com/office/infopath/2007/PartnerControls"/>
    <ds:schemaRef ds:uri="7a2e3783-fe9a-4a2f-bbf4-debb4ac58a5c"/>
    <ds:schemaRef ds:uri="http://schemas.microsoft.com/sharepoint/v3"/>
    <ds:schemaRef ds:uri="ec82e040-88e9-4975-bc13-a42fab7bb9ce"/>
    <ds:schemaRef ds:uri="ad923ab5-f988-4e82-b3fb-7226e10f9616"/>
  </ds:schemaRefs>
</ds:datastoreItem>
</file>

<file path=customXml/itemProps4.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0BC63E-DDD4-4F7B-B255-C1C1298F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2290</Words>
  <Characters>12596</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Knelpuntopleidingen VDAB</vt:lpstr>
      <vt:lpstr/>
    </vt:vector>
  </TitlesOfParts>
  <Company>MVG</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Knelpuntopleidingen VDAB</dc:title>
  <dc:creator>welslakr</dc:creator>
  <cp:lastModifiedBy>Dries</cp:lastModifiedBy>
  <cp:revision>2</cp:revision>
  <cp:lastPrinted>2013-09-18T13:50:00Z</cp:lastPrinted>
  <dcterms:created xsi:type="dcterms:W3CDTF">2013-09-26T10:02:00Z</dcterms:created>
  <dcterms:modified xsi:type="dcterms:W3CDTF">2013-09-26T10:02:00Z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8f46f169-29c2-4422-ab46-7792463acf40</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ecm_ItemDeleteBlockHolders">
    <vt:lpwstr>ecm_InPlaceRecordLock</vt:lpwstr>
  </property>
  <property fmtid="{D5CDD505-2E9C-101B-9397-08002B2CF9AE}" pid="12" name="_vti_ItemDeclaredRecord">
    <vt:filetime>2013-08-07T11:41:26Z</vt:filetime>
  </property>
  <property fmtid="{D5CDD505-2E9C-101B-9397-08002B2CF9AE}" pid="13" name="_vti_ItemHoldRecordStatus">
    <vt:i4>273</vt:i4>
  </property>
  <property fmtid="{D5CDD505-2E9C-101B-9397-08002B2CF9AE}" pid="14" name="IconOverlay">
    <vt:lpwstr>|docx|lockoverlay.png</vt:lpwstr>
  </property>
  <property fmtid="{D5CDD505-2E9C-101B-9397-08002B2CF9AE}" pid="15" name="ecm_RecordRestrictions">
    <vt:lpwstr>BlockDelete, BlockEdit</vt:lpwstr>
  </property>
  <property fmtid="{D5CDD505-2E9C-101B-9397-08002B2CF9AE}" pid="16" name="ecm_ItemLockHolders">
    <vt:lpwstr>ecm_InPlaceRecordLock</vt:lpwstr>
  </property>
</Properties>
</file>