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1" w:rsidRPr="00A8473D" w:rsidRDefault="007F7ED1" w:rsidP="007F7ED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7F7ED1" w:rsidRPr="00A8473D" w:rsidRDefault="007F7ED1" w:rsidP="007F7ED1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7F7ED1" w:rsidRPr="00DE405B" w:rsidRDefault="007F7ED1" w:rsidP="007F7ED1">
      <w:pPr>
        <w:pStyle w:val="StandaardSV"/>
        <w:pBdr>
          <w:bottom w:val="single" w:sz="4" w:space="1" w:color="auto"/>
        </w:pBdr>
        <w:rPr>
          <w:lang w:val="nl-BE"/>
        </w:rPr>
      </w:pPr>
    </w:p>
    <w:p w:rsidR="007F7ED1" w:rsidRDefault="007F7ED1" w:rsidP="007F7ED1">
      <w:pPr>
        <w:jc w:val="both"/>
        <w:rPr>
          <w:sz w:val="22"/>
        </w:rPr>
      </w:pPr>
    </w:p>
    <w:p w:rsidR="00FF5AE0" w:rsidRDefault="00FF5AE0" w:rsidP="007F7ED1">
      <w:pPr>
        <w:jc w:val="both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7F7ED1" w:rsidRDefault="00FF5AE0" w:rsidP="00FF5AE0">
      <w:pPr>
        <w:jc w:val="both"/>
        <w:outlineLvl w:val="0"/>
        <w:rPr>
          <w:sz w:val="22"/>
        </w:rPr>
      </w:pPr>
      <w:r>
        <w:rPr>
          <w:sz w:val="22"/>
        </w:rPr>
        <w:t>op vr</w:t>
      </w:r>
      <w:r w:rsidR="007F7ED1">
        <w:rPr>
          <w:sz w:val="22"/>
        </w:rPr>
        <w:t>aag nr. 685</w:t>
      </w:r>
      <w:r>
        <w:rPr>
          <w:sz w:val="22"/>
        </w:rPr>
        <w:t xml:space="preserve"> </w:t>
      </w:r>
      <w:r w:rsidR="007F7ED1">
        <w:rPr>
          <w:sz w:val="22"/>
        </w:rPr>
        <w:t>van 1 juli 2013</w:t>
      </w:r>
    </w:p>
    <w:p w:rsidR="007F7ED1" w:rsidRDefault="007F7ED1" w:rsidP="007F7ED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robrecht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bothuyne</w:t>
      </w:r>
      <w:proofErr w:type="spellEnd"/>
    </w:p>
    <w:p w:rsidR="007F7ED1" w:rsidRDefault="007F7ED1" w:rsidP="007F7ED1">
      <w:pPr>
        <w:pBdr>
          <w:bottom w:val="single" w:sz="4" w:space="1" w:color="auto"/>
        </w:pBdr>
        <w:jc w:val="both"/>
        <w:rPr>
          <w:sz w:val="22"/>
        </w:rPr>
      </w:pPr>
    </w:p>
    <w:p w:rsidR="007F7ED1" w:rsidRDefault="007F7ED1" w:rsidP="007F7ED1">
      <w:pPr>
        <w:pStyle w:val="SVTitel"/>
      </w:pPr>
    </w:p>
    <w:p w:rsidR="007F7ED1" w:rsidRDefault="007F7ED1" w:rsidP="007F7ED1">
      <w:pPr>
        <w:pStyle w:val="SVTitel"/>
      </w:pPr>
    </w:p>
    <w:p w:rsidR="002725A4" w:rsidRDefault="002725A4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Tussen 1 januari 2013 en 30 juni 2013 werden 313 steunaanvragen ingediend.</w:t>
      </w:r>
    </w:p>
    <w:p w:rsidR="00B55A8A" w:rsidRDefault="00B55A8A" w:rsidP="007F7ED1">
      <w:pPr>
        <w:pStyle w:val="StandaardSV"/>
        <w:rPr>
          <w:lang w:val="nl-BE"/>
        </w:rPr>
      </w:pPr>
    </w:p>
    <w:p w:rsidR="00B55A8A" w:rsidRDefault="00B55A8A" w:rsidP="00CD2637">
      <w:pPr>
        <w:pStyle w:val="StandaardSV"/>
        <w:ind w:left="360"/>
        <w:rPr>
          <w:lang w:val="nl-BE"/>
        </w:rPr>
      </w:pPr>
      <w:r>
        <w:rPr>
          <w:lang w:val="nl-BE"/>
        </w:rPr>
        <w:t>Ingediende</w:t>
      </w:r>
      <w:r w:rsidR="008E0F86">
        <w:rPr>
          <w:lang w:val="nl-BE"/>
        </w:rPr>
        <w:t xml:space="preserve"> aanvragen per maand met investerings- en subsidiebedrag:</w:t>
      </w:r>
    </w:p>
    <w:p w:rsidR="008E0F86" w:rsidRDefault="008E0F86" w:rsidP="007F7ED1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8"/>
        <w:gridCol w:w="1855"/>
        <w:gridCol w:w="852"/>
        <w:gridCol w:w="1481"/>
        <w:gridCol w:w="1481"/>
      </w:tblGrid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Indieningsjaar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Indieningsmaand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Aantal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Subsidie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45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19.252.921,22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5.738.766,21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50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19.570.138,90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3.349.657,38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49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6.468.442,49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2.253.905,61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4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38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13.733.284,01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3.666.723,41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65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21.401.115,60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5.942.170,96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2013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6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66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18.623.788,77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5.074.952,43</w:t>
            </w:r>
          </w:p>
        </w:tc>
      </w:tr>
      <w:tr w:rsidR="008E0F86" w:rsidRPr="008E0F86" w:rsidTr="008E0F86">
        <w:trPr>
          <w:trHeight w:val="288"/>
        </w:trPr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 </w:t>
            </w:r>
          </w:p>
        </w:tc>
        <w:tc>
          <w:tcPr>
            <w:tcW w:w="1640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 </w:t>
            </w:r>
          </w:p>
        </w:tc>
        <w:tc>
          <w:tcPr>
            <w:tcW w:w="68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313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99.049.690,99</w:t>
            </w:r>
          </w:p>
        </w:tc>
        <w:tc>
          <w:tcPr>
            <w:tcW w:w="1360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26.026.176,00</w:t>
            </w:r>
          </w:p>
        </w:tc>
      </w:tr>
    </w:tbl>
    <w:p w:rsidR="008E0F86" w:rsidRDefault="008E0F86" w:rsidP="007F7ED1">
      <w:pPr>
        <w:pStyle w:val="StandaardSV"/>
        <w:rPr>
          <w:lang w:val="nl-BE"/>
        </w:rPr>
      </w:pPr>
    </w:p>
    <w:p w:rsidR="008E0F86" w:rsidRDefault="008E0F86" w:rsidP="00CD2637">
      <w:pPr>
        <w:pStyle w:val="StandaardSV"/>
        <w:ind w:left="426"/>
        <w:rPr>
          <w:lang w:val="nl-BE"/>
        </w:rPr>
      </w:pPr>
      <w:r>
        <w:rPr>
          <w:lang w:val="nl-BE"/>
        </w:rPr>
        <w:t>Ingediende aanvragen per provincie met investerings- en subsidiebedrag:</w:t>
      </w:r>
    </w:p>
    <w:p w:rsidR="008E0F86" w:rsidRDefault="008E0F86" w:rsidP="008E0F86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852"/>
        <w:gridCol w:w="1481"/>
        <w:gridCol w:w="1481"/>
      </w:tblGrid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Provincie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Aantal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Investering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Subsidie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Antwerpen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109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32.572.491,28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9.910.990,00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Limburg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35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14.069.072,73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3.813.078,91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Oost Vlaanderen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73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15.100.916,64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4.026.023,99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Vlaams Brabant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34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18.188.324,06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3.135.995,48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West Vlaanderen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62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19.118.886,28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5.140.087,62</w:t>
            </w:r>
          </w:p>
        </w:tc>
      </w:tr>
      <w:tr w:rsidR="008E0F86" w:rsidRPr="008E0F86" w:rsidTr="008E0F86">
        <w:trPr>
          <w:trHeight w:val="288"/>
        </w:trPr>
        <w:tc>
          <w:tcPr>
            <w:tcW w:w="1951" w:type="dxa"/>
            <w:noWrap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 </w:t>
            </w:r>
          </w:p>
        </w:tc>
        <w:tc>
          <w:tcPr>
            <w:tcW w:w="492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313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99.049.690,99</w:t>
            </w:r>
          </w:p>
        </w:tc>
        <w:tc>
          <w:tcPr>
            <w:tcW w:w="1481" w:type="dxa"/>
            <w:noWrap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26.026.176,00</w:t>
            </w:r>
          </w:p>
        </w:tc>
      </w:tr>
    </w:tbl>
    <w:p w:rsidR="008E0F86" w:rsidRDefault="008E0F86" w:rsidP="008E0F86">
      <w:pPr>
        <w:pStyle w:val="StandaardSV"/>
        <w:rPr>
          <w:lang w:val="nl-BE"/>
        </w:rPr>
      </w:pPr>
    </w:p>
    <w:p w:rsidR="008E0F86" w:rsidRDefault="008E0F86" w:rsidP="00CD2637">
      <w:pPr>
        <w:pStyle w:val="StandaardSV"/>
        <w:ind w:left="426"/>
        <w:rPr>
          <w:lang w:val="nl-BE"/>
        </w:rPr>
      </w:pPr>
      <w:r>
        <w:rPr>
          <w:lang w:val="nl-BE"/>
        </w:rPr>
        <w:t>Ingediende aanvragen per ondernemingsgrootte met investerings- en subsidiebedrag:</w:t>
      </w:r>
    </w:p>
    <w:p w:rsidR="008E0F86" w:rsidRDefault="008E0F86" w:rsidP="008E0F86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2"/>
        <w:gridCol w:w="852"/>
        <w:gridCol w:w="1481"/>
        <w:gridCol w:w="1481"/>
      </w:tblGrid>
      <w:tr w:rsidR="008E0F86" w:rsidRPr="008E0F86" w:rsidTr="008E0F86">
        <w:trPr>
          <w:trHeight w:val="288"/>
        </w:trPr>
        <w:tc>
          <w:tcPr>
            <w:tcW w:w="208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Ondernemingsgrootte</w:t>
            </w:r>
          </w:p>
        </w:tc>
        <w:tc>
          <w:tcPr>
            <w:tcW w:w="68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Aantal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Investering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</w:rPr>
            </w:pPr>
            <w:r w:rsidRPr="008E0F86">
              <w:rPr>
                <w:b/>
              </w:rPr>
              <w:t>Subsidie</w:t>
            </w:r>
          </w:p>
        </w:tc>
      </w:tr>
      <w:tr w:rsidR="008E0F86" w:rsidRPr="008E0F86" w:rsidTr="008E0F86">
        <w:trPr>
          <w:trHeight w:val="288"/>
        </w:trPr>
        <w:tc>
          <w:tcPr>
            <w:tcW w:w="208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KMO</w:t>
            </w:r>
          </w:p>
        </w:tc>
        <w:tc>
          <w:tcPr>
            <w:tcW w:w="68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262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44.935.273,42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13.583.256,16</w:t>
            </w:r>
          </w:p>
        </w:tc>
      </w:tr>
      <w:tr w:rsidR="008E0F86" w:rsidRPr="008E0F86" w:rsidTr="008E0F86">
        <w:trPr>
          <w:trHeight w:val="288"/>
        </w:trPr>
        <w:tc>
          <w:tcPr>
            <w:tcW w:w="208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GO</w:t>
            </w:r>
          </w:p>
        </w:tc>
        <w:tc>
          <w:tcPr>
            <w:tcW w:w="68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51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54.114.417,57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12.442.919,84</w:t>
            </w:r>
          </w:p>
        </w:tc>
      </w:tr>
      <w:tr w:rsidR="008E0F86" w:rsidRPr="008E0F86" w:rsidTr="008E0F86">
        <w:trPr>
          <w:trHeight w:val="288"/>
        </w:trPr>
        <w:tc>
          <w:tcPr>
            <w:tcW w:w="2080" w:type="dxa"/>
            <w:hideMark/>
          </w:tcPr>
          <w:p w:rsidR="008E0F86" w:rsidRPr="008E0F86" w:rsidRDefault="008E0F86" w:rsidP="008E0F86">
            <w:pPr>
              <w:pStyle w:val="StandaardSV"/>
            </w:pPr>
            <w:r w:rsidRPr="008E0F86">
              <w:t> </w:t>
            </w:r>
          </w:p>
        </w:tc>
        <w:tc>
          <w:tcPr>
            <w:tcW w:w="68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313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99.049.690,99</w:t>
            </w:r>
          </w:p>
        </w:tc>
        <w:tc>
          <w:tcPr>
            <w:tcW w:w="1360" w:type="dxa"/>
            <w:hideMark/>
          </w:tcPr>
          <w:p w:rsidR="008E0F86" w:rsidRPr="008E0F86" w:rsidRDefault="008E0F86" w:rsidP="008E0F86">
            <w:pPr>
              <w:pStyle w:val="StandaardSV"/>
              <w:rPr>
                <w:b/>
                <w:bCs/>
              </w:rPr>
            </w:pPr>
            <w:r w:rsidRPr="008E0F86">
              <w:rPr>
                <w:b/>
                <w:bCs/>
              </w:rPr>
              <w:t>26.026.176,00</w:t>
            </w:r>
          </w:p>
        </w:tc>
      </w:tr>
    </w:tbl>
    <w:p w:rsidR="008E0F86" w:rsidRDefault="008E0F86" w:rsidP="008E0F86">
      <w:pPr>
        <w:pStyle w:val="StandaardSV"/>
        <w:rPr>
          <w:lang w:val="nl-BE"/>
        </w:rPr>
      </w:pPr>
    </w:p>
    <w:p w:rsidR="008E0F86" w:rsidRPr="007F19A6" w:rsidRDefault="008E0F86" w:rsidP="00CD2637">
      <w:pPr>
        <w:pStyle w:val="StandaardSV"/>
        <w:ind w:left="360"/>
        <w:rPr>
          <w:lang w:val="nl-BE"/>
        </w:rPr>
      </w:pPr>
      <w:r>
        <w:rPr>
          <w:lang w:val="nl-BE"/>
        </w:rPr>
        <w:t>Voor een indeling per technologie met vermelding van het invester</w:t>
      </w:r>
      <w:r w:rsidR="00041F99">
        <w:rPr>
          <w:lang w:val="nl-BE"/>
        </w:rPr>
        <w:t>ings- en subsidiebedrag verwijz</w:t>
      </w:r>
      <w:r>
        <w:rPr>
          <w:lang w:val="nl-BE"/>
        </w:rPr>
        <w:t xml:space="preserve">en we naar de bijgevoegde tabel </w:t>
      </w:r>
      <w:r w:rsidRPr="008E0F86">
        <w:rPr>
          <w:b/>
          <w:lang w:val="nl-BE"/>
        </w:rPr>
        <w:t>SV685_Ingediend_Tech</w:t>
      </w:r>
      <w:r w:rsidR="007F19A6">
        <w:rPr>
          <w:b/>
          <w:lang w:val="nl-BE"/>
        </w:rPr>
        <w:t xml:space="preserve"> </w:t>
      </w:r>
      <w:r w:rsidR="007F19A6">
        <w:rPr>
          <w:lang w:val="nl-BE"/>
        </w:rPr>
        <w:t>(bijlage2)</w:t>
      </w:r>
    </w:p>
    <w:p w:rsidR="008E0F86" w:rsidRDefault="008E0F86" w:rsidP="007F7ED1">
      <w:pPr>
        <w:pStyle w:val="StandaardSV"/>
        <w:rPr>
          <w:lang w:val="nl-BE"/>
        </w:rPr>
      </w:pPr>
    </w:p>
    <w:p w:rsidR="008E0F86" w:rsidRDefault="008E0F86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Hiervoor wordt verwezen naar de tabellen bij vraag 1.</w:t>
      </w:r>
    </w:p>
    <w:p w:rsidR="00CD2637" w:rsidRDefault="00CD2637" w:rsidP="00CD2637">
      <w:pPr>
        <w:pStyle w:val="StandaardSV"/>
        <w:ind w:left="360"/>
        <w:rPr>
          <w:lang w:val="nl-BE"/>
        </w:rPr>
      </w:pPr>
    </w:p>
    <w:p w:rsidR="00355611" w:rsidRDefault="00355611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Hiervoor wordt verwezen naar de tabellen bij vraag 1.</w:t>
      </w:r>
    </w:p>
    <w:p w:rsidR="00355611" w:rsidRDefault="00355611" w:rsidP="002453E5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Tussen 1 januari 2013 en 30 juni 2013 werden 124 steunaanvragen goedgekeurd.</w:t>
      </w:r>
    </w:p>
    <w:p w:rsidR="002453E5" w:rsidRDefault="002453E5" w:rsidP="007F7ED1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ind w:left="360"/>
        <w:rPr>
          <w:lang w:val="nl-BE"/>
        </w:rPr>
      </w:pPr>
      <w:r>
        <w:rPr>
          <w:lang w:val="nl-BE"/>
        </w:rPr>
        <w:t>Goedgekeurde aanvragen per maand met investerings- en subsidiebedrag:</w:t>
      </w:r>
    </w:p>
    <w:p w:rsidR="002453E5" w:rsidRDefault="002453E5" w:rsidP="002453E5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0"/>
        <w:gridCol w:w="1867"/>
        <w:gridCol w:w="852"/>
        <w:gridCol w:w="1481"/>
        <w:gridCol w:w="1481"/>
      </w:tblGrid>
      <w:tr w:rsidR="002453E5" w:rsidRPr="002453E5" w:rsidTr="002453E5">
        <w:trPr>
          <w:trHeight w:val="288"/>
        </w:trPr>
        <w:tc>
          <w:tcPr>
            <w:tcW w:w="146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Beslissingsjaar</w:t>
            </w:r>
          </w:p>
        </w:tc>
        <w:tc>
          <w:tcPr>
            <w:tcW w:w="172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Beslissingsmaand</w:t>
            </w:r>
          </w:p>
        </w:tc>
        <w:tc>
          <w:tcPr>
            <w:tcW w:w="68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Aantal</w:t>
            </w:r>
          </w:p>
        </w:tc>
        <w:tc>
          <w:tcPr>
            <w:tcW w:w="146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Investering</w:t>
            </w:r>
          </w:p>
        </w:tc>
        <w:tc>
          <w:tcPr>
            <w:tcW w:w="146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Subsidie</w:t>
            </w:r>
          </w:p>
        </w:tc>
      </w:tr>
      <w:tr w:rsidR="002453E5" w:rsidRPr="002453E5" w:rsidTr="002453E5">
        <w:trPr>
          <w:trHeight w:val="288"/>
        </w:trPr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2013</w:t>
            </w:r>
          </w:p>
        </w:tc>
        <w:tc>
          <w:tcPr>
            <w:tcW w:w="17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38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14.434.728,48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3.959.374,18</w:t>
            </w:r>
          </w:p>
        </w:tc>
      </w:tr>
      <w:tr w:rsidR="002453E5" w:rsidRPr="002453E5" w:rsidTr="002453E5">
        <w:trPr>
          <w:trHeight w:val="288"/>
        </w:trPr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2013</w:t>
            </w:r>
          </w:p>
        </w:tc>
        <w:tc>
          <w:tcPr>
            <w:tcW w:w="17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45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19.359.391,63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3.621.493,36</w:t>
            </w:r>
          </w:p>
        </w:tc>
      </w:tr>
      <w:tr w:rsidR="002453E5" w:rsidRPr="002453E5" w:rsidTr="002453E5">
        <w:trPr>
          <w:trHeight w:val="288"/>
        </w:trPr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2013</w:t>
            </w:r>
          </w:p>
        </w:tc>
        <w:tc>
          <w:tcPr>
            <w:tcW w:w="17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5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41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13.151.725,62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3.980.360,78</w:t>
            </w:r>
          </w:p>
        </w:tc>
      </w:tr>
      <w:tr w:rsidR="002453E5" w:rsidRPr="002453E5" w:rsidTr="002453E5">
        <w:trPr>
          <w:trHeight w:val="288"/>
        </w:trPr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 </w:t>
            </w:r>
          </w:p>
        </w:tc>
        <w:tc>
          <w:tcPr>
            <w:tcW w:w="17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 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124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46.945.845,73</w:t>
            </w:r>
          </w:p>
        </w:tc>
        <w:tc>
          <w:tcPr>
            <w:tcW w:w="146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11.561.228,32</w:t>
            </w:r>
          </w:p>
        </w:tc>
      </w:tr>
    </w:tbl>
    <w:p w:rsidR="002453E5" w:rsidRDefault="002453E5" w:rsidP="002453E5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ind w:left="426"/>
        <w:rPr>
          <w:lang w:val="nl-BE"/>
        </w:rPr>
      </w:pPr>
      <w:r>
        <w:rPr>
          <w:lang w:val="nl-BE"/>
        </w:rPr>
        <w:t>Goedgekeurde aanvragen per provincie met investerings- en subsidiebedrag:</w:t>
      </w:r>
    </w:p>
    <w:p w:rsidR="002453E5" w:rsidRDefault="002453E5" w:rsidP="002453E5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0"/>
        <w:gridCol w:w="1420"/>
        <w:gridCol w:w="1481"/>
        <w:gridCol w:w="1481"/>
      </w:tblGrid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Provincie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Aantal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Investering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Subsidie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Antwerpen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39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10.903.239,29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3.112.324,74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Limburg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19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9.340.135,58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2.566.807,63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Oost Vlaanderen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26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6.989.544,63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1.945.607,29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Vlaams Brabant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16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16.201.627,10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2.710.631,44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West Vlaanderen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24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3.511.299,13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1.225.857,22</w:t>
            </w:r>
          </w:p>
        </w:tc>
      </w:tr>
      <w:tr w:rsidR="002453E5" w:rsidRPr="002453E5" w:rsidTr="002453E5">
        <w:trPr>
          <w:trHeight w:val="288"/>
        </w:trPr>
        <w:tc>
          <w:tcPr>
            <w:tcW w:w="204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 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124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46.945.845,73</w:t>
            </w:r>
          </w:p>
        </w:tc>
        <w:tc>
          <w:tcPr>
            <w:tcW w:w="142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11.561.228,32</w:t>
            </w:r>
          </w:p>
        </w:tc>
      </w:tr>
    </w:tbl>
    <w:p w:rsidR="002453E5" w:rsidRDefault="002453E5" w:rsidP="002453E5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ind w:left="426"/>
        <w:rPr>
          <w:lang w:val="nl-BE"/>
        </w:rPr>
      </w:pPr>
      <w:r>
        <w:rPr>
          <w:lang w:val="nl-BE"/>
        </w:rPr>
        <w:t>Goedgekeurde aanvragen per ondernemingsgrootte met investerings- en subsidiebedrag:</w:t>
      </w:r>
    </w:p>
    <w:p w:rsidR="002453E5" w:rsidRDefault="002453E5" w:rsidP="007F7ED1">
      <w:pPr>
        <w:pStyle w:val="StandaardSV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2"/>
        <w:gridCol w:w="852"/>
        <w:gridCol w:w="1481"/>
        <w:gridCol w:w="1500"/>
      </w:tblGrid>
      <w:tr w:rsidR="002453E5" w:rsidRPr="002453E5" w:rsidTr="002453E5">
        <w:trPr>
          <w:trHeight w:val="288"/>
        </w:trPr>
        <w:tc>
          <w:tcPr>
            <w:tcW w:w="208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Ondernemingsgrootte</w:t>
            </w:r>
          </w:p>
        </w:tc>
        <w:tc>
          <w:tcPr>
            <w:tcW w:w="68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Aantal</w:t>
            </w:r>
          </w:p>
        </w:tc>
        <w:tc>
          <w:tcPr>
            <w:tcW w:w="136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Investering</w:t>
            </w:r>
          </w:p>
        </w:tc>
        <w:tc>
          <w:tcPr>
            <w:tcW w:w="1500" w:type="dxa"/>
            <w:noWrap/>
            <w:hideMark/>
          </w:tcPr>
          <w:p w:rsidR="002453E5" w:rsidRPr="002453E5" w:rsidRDefault="002453E5" w:rsidP="002453E5">
            <w:pPr>
              <w:pStyle w:val="StandaardSV"/>
              <w:rPr>
                <w:b/>
              </w:rPr>
            </w:pPr>
            <w:r w:rsidRPr="002453E5">
              <w:rPr>
                <w:b/>
              </w:rPr>
              <w:t>Subsidie</w:t>
            </w:r>
          </w:p>
        </w:tc>
      </w:tr>
      <w:tr w:rsidR="002453E5" w:rsidRPr="002453E5" w:rsidTr="002453E5">
        <w:trPr>
          <w:trHeight w:val="288"/>
        </w:trPr>
        <w:tc>
          <w:tcPr>
            <w:tcW w:w="20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KMO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104</w:t>
            </w:r>
          </w:p>
        </w:tc>
        <w:tc>
          <w:tcPr>
            <w:tcW w:w="13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21.786.728,96</w:t>
            </w:r>
          </w:p>
        </w:tc>
        <w:tc>
          <w:tcPr>
            <w:tcW w:w="150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6.452.219,53</w:t>
            </w:r>
          </w:p>
        </w:tc>
      </w:tr>
      <w:tr w:rsidR="002453E5" w:rsidRPr="002453E5" w:rsidTr="002453E5">
        <w:trPr>
          <w:trHeight w:val="288"/>
        </w:trPr>
        <w:tc>
          <w:tcPr>
            <w:tcW w:w="20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GO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20</w:t>
            </w:r>
          </w:p>
        </w:tc>
        <w:tc>
          <w:tcPr>
            <w:tcW w:w="136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25.159.116,77</w:t>
            </w:r>
          </w:p>
        </w:tc>
        <w:tc>
          <w:tcPr>
            <w:tcW w:w="150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5.109.008,79</w:t>
            </w:r>
          </w:p>
        </w:tc>
      </w:tr>
      <w:tr w:rsidR="002453E5" w:rsidRPr="002453E5" w:rsidTr="002453E5">
        <w:trPr>
          <w:trHeight w:val="288"/>
        </w:trPr>
        <w:tc>
          <w:tcPr>
            <w:tcW w:w="2080" w:type="dxa"/>
            <w:hideMark/>
          </w:tcPr>
          <w:p w:rsidR="002453E5" w:rsidRPr="002453E5" w:rsidRDefault="002453E5" w:rsidP="002453E5">
            <w:pPr>
              <w:pStyle w:val="StandaardSV"/>
            </w:pPr>
            <w:r w:rsidRPr="002453E5">
              <w:t> </w:t>
            </w:r>
          </w:p>
        </w:tc>
        <w:tc>
          <w:tcPr>
            <w:tcW w:w="68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124</w:t>
            </w:r>
          </w:p>
        </w:tc>
        <w:tc>
          <w:tcPr>
            <w:tcW w:w="136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46.945.845,73</w:t>
            </w:r>
          </w:p>
        </w:tc>
        <w:tc>
          <w:tcPr>
            <w:tcW w:w="1500" w:type="dxa"/>
            <w:hideMark/>
          </w:tcPr>
          <w:p w:rsidR="002453E5" w:rsidRPr="002453E5" w:rsidRDefault="002453E5" w:rsidP="002453E5">
            <w:pPr>
              <w:pStyle w:val="StandaardSV"/>
              <w:rPr>
                <w:b/>
                <w:bCs/>
              </w:rPr>
            </w:pPr>
            <w:r w:rsidRPr="002453E5">
              <w:rPr>
                <w:b/>
                <w:bCs/>
              </w:rPr>
              <w:t>11.561.228,32</w:t>
            </w:r>
          </w:p>
        </w:tc>
      </w:tr>
    </w:tbl>
    <w:p w:rsidR="002453E5" w:rsidRDefault="002453E5" w:rsidP="007F7ED1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ind w:left="360"/>
        <w:rPr>
          <w:lang w:val="nl-BE"/>
        </w:rPr>
      </w:pPr>
      <w:r w:rsidRPr="002453E5">
        <w:rPr>
          <w:lang w:val="nl-BE"/>
        </w:rPr>
        <w:t>Voor een indeling per technologie met vermelding van het invester</w:t>
      </w:r>
      <w:r w:rsidR="00041F99">
        <w:rPr>
          <w:lang w:val="nl-BE"/>
        </w:rPr>
        <w:t>ings- en subsidiebedrag verwijz</w:t>
      </w:r>
      <w:r w:rsidRPr="002453E5">
        <w:rPr>
          <w:lang w:val="nl-BE"/>
        </w:rPr>
        <w:t>en we naar de bijgevoegde tabel SV685_</w:t>
      </w:r>
      <w:r>
        <w:rPr>
          <w:lang w:val="nl-BE"/>
        </w:rPr>
        <w:t>Beslissing</w:t>
      </w:r>
      <w:r w:rsidRPr="002453E5">
        <w:rPr>
          <w:lang w:val="nl-BE"/>
        </w:rPr>
        <w:t>_Tech</w:t>
      </w:r>
      <w:r w:rsidR="007F19A6">
        <w:rPr>
          <w:lang w:val="nl-BE"/>
        </w:rPr>
        <w:t xml:space="preserve"> (bijlage 1)</w:t>
      </w:r>
    </w:p>
    <w:p w:rsidR="002453E5" w:rsidRDefault="002453E5" w:rsidP="007F7ED1">
      <w:pPr>
        <w:pStyle w:val="StandaardSV"/>
        <w:rPr>
          <w:lang w:val="nl-BE"/>
        </w:rPr>
      </w:pPr>
    </w:p>
    <w:p w:rsidR="002453E5" w:rsidRDefault="002453E5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Hiervoor wordt verwezen naar de tabellen bij vraag 4.</w:t>
      </w:r>
    </w:p>
    <w:p w:rsidR="002453E5" w:rsidRDefault="002453E5" w:rsidP="007F7ED1">
      <w:pPr>
        <w:pStyle w:val="StandaardSV"/>
        <w:rPr>
          <w:lang w:val="nl-BE"/>
        </w:rPr>
      </w:pPr>
    </w:p>
    <w:p w:rsidR="002453E5" w:rsidRDefault="00355611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>H</w:t>
      </w:r>
      <w:r w:rsidR="002453E5">
        <w:rPr>
          <w:lang w:val="nl-BE"/>
        </w:rPr>
        <w:t>iervoor wordt verwezen naar de tabellen bij vraag 4.</w:t>
      </w:r>
    </w:p>
    <w:p w:rsidR="00355611" w:rsidRDefault="00355611" w:rsidP="00355611">
      <w:pPr>
        <w:pStyle w:val="Lijstalinea"/>
        <w:rPr>
          <w:lang w:val="nl-BE"/>
        </w:rPr>
      </w:pPr>
    </w:p>
    <w:p w:rsidR="00A30C66" w:rsidRDefault="00A30C66" w:rsidP="00CD2637">
      <w:pPr>
        <w:pStyle w:val="StandaardSV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Een vergelijking tussen </w:t>
      </w:r>
      <w:r w:rsidR="00394207">
        <w:rPr>
          <w:lang w:val="nl-BE"/>
        </w:rPr>
        <w:t>eerste semesters van 2012 en 2013 levert het volgende op</w:t>
      </w:r>
      <w:r>
        <w:rPr>
          <w:lang w:val="nl-BE"/>
        </w:rPr>
        <w:t>:</w:t>
      </w:r>
    </w:p>
    <w:p w:rsidR="00A30C66" w:rsidRDefault="00A30C66" w:rsidP="00A30C66">
      <w:pPr>
        <w:pStyle w:val="StandaardSV"/>
        <w:rPr>
          <w:lang w:val="nl-BE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559"/>
      </w:tblGrid>
      <w:tr w:rsidR="00EB13A5" w:rsidRPr="00EB13A5" w:rsidTr="00EB13A5">
        <w:trPr>
          <w:trHeight w:val="275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  <w:rPr>
                <w:b/>
                <w:bCs/>
              </w:rPr>
            </w:pPr>
            <w:r w:rsidRPr="00EB13A5">
              <w:rPr>
                <w:b/>
                <w:bCs/>
              </w:rPr>
              <w:t>Periode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  <w:rPr>
                <w:b/>
                <w:bCs/>
              </w:rPr>
            </w:pPr>
            <w:r w:rsidRPr="00EB13A5">
              <w:rPr>
                <w:b/>
                <w:bCs/>
              </w:rPr>
              <w:t>1</w:t>
            </w:r>
            <w:r w:rsidRPr="00EB13A5">
              <w:rPr>
                <w:b/>
                <w:bCs/>
                <w:vertAlign w:val="superscript"/>
              </w:rPr>
              <w:t>ste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EB13A5">
              <w:rPr>
                <w:b/>
                <w:bCs/>
              </w:rPr>
              <w:t>semester 2012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  <w:rPr>
                <w:b/>
                <w:bCs/>
              </w:rPr>
            </w:pPr>
            <w:r w:rsidRPr="00EB13A5">
              <w:rPr>
                <w:b/>
                <w:bCs/>
              </w:rPr>
              <w:t>1</w:t>
            </w:r>
            <w:r w:rsidRPr="00EB13A5">
              <w:rPr>
                <w:b/>
                <w:bCs/>
                <w:vertAlign w:val="superscript"/>
              </w:rPr>
              <w:t>ste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EB13A5">
              <w:rPr>
                <w:b/>
                <w:bCs/>
              </w:rPr>
              <w:t>semester 2013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  <w:rPr>
                <w:b/>
                <w:bCs/>
              </w:rPr>
            </w:pPr>
            <w:r w:rsidRPr="00EB13A5">
              <w:rPr>
                <w:b/>
                <w:bCs/>
              </w:rPr>
              <w:t>Evolutie 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aantal aanvragen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126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313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148,41%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gemiddeld gevraagd investeringsbedrag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308.779,41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316.452,69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2,49%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gemiddeld gevraagd subsidiebedrag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45.655,69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83.150,72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82,13%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aantal aanvaarde aanvragen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65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124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90,77%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>
              <w:t>g</w:t>
            </w:r>
            <w:r w:rsidRPr="00EB13A5">
              <w:t>emiddeld</w:t>
            </w:r>
            <w:r>
              <w:t xml:space="preserve"> </w:t>
            </w:r>
            <w:r w:rsidRPr="00EB13A5">
              <w:t>goedgekeurd investeringsbedrag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437.585,50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378.595,53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-13,48%</w:t>
            </w:r>
          </w:p>
        </w:tc>
      </w:tr>
      <w:tr w:rsidR="00EB13A5" w:rsidRPr="00EB13A5" w:rsidTr="00EB13A5">
        <w:trPr>
          <w:trHeight w:val="261"/>
        </w:trPr>
        <w:tc>
          <w:tcPr>
            <w:tcW w:w="421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gemiddeld goedgekeurd subsidiebedrag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64.559,23</w:t>
            </w:r>
          </w:p>
        </w:tc>
        <w:tc>
          <w:tcPr>
            <w:tcW w:w="1843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92.489,83</w:t>
            </w:r>
          </w:p>
        </w:tc>
        <w:tc>
          <w:tcPr>
            <w:tcW w:w="1559" w:type="dxa"/>
            <w:noWrap/>
            <w:hideMark/>
          </w:tcPr>
          <w:p w:rsidR="00EB13A5" w:rsidRPr="00EB13A5" w:rsidRDefault="00EB13A5" w:rsidP="00EB13A5">
            <w:pPr>
              <w:pStyle w:val="StandaardSV"/>
            </w:pPr>
            <w:r w:rsidRPr="00EB13A5">
              <w:t>43,26%</w:t>
            </w:r>
          </w:p>
        </w:tc>
      </w:tr>
    </w:tbl>
    <w:p w:rsidR="002453E5" w:rsidRDefault="002453E5" w:rsidP="00A30C66">
      <w:pPr>
        <w:pStyle w:val="StandaardSV"/>
        <w:rPr>
          <w:lang w:val="nl-BE"/>
        </w:rPr>
      </w:pPr>
    </w:p>
    <w:p w:rsidR="003E7532" w:rsidRDefault="003E7532" w:rsidP="00CD2637">
      <w:pPr>
        <w:pStyle w:val="StandaardSV"/>
        <w:numPr>
          <w:ilvl w:val="0"/>
          <w:numId w:val="7"/>
        </w:numPr>
      </w:pPr>
      <w:r>
        <w:t>Onderstaande tabel geeft een overzicht van de meest in aanmerking komende technologieën voor de periode 1 januari 2013 tot en met 30 juni 2013 (top 5).</w:t>
      </w:r>
    </w:p>
    <w:p w:rsidR="003E7532" w:rsidRDefault="003E7532" w:rsidP="003E7532">
      <w:pPr>
        <w:pStyle w:val="StandaardSV"/>
        <w:ind w:left="426" w:hanging="426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0"/>
        <w:gridCol w:w="7040"/>
      </w:tblGrid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b/>
                <w:sz w:val="22"/>
              </w:rPr>
            </w:pPr>
            <w:r w:rsidRPr="003E7532">
              <w:rPr>
                <w:b/>
                <w:sz w:val="22"/>
              </w:rPr>
              <w:t>Aantal</w:t>
            </w:r>
          </w:p>
        </w:tc>
        <w:tc>
          <w:tcPr>
            <w:tcW w:w="7040" w:type="dxa"/>
            <w:noWrap/>
            <w:hideMark/>
          </w:tcPr>
          <w:p w:rsidR="003E7532" w:rsidRPr="003E7532" w:rsidRDefault="003E7532" w:rsidP="003E7532">
            <w:pPr>
              <w:rPr>
                <w:b/>
                <w:sz w:val="22"/>
              </w:rPr>
            </w:pPr>
            <w:r w:rsidRPr="003E7532">
              <w:rPr>
                <w:b/>
                <w:sz w:val="22"/>
              </w:rPr>
              <w:t>Technologie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23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Euro VI motor voor zware voertuigen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14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(Elektrische) warmtepomp ( met water of lucht als warmtebronsysteem)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14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 xml:space="preserve">Recuperatie van restenergie (warmte/koude) voor </w:t>
            </w:r>
            <w:proofErr w:type="spellStart"/>
            <w:r w:rsidRPr="003E7532">
              <w:rPr>
                <w:sz w:val="22"/>
              </w:rPr>
              <w:t>gebouwklimatisatie</w:t>
            </w:r>
            <w:proofErr w:type="spellEnd"/>
            <w:r w:rsidRPr="003E7532">
              <w:rPr>
                <w:sz w:val="22"/>
              </w:rPr>
              <w:t xml:space="preserve"> en/of voor gebruik in </w:t>
            </w:r>
            <w:proofErr w:type="spellStart"/>
            <w:r w:rsidRPr="003E7532">
              <w:rPr>
                <w:sz w:val="22"/>
              </w:rPr>
              <w:t>industriele</w:t>
            </w:r>
            <w:proofErr w:type="spellEnd"/>
            <w:r w:rsidRPr="003E7532">
              <w:rPr>
                <w:sz w:val="22"/>
              </w:rPr>
              <w:t xml:space="preserve"> processen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9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Geothermische (elektrische) warmtepomp (bodem als warmtebronsysteem)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lastRenderedPageBreak/>
              <w:t>9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EEV-motor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9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Oplaadsysteem (paal of omkasting) voor elektrische of hybride voertuigen met 4 wielen of meer voor gebruik op de weg (on-</w:t>
            </w:r>
            <w:proofErr w:type="spellStart"/>
            <w:r w:rsidRPr="003E7532">
              <w:rPr>
                <w:sz w:val="22"/>
              </w:rPr>
              <w:t>road</w:t>
            </w:r>
            <w:proofErr w:type="spellEnd"/>
            <w:r w:rsidRPr="003E7532">
              <w:rPr>
                <w:sz w:val="22"/>
              </w:rPr>
              <w:t>)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8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Zonneboiler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8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Koelsysteem (nieuw) op basis van alternatieve koudemiddelen (uitgezonderd ammoniak)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Aanwenden van geothermische energie in een gesloten systeem - boorgat-energieopslag</w:t>
            </w:r>
          </w:p>
        </w:tc>
      </w:tr>
      <w:tr w:rsidR="003E7532" w:rsidRPr="003E7532" w:rsidTr="003E7532">
        <w:trPr>
          <w:trHeight w:val="864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 xml:space="preserve">Centrale vochtwaterinstallatie voor offsetdrukpersen die vochtwater met een ideale en constante samenstelling produceert waardoor slechts een minimum aan </w:t>
            </w:r>
            <w:proofErr w:type="spellStart"/>
            <w:r w:rsidRPr="003E7532">
              <w:rPr>
                <w:sz w:val="22"/>
              </w:rPr>
              <w:t>isopropylalcohol</w:t>
            </w:r>
            <w:proofErr w:type="spellEnd"/>
            <w:r w:rsidRPr="003E7532">
              <w:rPr>
                <w:sz w:val="22"/>
              </w:rPr>
              <w:t xml:space="preserve"> nodig is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 xml:space="preserve">Terugwininstallatie voor </w:t>
            </w:r>
            <w:proofErr w:type="spellStart"/>
            <w:r w:rsidRPr="003E7532">
              <w:rPr>
                <w:sz w:val="22"/>
              </w:rPr>
              <w:t>waterverdunbare</w:t>
            </w:r>
            <w:proofErr w:type="spellEnd"/>
            <w:r w:rsidRPr="003E7532">
              <w:rPr>
                <w:sz w:val="22"/>
              </w:rPr>
              <w:t xml:space="preserve"> verf, lak, inkt of lijm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Aanwending van de computer-</w:t>
            </w:r>
            <w:proofErr w:type="spellStart"/>
            <w:r w:rsidRPr="003E7532">
              <w:rPr>
                <w:sz w:val="22"/>
              </w:rPr>
              <w:t>to</w:t>
            </w:r>
            <w:proofErr w:type="spellEnd"/>
            <w:r w:rsidRPr="003E7532">
              <w:rPr>
                <w:sz w:val="22"/>
              </w:rPr>
              <w:t>-</w:t>
            </w:r>
            <w:proofErr w:type="spellStart"/>
            <w:r w:rsidRPr="003E7532">
              <w:rPr>
                <w:sz w:val="22"/>
              </w:rPr>
              <w:t>plate</w:t>
            </w:r>
            <w:proofErr w:type="spellEnd"/>
            <w:r w:rsidRPr="003E7532">
              <w:rPr>
                <w:sz w:val="22"/>
              </w:rPr>
              <w:t xml:space="preserve"> (CTP) technologie voor voorinstelling van inktschuiven op de offsetdrukpersen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Ondersteuningsventilatoren</w:t>
            </w:r>
          </w:p>
        </w:tc>
      </w:tr>
      <w:tr w:rsidR="003E7532" w:rsidRPr="003E7532" w:rsidTr="003E7532">
        <w:trPr>
          <w:trHeight w:val="288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Spaarsysteem op anti-smet-poeder-installaties op drukpersen</w:t>
            </w:r>
          </w:p>
        </w:tc>
      </w:tr>
      <w:tr w:rsidR="003E7532" w:rsidRPr="003E7532" w:rsidTr="003E7532">
        <w:trPr>
          <w:trHeight w:val="576"/>
        </w:trPr>
        <w:tc>
          <w:tcPr>
            <w:tcW w:w="980" w:type="dxa"/>
            <w:noWrap/>
            <w:hideMark/>
          </w:tcPr>
          <w:p w:rsidR="003E7532" w:rsidRPr="003E7532" w:rsidRDefault="003E7532" w:rsidP="003E7532">
            <w:pPr>
              <w:rPr>
                <w:sz w:val="22"/>
              </w:rPr>
            </w:pPr>
            <w:r w:rsidRPr="003E7532">
              <w:rPr>
                <w:sz w:val="22"/>
              </w:rPr>
              <w:t>7</w:t>
            </w:r>
          </w:p>
        </w:tc>
        <w:tc>
          <w:tcPr>
            <w:tcW w:w="7040" w:type="dxa"/>
            <w:hideMark/>
          </w:tcPr>
          <w:p w:rsidR="003E7532" w:rsidRPr="003E7532" w:rsidRDefault="003E7532">
            <w:pPr>
              <w:rPr>
                <w:sz w:val="22"/>
              </w:rPr>
            </w:pPr>
            <w:r w:rsidRPr="003E7532">
              <w:rPr>
                <w:sz w:val="22"/>
              </w:rPr>
              <w:t>Gebruik van speciale, duurzame, interne paletten en oplegplaten, specifiek voor de grafische sector</w:t>
            </w:r>
          </w:p>
        </w:tc>
      </w:tr>
    </w:tbl>
    <w:p w:rsidR="00E15B35" w:rsidRDefault="00E15B35"/>
    <w:p w:rsidR="003E7532" w:rsidRDefault="003E7532" w:rsidP="00CD2637">
      <w:pPr>
        <w:ind w:left="426"/>
        <w:rPr>
          <w:sz w:val="22"/>
        </w:rPr>
      </w:pPr>
      <w:r w:rsidRPr="003E7532">
        <w:rPr>
          <w:sz w:val="22"/>
        </w:rPr>
        <w:t xml:space="preserve">Voor een verdere opsplitsing van deze tabel naar soort onderneming, provincie en technologie wordt verwezen naar </w:t>
      </w:r>
      <w:r>
        <w:rPr>
          <w:sz w:val="22"/>
        </w:rPr>
        <w:t xml:space="preserve">de bijgevoegde </w:t>
      </w:r>
      <w:r w:rsidRPr="003E7532">
        <w:rPr>
          <w:sz w:val="22"/>
        </w:rPr>
        <w:t>tabel SV</w:t>
      </w:r>
      <w:r>
        <w:rPr>
          <w:sz w:val="22"/>
        </w:rPr>
        <w:t>685</w:t>
      </w:r>
      <w:r w:rsidRPr="003E7532">
        <w:rPr>
          <w:sz w:val="22"/>
        </w:rPr>
        <w:t>_Tech_Top</w:t>
      </w:r>
      <w:r w:rsidR="007F19A6">
        <w:rPr>
          <w:sz w:val="22"/>
        </w:rPr>
        <w:t xml:space="preserve"> (bijlage 3)</w:t>
      </w:r>
      <w:bookmarkStart w:id="0" w:name="_GoBack"/>
      <w:bookmarkEnd w:id="0"/>
    </w:p>
    <w:p w:rsidR="007F19A6" w:rsidRDefault="007F19A6" w:rsidP="00CD2637">
      <w:pPr>
        <w:ind w:left="426"/>
        <w:rPr>
          <w:sz w:val="22"/>
        </w:rPr>
      </w:pPr>
    </w:p>
    <w:p w:rsidR="007F19A6" w:rsidRDefault="007F19A6" w:rsidP="00CD2637">
      <w:pPr>
        <w:ind w:left="426"/>
        <w:rPr>
          <w:sz w:val="22"/>
        </w:rPr>
      </w:pPr>
    </w:p>
    <w:p w:rsidR="007F19A6" w:rsidRDefault="007F19A6" w:rsidP="00CD2637">
      <w:pPr>
        <w:ind w:left="426"/>
        <w:rPr>
          <w:smallCaps/>
          <w:color w:val="FF0000"/>
          <w:sz w:val="22"/>
        </w:rPr>
      </w:pPr>
      <w:r w:rsidRPr="007F19A6">
        <w:rPr>
          <w:b/>
          <w:smallCaps/>
          <w:color w:val="FF0000"/>
          <w:sz w:val="22"/>
          <w:u w:val="single"/>
        </w:rPr>
        <w:t>bijlagen</w:t>
      </w:r>
      <w:r>
        <w:rPr>
          <w:b/>
          <w:smallCaps/>
          <w:color w:val="FF0000"/>
          <w:sz w:val="22"/>
          <w:u w:val="single"/>
        </w:rPr>
        <w:t xml:space="preserve">   </w:t>
      </w:r>
    </w:p>
    <w:p w:rsidR="007F19A6" w:rsidRDefault="007F19A6" w:rsidP="00CD2637">
      <w:pPr>
        <w:ind w:left="426"/>
        <w:rPr>
          <w:smallCaps/>
          <w:color w:val="FF0000"/>
          <w:sz w:val="22"/>
        </w:rPr>
      </w:pPr>
    </w:p>
    <w:p w:rsidR="007F19A6" w:rsidRDefault="007F19A6" w:rsidP="007F19A6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Tabel SV685_Beslissing_Tech</w:t>
      </w:r>
    </w:p>
    <w:p w:rsidR="007F19A6" w:rsidRDefault="007F19A6" w:rsidP="007F19A6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Tabel SV685_Ingediend_Tech</w:t>
      </w:r>
    </w:p>
    <w:p w:rsidR="007F19A6" w:rsidRPr="007F19A6" w:rsidRDefault="007F19A6" w:rsidP="007F19A6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Tabel SV685_Tech_Top</w:t>
      </w:r>
    </w:p>
    <w:sectPr w:rsidR="007F19A6" w:rsidRPr="007F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289"/>
    <w:multiLevelType w:val="hybridMultilevel"/>
    <w:tmpl w:val="F63CE1A8"/>
    <w:lvl w:ilvl="0" w:tplc="EE70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7B4"/>
    <w:multiLevelType w:val="hybridMultilevel"/>
    <w:tmpl w:val="DF6A665E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05200"/>
    <w:multiLevelType w:val="hybridMultilevel"/>
    <w:tmpl w:val="2A64BC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611A4"/>
    <w:multiLevelType w:val="hybridMultilevel"/>
    <w:tmpl w:val="8F9011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11255"/>
    <w:multiLevelType w:val="hybridMultilevel"/>
    <w:tmpl w:val="FE164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6EA2"/>
    <w:multiLevelType w:val="hybridMultilevel"/>
    <w:tmpl w:val="04FEE0C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02F1E"/>
    <w:multiLevelType w:val="hybridMultilevel"/>
    <w:tmpl w:val="F886BF30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160565"/>
    <w:multiLevelType w:val="hybridMultilevel"/>
    <w:tmpl w:val="FD52DD18"/>
    <w:lvl w:ilvl="0" w:tplc="F9749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C4415B"/>
    <w:multiLevelType w:val="hybridMultilevel"/>
    <w:tmpl w:val="22D6F48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D04AC"/>
    <w:multiLevelType w:val="hybridMultilevel"/>
    <w:tmpl w:val="C2C491A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C6A76"/>
    <w:multiLevelType w:val="hybridMultilevel"/>
    <w:tmpl w:val="D3249C4A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1"/>
    <w:rsid w:val="00041F99"/>
    <w:rsid w:val="002453E5"/>
    <w:rsid w:val="002725A4"/>
    <w:rsid w:val="00355611"/>
    <w:rsid w:val="00394207"/>
    <w:rsid w:val="003E7532"/>
    <w:rsid w:val="005346DE"/>
    <w:rsid w:val="00597240"/>
    <w:rsid w:val="00655518"/>
    <w:rsid w:val="007F19A6"/>
    <w:rsid w:val="007F7ED1"/>
    <w:rsid w:val="008E0F86"/>
    <w:rsid w:val="009F2E90"/>
    <w:rsid w:val="00A30C66"/>
    <w:rsid w:val="00B3199E"/>
    <w:rsid w:val="00B55A8A"/>
    <w:rsid w:val="00BF6C46"/>
    <w:rsid w:val="00CD2637"/>
    <w:rsid w:val="00E15B35"/>
    <w:rsid w:val="00EB13A5"/>
    <w:rsid w:val="00F0028F"/>
    <w:rsid w:val="00FB791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F7ED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F7ED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F7ED1"/>
    <w:pPr>
      <w:jc w:val="both"/>
    </w:pPr>
    <w:rPr>
      <w:sz w:val="22"/>
    </w:rPr>
  </w:style>
  <w:style w:type="character" w:styleId="Hyperlink">
    <w:name w:val="Hyperlink"/>
    <w:unhideWhenUsed/>
    <w:rsid w:val="007F7ED1"/>
    <w:rPr>
      <w:color w:val="0000FF"/>
      <w:u w:val="single"/>
    </w:rPr>
  </w:style>
  <w:style w:type="character" w:styleId="Nadruk">
    <w:name w:val="Emphasis"/>
    <w:uiPriority w:val="20"/>
    <w:qFormat/>
    <w:rsid w:val="007F7ED1"/>
    <w:rPr>
      <w:i/>
      <w:iCs/>
    </w:rPr>
  </w:style>
  <w:style w:type="table" w:styleId="Tabelraster">
    <w:name w:val="Table Grid"/>
    <w:basedOn w:val="Standaardtabel"/>
    <w:uiPriority w:val="59"/>
    <w:rsid w:val="00FB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1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3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5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F7ED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F7ED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F7ED1"/>
    <w:pPr>
      <w:jc w:val="both"/>
    </w:pPr>
    <w:rPr>
      <w:sz w:val="22"/>
    </w:rPr>
  </w:style>
  <w:style w:type="character" w:styleId="Hyperlink">
    <w:name w:val="Hyperlink"/>
    <w:unhideWhenUsed/>
    <w:rsid w:val="007F7ED1"/>
    <w:rPr>
      <w:color w:val="0000FF"/>
      <w:u w:val="single"/>
    </w:rPr>
  </w:style>
  <w:style w:type="character" w:styleId="Nadruk">
    <w:name w:val="Emphasis"/>
    <w:uiPriority w:val="20"/>
    <w:qFormat/>
    <w:rsid w:val="007F7ED1"/>
    <w:rPr>
      <w:i/>
      <w:iCs/>
    </w:rPr>
  </w:style>
  <w:style w:type="table" w:styleId="Tabelraster">
    <w:name w:val="Table Grid"/>
    <w:basedOn w:val="Standaardtabel"/>
    <w:uiPriority w:val="59"/>
    <w:rsid w:val="00FB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1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3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5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Decker, Elke</dc:creator>
  <cp:lastModifiedBy>Vlaams Parlement</cp:lastModifiedBy>
  <cp:revision>4</cp:revision>
  <cp:lastPrinted>2013-09-25T09:22:00Z</cp:lastPrinted>
  <dcterms:created xsi:type="dcterms:W3CDTF">2013-09-20T08:06:00Z</dcterms:created>
  <dcterms:modified xsi:type="dcterms:W3CDTF">2013-09-25T09:22:00Z</dcterms:modified>
</cp:coreProperties>
</file>