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33" w:rsidRPr="00A8473D" w:rsidRDefault="00990333" w:rsidP="00990333">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990333" w:rsidRPr="00A8473D" w:rsidRDefault="00990333" w:rsidP="00990333">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990333" w:rsidRPr="00DE405B" w:rsidRDefault="00990333" w:rsidP="00990333">
      <w:pPr>
        <w:pStyle w:val="StandaardSV"/>
        <w:pBdr>
          <w:bottom w:val="single" w:sz="4" w:space="1" w:color="auto"/>
        </w:pBdr>
        <w:rPr>
          <w:lang w:val="nl-BE"/>
        </w:rPr>
      </w:pPr>
    </w:p>
    <w:p w:rsidR="00990333" w:rsidRDefault="00990333" w:rsidP="00990333">
      <w:pPr>
        <w:jc w:val="both"/>
        <w:rPr>
          <w:sz w:val="22"/>
        </w:rPr>
      </w:pPr>
    </w:p>
    <w:p w:rsidR="00CF7B2B" w:rsidRPr="00CF7B2B" w:rsidRDefault="00CF7B2B" w:rsidP="00990333">
      <w:pPr>
        <w:jc w:val="both"/>
        <w:outlineLvl w:val="0"/>
        <w:rPr>
          <w:rFonts w:ascii="Times New Roman Vet" w:hAnsi="Times New Roman Vet"/>
          <w:b/>
          <w:smallCaps/>
          <w:sz w:val="22"/>
          <w:szCs w:val="22"/>
          <w:lang w:val="nl-BE"/>
        </w:rPr>
      </w:pPr>
      <w:r w:rsidRPr="00CF7B2B">
        <w:rPr>
          <w:rFonts w:ascii="Times New Roman Vet" w:hAnsi="Times New Roman Vet"/>
          <w:b/>
          <w:smallCaps/>
          <w:sz w:val="22"/>
          <w:szCs w:val="22"/>
          <w:lang w:val="nl-BE"/>
        </w:rPr>
        <w:t>antwoord</w:t>
      </w:r>
    </w:p>
    <w:p w:rsidR="00990333" w:rsidRDefault="00CF7B2B" w:rsidP="00CF7B2B">
      <w:pPr>
        <w:jc w:val="both"/>
        <w:outlineLvl w:val="0"/>
        <w:rPr>
          <w:sz w:val="22"/>
        </w:rPr>
      </w:pPr>
      <w:r>
        <w:rPr>
          <w:sz w:val="22"/>
        </w:rPr>
        <w:t>op v</w:t>
      </w:r>
      <w:r w:rsidR="00990333">
        <w:rPr>
          <w:sz w:val="22"/>
        </w:rPr>
        <w:t>raag nr. 672</w:t>
      </w:r>
      <w:r>
        <w:rPr>
          <w:sz w:val="22"/>
        </w:rPr>
        <w:t xml:space="preserve"> </w:t>
      </w:r>
      <w:r w:rsidR="00990333">
        <w:rPr>
          <w:sz w:val="22"/>
        </w:rPr>
        <w:t>van 28 juni 2013</w:t>
      </w:r>
    </w:p>
    <w:p w:rsidR="00990333" w:rsidRDefault="00990333" w:rsidP="00990333">
      <w:pPr>
        <w:jc w:val="both"/>
        <w:rPr>
          <w:b/>
          <w:sz w:val="22"/>
        </w:rPr>
      </w:pPr>
      <w:r>
        <w:rPr>
          <w:sz w:val="22"/>
        </w:rPr>
        <w:t xml:space="preserve">van </w:t>
      </w:r>
      <w:proofErr w:type="spellStart"/>
      <w:r>
        <w:rPr>
          <w:b/>
          <w:smallCaps/>
          <w:sz w:val="22"/>
        </w:rPr>
        <w:t>karim</w:t>
      </w:r>
      <w:proofErr w:type="spellEnd"/>
      <w:r>
        <w:rPr>
          <w:b/>
          <w:smallCaps/>
          <w:sz w:val="22"/>
        </w:rPr>
        <w:t xml:space="preserve"> van </w:t>
      </w:r>
      <w:proofErr w:type="spellStart"/>
      <w:r>
        <w:rPr>
          <w:b/>
          <w:smallCaps/>
          <w:sz w:val="22"/>
        </w:rPr>
        <w:t>overmeire</w:t>
      </w:r>
      <w:proofErr w:type="spellEnd"/>
    </w:p>
    <w:p w:rsidR="00990333" w:rsidRDefault="00990333" w:rsidP="00990333">
      <w:pPr>
        <w:pBdr>
          <w:bottom w:val="single" w:sz="4" w:space="1" w:color="auto"/>
        </w:pBdr>
        <w:jc w:val="both"/>
        <w:rPr>
          <w:sz w:val="22"/>
        </w:rPr>
      </w:pPr>
    </w:p>
    <w:p w:rsidR="00990333" w:rsidRDefault="00990333" w:rsidP="00990333">
      <w:pPr>
        <w:pStyle w:val="StandaardSV"/>
      </w:pPr>
    </w:p>
    <w:p w:rsidR="00990333" w:rsidRDefault="00990333" w:rsidP="00990333">
      <w:pPr>
        <w:pStyle w:val="StandaardSV"/>
      </w:pPr>
    </w:p>
    <w:p w:rsidR="008D027B" w:rsidRPr="008D027B" w:rsidRDefault="008D027B" w:rsidP="008D027B">
      <w:pPr>
        <w:pStyle w:val="StandaardSV"/>
        <w:numPr>
          <w:ilvl w:val="0"/>
          <w:numId w:val="1"/>
        </w:numPr>
        <w:ind w:left="360"/>
      </w:pPr>
      <w:r w:rsidRPr="008D027B">
        <w:t xml:space="preserve">In onderstaande tabel vindt u </w:t>
      </w:r>
      <w:r>
        <w:t>een overzicht van de exportcijfers naar de BRIC-landen (Brazilië, Rusland, India en China) voor de periode 2008-201</w:t>
      </w:r>
      <w:r w:rsidR="00E90764">
        <w:t>1</w:t>
      </w:r>
      <w:r>
        <w:t>.</w:t>
      </w:r>
      <w:r w:rsidRPr="008D027B">
        <w:t xml:space="preserve"> </w:t>
      </w:r>
      <w:r>
        <w:t xml:space="preserve">Ik merk nog op dat de in </w:t>
      </w:r>
      <w:r w:rsidRPr="008D027B">
        <w:t>het boek “Grenze</w:t>
      </w:r>
      <w:r>
        <w:t xml:space="preserve">loos ondernemen in Vlaanderen” </w:t>
      </w:r>
      <w:r w:rsidRPr="008D027B">
        <w:t xml:space="preserve">bestudeerde in- en uitvoercijfers (Nationaal Concept) </w:t>
      </w:r>
      <w:r>
        <w:t xml:space="preserve">met betrekking tot </w:t>
      </w:r>
      <w:r w:rsidRPr="008D027B">
        <w:t>2008</w:t>
      </w:r>
      <w:r>
        <w:t xml:space="preserve"> voorlopig waren.  </w:t>
      </w:r>
      <w:r w:rsidRPr="008D027B">
        <w:t xml:space="preserve">Intussen zijn de cijfers met betrekking tot 2008 definitief geworden, en bijgesteld tot 6,1%. </w:t>
      </w:r>
    </w:p>
    <w:p w:rsidR="008D027B" w:rsidRPr="008D027B" w:rsidRDefault="008D027B" w:rsidP="008D027B">
      <w:pPr>
        <w:pStyle w:val="StandaardSV"/>
        <w:ind w:left="360"/>
      </w:pPr>
    </w:p>
    <w:tbl>
      <w:tblPr>
        <w:tblW w:w="6950" w:type="dxa"/>
        <w:jc w:val="center"/>
        <w:tblInd w:w="112" w:type="dxa"/>
        <w:tblLayout w:type="fixed"/>
        <w:tblCellMar>
          <w:left w:w="70" w:type="dxa"/>
          <w:right w:w="70" w:type="dxa"/>
        </w:tblCellMar>
        <w:tblLook w:val="04A0" w:firstRow="1" w:lastRow="0" w:firstColumn="1" w:lastColumn="0" w:noHBand="0" w:noVBand="1"/>
      </w:tblPr>
      <w:tblGrid>
        <w:gridCol w:w="1468"/>
        <w:gridCol w:w="1370"/>
        <w:gridCol w:w="1371"/>
        <w:gridCol w:w="1370"/>
        <w:gridCol w:w="1371"/>
      </w:tblGrid>
      <w:tr w:rsidR="00E90764" w:rsidRPr="00AC5472" w:rsidTr="00E90764">
        <w:trPr>
          <w:trHeight w:val="315"/>
          <w:jc w:val="center"/>
        </w:trPr>
        <w:tc>
          <w:tcPr>
            <w:tcW w:w="1468" w:type="dxa"/>
            <w:tcBorders>
              <w:top w:val="single" w:sz="8" w:space="0" w:color="CCCCCC"/>
              <w:left w:val="single" w:sz="8" w:space="0" w:color="CCCCCC"/>
              <w:bottom w:val="single" w:sz="8" w:space="0" w:color="CCCCCC"/>
              <w:right w:val="single" w:sz="8" w:space="0" w:color="CCCCCC"/>
            </w:tcBorders>
            <w:shd w:val="clear" w:color="000000" w:fill="D8D8D8"/>
            <w:noWrap/>
            <w:hideMark/>
          </w:tcPr>
          <w:p w:rsidR="00E90764" w:rsidRPr="008D027B" w:rsidRDefault="00E90764" w:rsidP="00A018E8">
            <w:pPr>
              <w:rPr>
                <w:b/>
                <w:bCs/>
                <w:sz w:val="20"/>
                <w:lang w:val="nl-BE" w:eastAsia="nl-BE"/>
              </w:rPr>
            </w:pPr>
            <w:r w:rsidRPr="008D027B">
              <w:rPr>
                <w:b/>
                <w:bCs/>
                <w:sz w:val="20"/>
                <w:lang w:val="nl-BE" w:eastAsia="nl-BE"/>
              </w:rPr>
              <w:t> </w:t>
            </w:r>
          </w:p>
        </w:tc>
        <w:tc>
          <w:tcPr>
            <w:tcW w:w="1370" w:type="dxa"/>
            <w:tcBorders>
              <w:top w:val="single" w:sz="8" w:space="0" w:color="CCCCCC"/>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sz w:val="20"/>
                <w:lang w:val="nl-BE" w:eastAsia="nl-BE"/>
              </w:rPr>
            </w:pPr>
            <w:r w:rsidRPr="008D027B">
              <w:rPr>
                <w:b/>
                <w:bCs/>
                <w:sz w:val="20"/>
                <w:lang w:val="nl-BE" w:eastAsia="nl-BE"/>
              </w:rPr>
              <w:t>2008</w:t>
            </w:r>
          </w:p>
        </w:tc>
        <w:tc>
          <w:tcPr>
            <w:tcW w:w="1371" w:type="dxa"/>
            <w:tcBorders>
              <w:top w:val="single" w:sz="8" w:space="0" w:color="CCCCCC"/>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sz w:val="20"/>
                <w:lang w:val="nl-BE" w:eastAsia="nl-BE"/>
              </w:rPr>
            </w:pPr>
            <w:r w:rsidRPr="008D027B">
              <w:rPr>
                <w:b/>
                <w:bCs/>
                <w:sz w:val="20"/>
                <w:lang w:val="nl-BE" w:eastAsia="nl-BE"/>
              </w:rPr>
              <w:t>2009</w:t>
            </w:r>
          </w:p>
        </w:tc>
        <w:tc>
          <w:tcPr>
            <w:tcW w:w="1370" w:type="dxa"/>
            <w:tcBorders>
              <w:top w:val="single" w:sz="8" w:space="0" w:color="CCCCCC"/>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sz w:val="20"/>
                <w:lang w:val="nl-BE" w:eastAsia="nl-BE"/>
              </w:rPr>
            </w:pPr>
            <w:r w:rsidRPr="008D027B">
              <w:rPr>
                <w:b/>
                <w:bCs/>
                <w:sz w:val="20"/>
                <w:lang w:val="nl-BE" w:eastAsia="nl-BE"/>
              </w:rPr>
              <w:t>2010</w:t>
            </w:r>
          </w:p>
        </w:tc>
        <w:tc>
          <w:tcPr>
            <w:tcW w:w="1371" w:type="dxa"/>
            <w:tcBorders>
              <w:top w:val="single" w:sz="8" w:space="0" w:color="CCCCCC"/>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sz w:val="20"/>
                <w:lang w:val="nl-BE" w:eastAsia="nl-BE"/>
              </w:rPr>
            </w:pPr>
            <w:r w:rsidRPr="008D027B">
              <w:rPr>
                <w:b/>
                <w:bCs/>
                <w:sz w:val="20"/>
                <w:lang w:val="nl-BE" w:eastAsia="nl-BE"/>
              </w:rPr>
              <w:t>2011</w:t>
            </w:r>
          </w:p>
        </w:tc>
      </w:tr>
      <w:tr w:rsidR="00E90764" w:rsidRPr="00AC5472" w:rsidTr="00E90764">
        <w:trPr>
          <w:trHeight w:val="315"/>
          <w:jc w:val="center"/>
        </w:trPr>
        <w:tc>
          <w:tcPr>
            <w:tcW w:w="1468" w:type="dxa"/>
            <w:tcBorders>
              <w:top w:val="nil"/>
              <w:left w:val="single" w:sz="8" w:space="0" w:color="CCCCCC"/>
              <w:bottom w:val="single" w:sz="8" w:space="0" w:color="CCCCCC"/>
              <w:right w:val="single" w:sz="8" w:space="0" w:color="CCCCCC"/>
            </w:tcBorders>
            <w:shd w:val="clear" w:color="auto" w:fill="auto"/>
            <w:noWrap/>
            <w:vAlign w:val="center"/>
            <w:hideMark/>
          </w:tcPr>
          <w:p w:rsidR="00E90764" w:rsidRPr="008D027B" w:rsidRDefault="00E90764" w:rsidP="00A018E8">
            <w:pPr>
              <w:rPr>
                <w:sz w:val="20"/>
                <w:lang w:val="nl-BE" w:eastAsia="nl-BE"/>
              </w:rPr>
            </w:pPr>
            <w:r w:rsidRPr="008D027B">
              <w:rPr>
                <w:sz w:val="20"/>
                <w:lang w:val="nl-BE" w:eastAsia="nl-BE"/>
              </w:rPr>
              <w:t>India</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2,65%</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3,01%</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3,88%</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3,98%</w:t>
            </w:r>
          </w:p>
        </w:tc>
      </w:tr>
      <w:tr w:rsidR="00E90764" w:rsidRPr="00AC5472" w:rsidTr="00E90764">
        <w:trPr>
          <w:trHeight w:val="315"/>
          <w:jc w:val="center"/>
        </w:trPr>
        <w:tc>
          <w:tcPr>
            <w:tcW w:w="1468" w:type="dxa"/>
            <w:tcBorders>
              <w:top w:val="nil"/>
              <w:left w:val="single" w:sz="8" w:space="0" w:color="CCCCCC"/>
              <w:bottom w:val="single" w:sz="8" w:space="0" w:color="CCCCCC"/>
              <w:right w:val="single" w:sz="8" w:space="0" w:color="CCCCCC"/>
            </w:tcBorders>
            <w:shd w:val="clear" w:color="auto" w:fill="auto"/>
            <w:noWrap/>
            <w:vAlign w:val="center"/>
            <w:hideMark/>
          </w:tcPr>
          <w:p w:rsidR="00E90764" w:rsidRPr="008D027B" w:rsidRDefault="00E90764" w:rsidP="00A018E8">
            <w:pPr>
              <w:rPr>
                <w:sz w:val="20"/>
                <w:lang w:val="nl-BE" w:eastAsia="nl-BE"/>
              </w:rPr>
            </w:pPr>
            <w:r w:rsidRPr="008D027B">
              <w:rPr>
                <w:sz w:val="20"/>
                <w:lang w:val="nl-BE" w:eastAsia="nl-BE"/>
              </w:rPr>
              <w:t>Rusland</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1,45%</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0,98%</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1,28%</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1,67%</w:t>
            </w:r>
          </w:p>
        </w:tc>
      </w:tr>
      <w:tr w:rsidR="00E90764" w:rsidRPr="00AC5472" w:rsidTr="00E90764">
        <w:trPr>
          <w:trHeight w:val="315"/>
          <w:jc w:val="center"/>
        </w:trPr>
        <w:tc>
          <w:tcPr>
            <w:tcW w:w="1468" w:type="dxa"/>
            <w:tcBorders>
              <w:top w:val="nil"/>
              <w:left w:val="single" w:sz="8" w:space="0" w:color="CCCCCC"/>
              <w:bottom w:val="single" w:sz="8" w:space="0" w:color="CCCCCC"/>
              <w:right w:val="single" w:sz="8" w:space="0" w:color="CCCCCC"/>
            </w:tcBorders>
            <w:shd w:val="clear" w:color="auto" w:fill="auto"/>
            <w:noWrap/>
            <w:vAlign w:val="center"/>
            <w:hideMark/>
          </w:tcPr>
          <w:p w:rsidR="00E90764" w:rsidRPr="008D027B" w:rsidRDefault="00E90764" w:rsidP="00A018E8">
            <w:pPr>
              <w:rPr>
                <w:sz w:val="20"/>
                <w:lang w:val="nl-BE" w:eastAsia="nl-BE"/>
              </w:rPr>
            </w:pPr>
            <w:r w:rsidRPr="008D027B">
              <w:rPr>
                <w:sz w:val="20"/>
                <w:lang w:val="nl-BE" w:eastAsia="nl-BE"/>
              </w:rPr>
              <w:t>China</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1,40%</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2,20%</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2,37%</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2,87%</w:t>
            </w:r>
          </w:p>
        </w:tc>
      </w:tr>
      <w:tr w:rsidR="00E90764" w:rsidRPr="00AC5472" w:rsidTr="00E90764">
        <w:trPr>
          <w:trHeight w:val="315"/>
          <w:jc w:val="center"/>
        </w:trPr>
        <w:tc>
          <w:tcPr>
            <w:tcW w:w="1468" w:type="dxa"/>
            <w:tcBorders>
              <w:top w:val="nil"/>
              <w:left w:val="single" w:sz="8" w:space="0" w:color="CCCCCC"/>
              <w:bottom w:val="single" w:sz="8" w:space="0" w:color="CCCCCC"/>
              <w:right w:val="single" w:sz="8" w:space="0" w:color="CCCCCC"/>
            </w:tcBorders>
            <w:shd w:val="clear" w:color="auto" w:fill="auto"/>
            <w:noWrap/>
            <w:vAlign w:val="center"/>
            <w:hideMark/>
          </w:tcPr>
          <w:p w:rsidR="00E90764" w:rsidRPr="008D027B" w:rsidRDefault="00E90764" w:rsidP="00A018E8">
            <w:pPr>
              <w:rPr>
                <w:sz w:val="20"/>
                <w:lang w:val="nl-BE" w:eastAsia="nl-BE"/>
              </w:rPr>
            </w:pPr>
            <w:r w:rsidRPr="008D027B">
              <w:rPr>
                <w:sz w:val="20"/>
                <w:lang w:val="nl-BE" w:eastAsia="nl-BE"/>
              </w:rPr>
              <w:t>Brazilië</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0,59%</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0,49%</w:t>
            </w:r>
          </w:p>
        </w:tc>
        <w:tc>
          <w:tcPr>
            <w:tcW w:w="1370"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0,76%</w:t>
            </w:r>
          </w:p>
        </w:tc>
        <w:tc>
          <w:tcPr>
            <w:tcW w:w="1371" w:type="dxa"/>
            <w:tcBorders>
              <w:top w:val="nil"/>
              <w:left w:val="nil"/>
              <w:bottom w:val="single" w:sz="8" w:space="0" w:color="CCCCCC"/>
              <w:right w:val="single" w:sz="8" w:space="0" w:color="CCCCCC"/>
            </w:tcBorders>
            <w:shd w:val="clear" w:color="auto" w:fill="auto"/>
            <w:noWrap/>
            <w:vAlign w:val="center"/>
            <w:hideMark/>
          </w:tcPr>
          <w:p w:rsidR="00E90764" w:rsidRPr="008D027B" w:rsidRDefault="00E90764" w:rsidP="00A018E8">
            <w:pPr>
              <w:jc w:val="center"/>
              <w:rPr>
                <w:i/>
                <w:iCs/>
                <w:sz w:val="20"/>
                <w:lang w:val="nl-BE" w:eastAsia="nl-BE"/>
              </w:rPr>
            </w:pPr>
            <w:r w:rsidRPr="008D027B">
              <w:rPr>
                <w:i/>
                <w:iCs/>
                <w:sz w:val="20"/>
                <w:lang w:val="nl-BE" w:eastAsia="nl-BE"/>
              </w:rPr>
              <w:t>0,64%</w:t>
            </w:r>
          </w:p>
        </w:tc>
      </w:tr>
      <w:tr w:rsidR="00E90764" w:rsidRPr="00AC5472" w:rsidTr="00E90764">
        <w:trPr>
          <w:trHeight w:val="315"/>
          <w:jc w:val="center"/>
        </w:trPr>
        <w:tc>
          <w:tcPr>
            <w:tcW w:w="1468" w:type="dxa"/>
            <w:tcBorders>
              <w:top w:val="nil"/>
              <w:left w:val="single" w:sz="8" w:space="0" w:color="CCCCCC"/>
              <w:bottom w:val="single" w:sz="8" w:space="0" w:color="CCCCCC"/>
              <w:right w:val="single" w:sz="8" w:space="0" w:color="CCCCCC"/>
            </w:tcBorders>
            <w:shd w:val="clear" w:color="000000" w:fill="D8D8D8"/>
            <w:noWrap/>
            <w:vAlign w:val="center"/>
            <w:hideMark/>
          </w:tcPr>
          <w:p w:rsidR="00E90764" w:rsidRPr="008D027B" w:rsidRDefault="00E90764" w:rsidP="00A018E8">
            <w:pPr>
              <w:rPr>
                <w:b/>
                <w:bCs/>
                <w:sz w:val="20"/>
                <w:lang w:val="nl-BE" w:eastAsia="nl-BE"/>
              </w:rPr>
            </w:pPr>
            <w:r w:rsidRPr="008D027B">
              <w:rPr>
                <w:b/>
                <w:bCs/>
                <w:sz w:val="20"/>
                <w:lang w:val="nl-BE" w:eastAsia="nl-BE"/>
              </w:rPr>
              <w:t>BRIC</w:t>
            </w:r>
          </w:p>
        </w:tc>
        <w:tc>
          <w:tcPr>
            <w:tcW w:w="1370" w:type="dxa"/>
            <w:tcBorders>
              <w:top w:val="nil"/>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i/>
                <w:iCs/>
                <w:sz w:val="20"/>
                <w:lang w:val="nl-BE" w:eastAsia="nl-BE"/>
              </w:rPr>
            </w:pPr>
            <w:r w:rsidRPr="008D027B">
              <w:rPr>
                <w:b/>
                <w:bCs/>
                <w:i/>
                <w:iCs/>
                <w:sz w:val="20"/>
                <w:lang w:val="nl-BE" w:eastAsia="nl-BE"/>
              </w:rPr>
              <w:t>6,1%</w:t>
            </w:r>
          </w:p>
        </w:tc>
        <w:tc>
          <w:tcPr>
            <w:tcW w:w="1371" w:type="dxa"/>
            <w:tcBorders>
              <w:top w:val="nil"/>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i/>
                <w:iCs/>
                <w:sz w:val="20"/>
                <w:lang w:val="nl-BE" w:eastAsia="nl-BE"/>
              </w:rPr>
            </w:pPr>
            <w:r w:rsidRPr="008D027B">
              <w:rPr>
                <w:b/>
                <w:bCs/>
                <w:i/>
                <w:iCs/>
                <w:sz w:val="20"/>
                <w:lang w:val="nl-BE" w:eastAsia="nl-BE"/>
              </w:rPr>
              <w:t>6,7%</w:t>
            </w:r>
          </w:p>
        </w:tc>
        <w:tc>
          <w:tcPr>
            <w:tcW w:w="1370" w:type="dxa"/>
            <w:tcBorders>
              <w:top w:val="nil"/>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i/>
                <w:iCs/>
                <w:sz w:val="20"/>
                <w:lang w:val="nl-BE" w:eastAsia="nl-BE"/>
              </w:rPr>
            </w:pPr>
            <w:r w:rsidRPr="008D027B">
              <w:rPr>
                <w:b/>
                <w:bCs/>
                <w:i/>
                <w:iCs/>
                <w:sz w:val="20"/>
                <w:lang w:val="nl-BE" w:eastAsia="nl-BE"/>
              </w:rPr>
              <w:t>8,3%</w:t>
            </w:r>
          </w:p>
        </w:tc>
        <w:tc>
          <w:tcPr>
            <w:tcW w:w="1371" w:type="dxa"/>
            <w:tcBorders>
              <w:top w:val="nil"/>
              <w:left w:val="nil"/>
              <w:bottom w:val="single" w:sz="8" w:space="0" w:color="CCCCCC"/>
              <w:right w:val="single" w:sz="8" w:space="0" w:color="CCCCCC"/>
            </w:tcBorders>
            <w:shd w:val="clear" w:color="000000" w:fill="D8D8D8"/>
            <w:noWrap/>
            <w:vAlign w:val="center"/>
            <w:hideMark/>
          </w:tcPr>
          <w:p w:rsidR="00E90764" w:rsidRPr="008D027B" w:rsidRDefault="00E90764" w:rsidP="00A018E8">
            <w:pPr>
              <w:jc w:val="center"/>
              <w:rPr>
                <w:b/>
                <w:bCs/>
                <w:i/>
                <w:iCs/>
                <w:sz w:val="20"/>
                <w:lang w:val="nl-BE" w:eastAsia="nl-BE"/>
              </w:rPr>
            </w:pPr>
            <w:r w:rsidRPr="008D027B">
              <w:rPr>
                <w:b/>
                <w:bCs/>
                <w:i/>
                <w:iCs/>
                <w:sz w:val="20"/>
                <w:lang w:val="nl-BE" w:eastAsia="nl-BE"/>
              </w:rPr>
              <w:t>9,1%</w:t>
            </w:r>
          </w:p>
        </w:tc>
      </w:tr>
    </w:tbl>
    <w:p w:rsidR="008D027B" w:rsidRPr="008D027B" w:rsidRDefault="008D027B" w:rsidP="008D027B">
      <w:pPr>
        <w:pStyle w:val="StandaardSV"/>
        <w:ind w:left="360"/>
        <w:rPr>
          <w:sz w:val="20"/>
        </w:rPr>
      </w:pPr>
      <w:r>
        <w:rPr>
          <w:sz w:val="20"/>
        </w:rPr>
        <w:t xml:space="preserve"> </w:t>
      </w:r>
      <w:r w:rsidRPr="008D027B">
        <w:rPr>
          <w:sz w:val="20"/>
        </w:rPr>
        <w:t>BRON: Instituut voor de Nationale Rekeningen (NBB), gegevens verwerkt volgens het Nationale Concept.</w:t>
      </w:r>
    </w:p>
    <w:p w:rsidR="008D027B" w:rsidRPr="008D027B" w:rsidRDefault="008D027B" w:rsidP="008D027B">
      <w:pPr>
        <w:pStyle w:val="StandaardSV"/>
        <w:jc w:val="left"/>
      </w:pPr>
    </w:p>
    <w:p w:rsidR="008D027B" w:rsidRDefault="00C90F67" w:rsidP="008D027B">
      <w:pPr>
        <w:pStyle w:val="StandaardSV"/>
        <w:ind w:left="360"/>
      </w:pPr>
      <w:r>
        <w:t>De merkbaar</w:t>
      </w:r>
      <w:r w:rsidR="008D027B">
        <w:t xml:space="preserve"> positieve</w:t>
      </w:r>
      <w:r w:rsidR="008D027B" w:rsidRPr="008D027B">
        <w:t xml:space="preserve"> evolutie</w:t>
      </w:r>
      <w:r w:rsidR="008D027B">
        <w:t xml:space="preserve"> tussen 2008</w:t>
      </w:r>
      <w:r w:rsidR="008D027B">
        <w:rPr>
          <w:vertAlign w:val="superscript"/>
        </w:rPr>
        <w:t xml:space="preserve"> </w:t>
      </w:r>
      <w:r w:rsidR="008D027B">
        <w:t>en 201</w:t>
      </w:r>
      <w:r w:rsidR="00E90764">
        <w:t>1</w:t>
      </w:r>
      <w:r w:rsidR="008D027B" w:rsidRPr="008D027B">
        <w:t xml:space="preserve"> bevestigt de tendens die reeds enkele jaren aan de gang is, namelijk een gestage verschuiving van de Vlaamse uitvoer naar bestemmingen buiten de Europese Unie (EU). Dat de BRIC-landen in die evolutie een cruciale rol spelen, spreekt voor zich.</w:t>
      </w:r>
    </w:p>
    <w:p w:rsidR="008D027B" w:rsidRPr="003F5683" w:rsidRDefault="008D027B" w:rsidP="00990333">
      <w:pPr>
        <w:pStyle w:val="StandaardSV"/>
      </w:pPr>
    </w:p>
    <w:p w:rsidR="008D027B" w:rsidRDefault="008D027B" w:rsidP="00990333">
      <w:pPr>
        <w:pStyle w:val="StandaardSV"/>
        <w:numPr>
          <w:ilvl w:val="0"/>
          <w:numId w:val="1"/>
        </w:numPr>
        <w:ind w:left="360"/>
      </w:pPr>
      <w:proofErr w:type="spellStart"/>
      <w:r w:rsidRPr="00574790">
        <w:rPr>
          <w:i/>
        </w:rPr>
        <w:t>Flanders</w:t>
      </w:r>
      <w:proofErr w:type="spellEnd"/>
      <w:r w:rsidRPr="00574790">
        <w:rPr>
          <w:i/>
        </w:rPr>
        <w:t xml:space="preserve"> Investment &amp; Trade</w:t>
      </w:r>
      <w:r w:rsidRPr="00574790">
        <w:t xml:space="preserve"> (FIT) besteedt zeer veel aandacht aan groeimarkten. Het merendeel van de acties die opgenomen worden in het jaarlijks actieplan zijn gericht op </w:t>
      </w:r>
      <w:r w:rsidR="00574790">
        <w:t xml:space="preserve">die </w:t>
      </w:r>
      <w:r w:rsidRPr="00574790">
        <w:t xml:space="preserve">groeimarkten. Meer dan de helft van de 25 </w:t>
      </w:r>
      <w:r w:rsidR="00574790">
        <w:t>FIT-</w:t>
      </w:r>
      <w:r w:rsidRPr="00574790">
        <w:t>focuslanden</w:t>
      </w:r>
      <w:r w:rsidR="00574790">
        <w:t xml:space="preserve"> voor internationaal ondernemen</w:t>
      </w:r>
      <w:r w:rsidRPr="00574790">
        <w:t xml:space="preserve"> zijn groeilanden. Dit zijn met name Brazilië, China, India, Marokko, Mexico, Rusland, Saoedi-Arabië, Singapore, Taiwan, Turkije, de Verenigde Arabische Emiraten, Zuid-Afrika en Zuid-Korea.</w:t>
      </w:r>
    </w:p>
    <w:p w:rsidR="008D027B" w:rsidRPr="003F5683" w:rsidRDefault="008D027B" w:rsidP="00990333">
      <w:pPr>
        <w:pStyle w:val="StandaardSV"/>
      </w:pPr>
    </w:p>
    <w:p w:rsidR="008D027B" w:rsidRDefault="00574790" w:rsidP="00574790">
      <w:pPr>
        <w:pStyle w:val="StandaardSV"/>
        <w:numPr>
          <w:ilvl w:val="0"/>
          <w:numId w:val="1"/>
        </w:numPr>
        <w:ind w:left="360"/>
      </w:pPr>
      <w:r>
        <w:t>Ja, j</w:t>
      </w:r>
      <w:r w:rsidR="008D027B" w:rsidRPr="00574790">
        <w:t xml:space="preserve">onge, beloftevolle bedrijven worden door FIT gestimuleerd om deel te nemen aan economische missies naar groeilanden doordat zij recht hebben op een hoger subsidiëringspercentage. Daarnaast werd er in 2013 voor de eerste maal in samenwerking met </w:t>
      </w:r>
      <w:proofErr w:type="spellStart"/>
      <w:r w:rsidR="008D027B" w:rsidRPr="00574790">
        <w:t>Unizo</w:t>
      </w:r>
      <w:proofErr w:type="spellEnd"/>
      <w:r w:rsidR="008D027B" w:rsidRPr="00574790">
        <w:t xml:space="preserve"> Internationaal een groepszakenreis naar Hong Kong en Singapore georganiseerd</w:t>
      </w:r>
      <w:r>
        <w:t>. Die reis was</w:t>
      </w:r>
      <w:r w:rsidR="008D027B" w:rsidRPr="00574790">
        <w:t xml:space="preserve"> specifiek gericht op minder ervaren exporteurs om hen er toe aan te zetten hun actieterrein uit te breiden buiten Europa en zo te kunnen profiteren van</w:t>
      </w:r>
      <w:r>
        <w:t xml:space="preserve"> de economische groei in Azië. </w:t>
      </w:r>
    </w:p>
    <w:p w:rsidR="008D027B" w:rsidRPr="003F5683" w:rsidRDefault="008D027B" w:rsidP="00990333">
      <w:pPr>
        <w:pStyle w:val="StandaardSV"/>
      </w:pPr>
    </w:p>
    <w:p w:rsidR="008D027B" w:rsidRPr="00006A47" w:rsidRDefault="00006A47" w:rsidP="00006A47">
      <w:pPr>
        <w:pStyle w:val="StandaardSV"/>
        <w:numPr>
          <w:ilvl w:val="0"/>
          <w:numId w:val="1"/>
        </w:numPr>
        <w:ind w:left="360"/>
      </w:pPr>
      <w:r>
        <w:t xml:space="preserve">De samenwerking ter zake tussen het </w:t>
      </w:r>
      <w:r w:rsidRPr="003F5683">
        <w:t>Agentschap voor Innovatie door Wetenschap en Technologie</w:t>
      </w:r>
      <w:r>
        <w:t xml:space="preserve"> (IWT) en FIT verloopt </w:t>
      </w:r>
      <w:r w:rsidR="00C90F67">
        <w:t>via de stuurgroep Technologieattachés, waar d</w:t>
      </w:r>
      <w:r w:rsidR="008D027B" w:rsidRPr="00006A47">
        <w:t xml:space="preserve">e leidend ambtenaar van het IWT </w:t>
      </w:r>
      <w:r w:rsidR="00ED06D0">
        <w:t>dee</w:t>
      </w:r>
      <w:r w:rsidR="00C90F67">
        <w:t>l van uitmaakt.</w:t>
      </w:r>
      <w:r w:rsidR="00ED06D0">
        <w:t xml:space="preserve"> D</w:t>
      </w:r>
      <w:r w:rsidR="008D027B" w:rsidRPr="00006A47">
        <w:t>e stuurgroep draagt in grote mate bij tot de strategische aansturing van het netwerk van de Technologieattachés. Aangezien heel wat jonge, beloftevolle bedrijven actief zijn in hoogtechnologische sectoren, vinden zij in de Technologieattachés een natuurlijk aanspreekpunt.</w:t>
      </w:r>
    </w:p>
    <w:p w:rsidR="008D027B" w:rsidRPr="003F5683" w:rsidRDefault="008D027B" w:rsidP="001D01B4">
      <w:pPr>
        <w:pStyle w:val="StandaardSV"/>
      </w:pPr>
    </w:p>
    <w:p w:rsidR="001D01B4" w:rsidRDefault="008D027B" w:rsidP="001D01B4">
      <w:pPr>
        <w:pStyle w:val="StandaardSV"/>
        <w:numPr>
          <w:ilvl w:val="0"/>
          <w:numId w:val="1"/>
        </w:numPr>
        <w:ind w:left="360"/>
      </w:pPr>
      <w:r w:rsidRPr="001D01B4">
        <w:t xml:space="preserve">Het Gemeenschappelijk Handelsbeleid van de Europese Unie (EU) is sterk gericht naar de groeimarkten. De Europese Commissie onderhandelt met landen zoals Maleisië, Vietnam, Thailand, India, en de landen van </w:t>
      </w:r>
      <w:proofErr w:type="spellStart"/>
      <w:r w:rsidRPr="001D01B4">
        <w:t>Mercosur</w:t>
      </w:r>
      <w:proofErr w:type="spellEnd"/>
      <w:r w:rsidRPr="001D01B4">
        <w:t xml:space="preserve"> (Argentini</w:t>
      </w:r>
      <w:r w:rsidR="001D01B4">
        <w:t xml:space="preserve">ë, Brazilië, Paraguay, Uruguay </w:t>
      </w:r>
      <w:proofErr w:type="spellStart"/>
      <w:r w:rsidR="001D01B4">
        <w:lastRenderedPageBreak/>
        <w:t>en</w:t>
      </w:r>
      <w:r w:rsidRPr="001D01B4">
        <w:t>Venezuela</w:t>
      </w:r>
      <w:proofErr w:type="spellEnd"/>
      <w:r w:rsidRPr="001D01B4">
        <w:t>) over ambi</w:t>
      </w:r>
      <w:r w:rsidR="001D01B4">
        <w:t>tieuze vrijhandelsakkoorden. Di</w:t>
      </w:r>
      <w:r w:rsidRPr="001D01B4">
        <w:t>e zorgen voor een vrije markttoegang voor goederen, diensten en openbare aanbestedingen, en creëren een gelijk speelveld inzake intellectuele eigendomsrechten, mededingi</w:t>
      </w:r>
      <w:bookmarkStart w:id="0" w:name="_GoBack"/>
      <w:bookmarkEnd w:id="0"/>
      <w:r w:rsidRPr="001D01B4">
        <w:t xml:space="preserve">ng en dergelijke. </w:t>
      </w:r>
    </w:p>
    <w:p w:rsidR="001D01B4" w:rsidRDefault="001D01B4" w:rsidP="001D01B4">
      <w:pPr>
        <w:pStyle w:val="Lijstalinea"/>
      </w:pPr>
    </w:p>
    <w:p w:rsidR="008D027B" w:rsidRPr="001D01B4" w:rsidRDefault="008D027B" w:rsidP="00450B0E">
      <w:pPr>
        <w:pStyle w:val="StandaardSV"/>
        <w:ind w:left="357"/>
      </w:pPr>
      <w:r w:rsidRPr="001D01B4">
        <w:t xml:space="preserve">Daarnaast maakt Vlaanderen ook gebruik van de Europese Markttoegangstrategie om acute handelsbelemmeringen in </w:t>
      </w:r>
      <w:proofErr w:type="spellStart"/>
      <w:r w:rsidRPr="001D01B4">
        <w:t>extracommunautaire</w:t>
      </w:r>
      <w:proofErr w:type="spellEnd"/>
      <w:r w:rsidRPr="001D01B4">
        <w:t xml:space="preserve"> landen aan te pakken. Ondernemingen kunnen hun problemen melden bij het Meldpunt Handelsbelemmeringen op de website van FIT. Indien het weldegelijk om een handelsbelemmering gaat, bekijken FIT en het Departement internationaal Vlaanderen (</w:t>
      </w:r>
      <w:proofErr w:type="spellStart"/>
      <w:r w:rsidRPr="001D01B4">
        <w:t>DiV</w:t>
      </w:r>
      <w:proofErr w:type="spellEnd"/>
      <w:r w:rsidRPr="001D01B4">
        <w:t>) welke initiatieven genomen kunnen worden om het probleem op te lossen. Dit kan bijvoorbeeld via een demarche naar de Europese Commissie, of via een interventie van de Vlaamse Economische Vertegenwoordig ter plaatse. Het grootste deel van de handelsbelemmeringen die op die manier gesignaleerd zijn, hebben betrekking op groeimarkten zoals Argentinië, India, Rusland of Zuid-Afrika.</w:t>
      </w:r>
    </w:p>
    <w:p w:rsidR="008D027B" w:rsidRPr="001D01B4" w:rsidRDefault="008D027B" w:rsidP="00990333">
      <w:pPr>
        <w:pStyle w:val="StandaardSV"/>
      </w:pPr>
    </w:p>
    <w:p w:rsidR="008D027B" w:rsidRPr="001D01B4" w:rsidRDefault="008D027B" w:rsidP="001D01B4">
      <w:pPr>
        <w:pStyle w:val="StandaardSV"/>
        <w:numPr>
          <w:ilvl w:val="0"/>
          <w:numId w:val="1"/>
        </w:numPr>
        <w:ind w:left="360"/>
      </w:pPr>
      <w:r w:rsidRPr="001D01B4">
        <w:t>FIT wil in de toekomst ook actief werken op de ‘exportbeslissing</w:t>
      </w:r>
      <w:r w:rsidR="001D01B4">
        <w:t>’</w:t>
      </w:r>
      <w:r w:rsidR="003E2C72">
        <w:t>. Da</w:t>
      </w:r>
      <w:r w:rsidRPr="001D01B4">
        <w:t>t is de beslissing die een bedrijf neemt om al dan niet internationaal actief te worden. Om de eventuele hefbomen die hiervoor gebruikt zouden kunnen worden te identificeren, is evenwel wetenschappelijk onderzoek nodig.</w:t>
      </w:r>
      <w:r w:rsidR="001D01B4">
        <w:t xml:space="preserve"> </w:t>
      </w:r>
      <w:r w:rsidRPr="001D01B4">
        <w:t>De identificatie van de drempels die bedrijven ervaren om de stap naar internationaliseren te zetten maakt het onde</w:t>
      </w:r>
      <w:r w:rsidR="003E2C72">
        <w:t xml:space="preserve">rwerp uit van een </w:t>
      </w:r>
      <w:proofErr w:type="spellStart"/>
      <w:r w:rsidR="003E2C72">
        <w:t>langetermijn</w:t>
      </w:r>
      <w:r w:rsidRPr="001D01B4">
        <w:t>onderzoek</w:t>
      </w:r>
      <w:proofErr w:type="spellEnd"/>
      <w:r w:rsidRPr="001D01B4">
        <w:t xml:space="preserve"> over de ‘exportbeslissing’ d</w:t>
      </w:r>
      <w:r w:rsidR="003E2C72">
        <w:t xml:space="preserve">oor het Steunpunt </w:t>
      </w:r>
      <w:r w:rsidRPr="001D01B4">
        <w:t>Buitenlands Beleid, Internationaal Ondernemen en Ontwikkelingssamenwerking.</w:t>
      </w:r>
      <w:r w:rsidR="003E2C72">
        <w:t xml:space="preserve"> </w:t>
      </w:r>
      <w:r w:rsidRPr="001D01B4">
        <w:t>In afwachting van de resultaten van dit onderzoek werd evenwel reeds de beslissing genomen om de subsidiepercentages voor bedrijven die starten met export te verhogen om daarmee een eventuele financiële drempel naar export te verlagen.</w:t>
      </w:r>
    </w:p>
    <w:p w:rsidR="008D027B" w:rsidRDefault="008D027B" w:rsidP="001D01B4">
      <w:pPr>
        <w:pStyle w:val="StandaardSV"/>
        <w:ind w:left="360"/>
      </w:pPr>
    </w:p>
    <w:sectPr w:rsidR="008D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345A"/>
    <w:multiLevelType w:val="hybridMultilevel"/>
    <w:tmpl w:val="33FA7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33"/>
    <w:rsid w:val="00006A47"/>
    <w:rsid w:val="001D01B4"/>
    <w:rsid w:val="003E2C72"/>
    <w:rsid w:val="00450B0E"/>
    <w:rsid w:val="004F34A9"/>
    <w:rsid w:val="00574790"/>
    <w:rsid w:val="008A7D3E"/>
    <w:rsid w:val="008D027B"/>
    <w:rsid w:val="009537C0"/>
    <w:rsid w:val="00990333"/>
    <w:rsid w:val="00A04167"/>
    <w:rsid w:val="00AF03D8"/>
    <w:rsid w:val="00B15860"/>
    <w:rsid w:val="00C90F67"/>
    <w:rsid w:val="00CF7B2B"/>
    <w:rsid w:val="00D25C53"/>
    <w:rsid w:val="00E90764"/>
    <w:rsid w:val="00ED06D0"/>
    <w:rsid w:val="00FD2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33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90333"/>
    <w:pPr>
      <w:jc w:val="both"/>
    </w:pPr>
    <w:rPr>
      <w:b/>
      <w:smallCaps/>
      <w:sz w:val="22"/>
    </w:rPr>
  </w:style>
  <w:style w:type="paragraph" w:customStyle="1" w:styleId="StandaardSV">
    <w:name w:val="Standaard SV"/>
    <w:basedOn w:val="Standaard"/>
    <w:link w:val="StandaardSVChar"/>
    <w:rsid w:val="00990333"/>
    <w:pPr>
      <w:jc w:val="both"/>
    </w:pPr>
    <w:rPr>
      <w:sz w:val="22"/>
    </w:rPr>
  </w:style>
  <w:style w:type="character" w:customStyle="1" w:styleId="StandaardSVChar">
    <w:name w:val="Standaard SV Char"/>
    <w:link w:val="StandaardSV"/>
    <w:locked/>
    <w:rsid w:val="00990333"/>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D23FD"/>
    <w:pPr>
      <w:ind w:left="720"/>
      <w:contextualSpacing/>
    </w:pPr>
  </w:style>
  <w:style w:type="character" w:styleId="Verwijzingopmerking">
    <w:name w:val="annotation reference"/>
    <w:basedOn w:val="Standaardalinea-lettertype"/>
    <w:uiPriority w:val="99"/>
    <w:semiHidden/>
    <w:unhideWhenUsed/>
    <w:rsid w:val="008D027B"/>
    <w:rPr>
      <w:sz w:val="16"/>
      <w:szCs w:val="16"/>
    </w:rPr>
  </w:style>
  <w:style w:type="paragraph" w:styleId="Tekstopmerking">
    <w:name w:val="annotation text"/>
    <w:basedOn w:val="Standaard"/>
    <w:link w:val="TekstopmerkingChar"/>
    <w:uiPriority w:val="99"/>
    <w:semiHidden/>
    <w:unhideWhenUsed/>
    <w:rsid w:val="008D027B"/>
    <w:rPr>
      <w:sz w:val="20"/>
    </w:rPr>
  </w:style>
  <w:style w:type="character" w:customStyle="1" w:styleId="TekstopmerkingChar">
    <w:name w:val="Tekst opmerking Char"/>
    <w:basedOn w:val="Standaardalinea-lettertype"/>
    <w:link w:val="Tekstopmerking"/>
    <w:uiPriority w:val="99"/>
    <w:semiHidden/>
    <w:rsid w:val="008D027B"/>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8D027B"/>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27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33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90333"/>
    <w:pPr>
      <w:jc w:val="both"/>
    </w:pPr>
    <w:rPr>
      <w:b/>
      <w:smallCaps/>
      <w:sz w:val="22"/>
    </w:rPr>
  </w:style>
  <w:style w:type="paragraph" w:customStyle="1" w:styleId="StandaardSV">
    <w:name w:val="Standaard SV"/>
    <w:basedOn w:val="Standaard"/>
    <w:link w:val="StandaardSVChar"/>
    <w:rsid w:val="00990333"/>
    <w:pPr>
      <w:jc w:val="both"/>
    </w:pPr>
    <w:rPr>
      <w:sz w:val="22"/>
    </w:rPr>
  </w:style>
  <w:style w:type="character" w:customStyle="1" w:styleId="StandaardSVChar">
    <w:name w:val="Standaard SV Char"/>
    <w:link w:val="StandaardSV"/>
    <w:locked/>
    <w:rsid w:val="00990333"/>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D23FD"/>
    <w:pPr>
      <w:ind w:left="720"/>
      <w:contextualSpacing/>
    </w:pPr>
  </w:style>
  <w:style w:type="character" w:styleId="Verwijzingopmerking">
    <w:name w:val="annotation reference"/>
    <w:basedOn w:val="Standaardalinea-lettertype"/>
    <w:uiPriority w:val="99"/>
    <w:semiHidden/>
    <w:unhideWhenUsed/>
    <w:rsid w:val="008D027B"/>
    <w:rPr>
      <w:sz w:val="16"/>
      <w:szCs w:val="16"/>
    </w:rPr>
  </w:style>
  <w:style w:type="paragraph" w:styleId="Tekstopmerking">
    <w:name w:val="annotation text"/>
    <w:basedOn w:val="Standaard"/>
    <w:link w:val="TekstopmerkingChar"/>
    <w:uiPriority w:val="99"/>
    <w:semiHidden/>
    <w:unhideWhenUsed/>
    <w:rsid w:val="008D027B"/>
    <w:rPr>
      <w:sz w:val="20"/>
    </w:rPr>
  </w:style>
  <w:style w:type="character" w:customStyle="1" w:styleId="TekstopmerkingChar">
    <w:name w:val="Tekst opmerking Char"/>
    <w:basedOn w:val="Standaardalinea-lettertype"/>
    <w:link w:val="Tekstopmerking"/>
    <w:uiPriority w:val="99"/>
    <w:semiHidden/>
    <w:rsid w:val="008D027B"/>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8D027B"/>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27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Sandra Quaethoven</cp:lastModifiedBy>
  <cp:revision>2</cp:revision>
  <cp:lastPrinted>2013-09-17T12:19:00Z</cp:lastPrinted>
  <dcterms:created xsi:type="dcterms:W3CDTF">2013-09-17T12:19:00Z</dcterms:created>
  <dcterms:modified xsi:type="dcterms:W3CDTF">2013-09-17T12:19:00Z</dcterms:modified>
</cp:coreProperties>
</file>