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BA583" w14:textId="5D90B21A" w:rsidR="0068216A" w:rsidRPr="00D03794" w:rsidRDefault="00525D82" w:rsidP="003F1093">
      <w:pPr>
        <w:jc w:val="both"/>
        <w:outlineLvl w:val="0"/>
        <w:rPr>
          <w:b/>
          <w:bCs/>
          <w:caps/>
          <w:sz w:val="18"/>
          <w:szCs w:val="22"/>
          <w:lang w:val="nl-BE"/>
        </w:rPr>
      </w:pPr>
      <w:sdt>
        <w:sdtPr>
          <w:rPr>
            <w:b/>
            <w:bCs/>
            <w:caps/>
            <w:sz w:val="18"/>
            <w:szCs w:val="22"/>
            <w:lang w:val="nl-BE"/>
          </w:rPr>
          <w:alias w:val="Minister"/>
          <w:tag w:val="Minister"/>
          <w:id w:val="733271794"/>
          <w:placeholder>
            <w:docPart w:val="D3F36434BD1C44989A49C8280B093094"/>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6:Minister[1]" w:storeItemID="{74298DB8-679A-49E4-AA34-B450138B57AB}"/>
          <w:dropDownList w:lastValue="1">
            <w:listItem w:value="[Minister]"/>
          </w:dropDownList>
        </w:sdtPr>
        <w:sdtEndPr/>
        <w:sdtContent>
          <w:r w:rsidR="00976A92">
            <w:rPr>
              <w:b/>
              <w:bCs/>
              <w:caps/>
              <w:sz w:val="18"/>
              <w:szCs w:val="22"/>
              <w:lang w:val="nl-BE"/>
            </w:rPr>
            <w:t>Philippe Muyters</w:t>
          </w:r>
        </w:sdtContent>
      </w:sdt>
    </w:p>
    <w:p w14:paraId="76C98454" w14:textId="64079398" w:rsidR="0068216A" w:rsidRPr="005628FF" w:rsidRDefault="002B353C" w:rsidP="003F1093">
      <w:pPr>
        <w:jc w:val="both"/>
        <w:outlineLvl w:val="0"/>
        <w:rPr>
          <w:smallCaps/>
          <w:sz w:val="22"/>
          <w:szCs w:val="22"/>
          <w:lang w:val="nl-BE"/>
        </w:rPr>
      </w:pPr>
      <w:r w:rsidRPr="00D03794">
        <w:rPr>
          <w:caps/>
          <w:sz w:val="18"/>
          <w:szCs w:val="22"/>
          <w:lang w:val="nl-BE"/>
        </w:rPr>
        <w:t>v</w:t>
      </w:r>
      <w:r w:rsidR="0068216A" w:rsidRPr="00D03794">
        <w:rPr>
          <w:caps/>
          <w:sz w:val="18"/>
          <w:szCs w:val="22"/>
          <w:lang w:val="nl-BE"/>
        </w:rPr>
        <w:t>laams minister van</w:t>
      </w:r>
      <w:r w:rsidR="0068216A" w:rsidRPr="005628FF">
        <w:rPr>
          <w:smallCaps/>
          <w:sz w:val="22"/>
          <w:szCs w:val="22"/>
          <w:lang w:val="nl-BE"/>
        </w:rPr>
        <w:t xml:space="preserve">  </w:t>
      </w:r>
      <w:sdt>
        <w:sdtPr>
          <w:rPr>
            <w:caps/>
            <w:sz w:val="18"/>
            <w:szCs w:val="22"/>
            <w:lang w:val="nl-BE"/>
          </w:rPr>
          <w:alias w:val="MinisterAlleDomeinen"/>
          <w:tag w:val="MinisterAlleDomeinen"/>
          <w:id w:val="-188767954"/>
          <w:placeholder>
            <w:docPart w:val="4CE0A9E2AE5F4A5F8A74EE1B1752D76A"/>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3:MinisterAlleDomeinen[1]" w:storeItemID="{74298DB8-679A-49E4-AA34-B450138B57AB}"/>
          <w:text/>
        </w:sdtPr>
        <w:sdtEndPr/>
        <w:sdtContent>
          <w:r w:rsidR="00E1641D">
            <w:rPr>
              <w:caps/>
              <w:sz w:val="18"/>
              <w:szCs w:val="22"/>
              <w:lang w:val="nl-BE"/>
            </w:rPr>
            <w:t>Financiën, Begroting, Werk, Ruimtelijke Ordening en Sport</w:t>
          </w:r>
        </w:sdtContent>
      </w:sdt>
    </w:p>
    <w:p w14:paraId="2BE68061" w14:textId="77777777" w:rsidR="0068216A" w:rsidRPr="005628FF" w:rsidRDefault="0068216A" w:rsidP="003F1093">
      <w:pPr>
        <w:pBdr>
          <w:bottom w:val="single" w:sz="4" w:space="1" w:color="auto"/>
        </w:pBdr>
        <w:jc w:val="both"/>
        <w:rPr>
          <w:sz w:val="22"/>
          <w:szCs w:val="22"/>
          <w:lang w:val="nl-BE"/>
        </w:rPr>
      </w:pPr>
    </w:p>
    <w:p w14:paraId="44D7D870" w14:textId="77777777" w:rsidR="0068216A" w:rsidRPr="005628FF" w:rsidRDefault="0068216A" w:rsidP="003F1093">
      <w:pPr>
        <w:jc w:val="both"/>
        <w:rPr>
          <w:sz w:val="22"/>
          <w:szCs w:val="22"/>
        </w:rPr>
      </w:pPr>
    </w:p>
    <w:p w14:paraId="27971A4E" w14:textId="77777777" w:rsidR="00482870" w:rsidRDefault="00B846A3" w:rsidP="003F1093">
      <w:pPr>
        <w:jc w:val="both"/>
        <w:rPr>
          <w:sz w:val="22"/>
          <w:szCs w:val="22"/>
        </w:rPr>
      </w:pPr>
      <w:r>
        <w:rPr>
          <w:b/>
          <w:smallCaps/>
          <w:sz w:val="22"/>
          <w:szCs w:val="22"/>
        </w:rPr>
        <w:t>a</w:t>
      </w:r>
      <w:r w:rsidR="00482870" w:rsidRPr="005C4A96">
        <w:rPr>
          <w:b/>
          <w:smallCaps/>
          <w:sz w:val="22"/>
          <w:szCs w:val="22"/>
        </w:rPr>
        <w:t>ntwoord</w:t>
      </w:r>
      <w:r w:rsidR="00482870" w:rsidRPr="005628FF">
        <w:rPr>
          <w:sz w:val="22"/>
          <w:szCs w:val="22"/>
        </w:rPr>
        <w:t xml:space="preserve"> </w:t>
      </w:r>
    </w:p>
    <w:p w14:paraId="6AD8DF1A" w14:textId="5064D088" w:rsidR="0068216A" w:rsidRPr="005628FF" w:rsidRDefault="0068216A" w:rsidP="003F1093">
      <w:pPr>
        <w:jc w:val="both"/>
        <w:rPr>
          <w:sz w:val="22"/>
          <w:szCs w:val="22"/>
        </w:rPr>
      </w:pPr>
      <w:r w:rsidRPr="005628FF">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E1641D">
            <w:rPr>
              <w:sz w:val="22"/>
              <w:szCs w:val="22"/>
              <w:lang w:val="nl-BE"/>
            </w:rPr>
            <w:t>825</w:t>
          </w:r>
        </w:sdtContent>
      </w:sdt>
      <w:r w:rsidRPr="005628FF">
        <w:rPr>
          <w:sz w:val="22"/>
          <w:szCs w:val="22"/>
        </w:rPr>
        <w:t xml:space="preserve"> </w:t>
      </w:r>
      <w:r w:rsidR="00482870">
        <w:rPr>
          <w:sz w:val="22"/>
          <w:szCs w:val="22"/>
        </w:rPr>
        <w:t>v</w:t>
      </w:r>
      <w:r w:rsidRPr="005628FF">
        <w:rPr>
          <w:sz w:val="22"/>
          <w:szCs w:val="22"/>
        </w:rPr>
        <w:t xml:space="preserve">an </w:t>
      </w:r>
      <w:sdt>
        <w:sdtPr>
          <w:rPr>
            <w:sz w:val="22"/>
            <w:szCs w:val="22"/>
          </w:rPr>
          <w:alias w:val="Datum Vraag"/>
          <w:tag w:val="DatumVraag"/>
          <w:id w:val="1779752292"/>
          <w:placeholder>
            <w:docPart w:val="13C66A54928A498D9FA5FE486E1D330E"/>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DatumVraag[1]" w:storeItemID="{74298DB8-679A-49E4-AA34-B450138B57AB}"/>
          <w:date w:fullDate="2013-06-12T00:00:00Z">
            <w:dateFormat w:val="d MMMM yyyy"/>
            <w:lid w:val="nl-BE"/>
            <w:storeMappedDataAs w:val="dateTime"/>
            <w:calendar w:val="gregorian"/>
          </w:date>
        </w:sdtPr>
        <w:sdtEndPr/>
        <w:sdtContent>
          <w:r w:rsidR="00E1641D">
            <w:rPr>
              <w:sz w:val="22"/>
              <w:szCs w:val="22"/>
              <w:lang w:val="nl-BE"/>
            </w:rPr>
            <w:t>12 juni 2013</w:t>
          </w:r>
        </w:sdtContent>
      </w:sdt>
    </w:p>
    <w:p w14:paraId="1CF3CE33" w14:textId="0D179731" w:rsidR="0068216A" w:rsidRPr="005628FF" w:rsidRDefault="00482870" w:rsidP="003F1093">
      <w:pPr>
        <w:jc w:val="both"/>
        <w:rPr>
          <w:sz w:val="22"/>
          <w:szCs w:val="22"/>
        </w:rPr>
      </w:pPr>
      <w:r>
        <w:rPr>
          <w:sz w:val="22"/>
          <w:szCs w:val="22"/>
        </w:rPr>
        <w:t>v</w:t>
      </w:r>
      <w:r w:rsidR="0068216A" w:rsidRPr="005628FF">
        <w:rPr>
          <w:sz w:val="22"/>
          <w:szCs w:val="22"/>
        </w:rPr>
        <w:t xml:space="preserve">an </w:t>
      </w:r>
      <w:sdt>
        <w:sdtPr>
          <w:rPr>
            <w:b/>
            <w:caps/>
            <w:sz w:val="18"/>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r w:rsidR="00525D82">
            <w:rPr>
              <w:b/>
              <w:caps/>
              <w:sz w:val="18"/>
              <w:szCs w:val="22"/>
              <w:lang w:val="nl-BE"/>
            </w:rPr>
            <w:t>Bjö</w:t>
          </w:r>
          <w:r w:rsidR="00E1641D">
            <w:rPr>
              <w:b/>
              <w:caps/>
              <w:sz w:val="18"/>
              <w:szCs w:val="22"/>
              <w:lang w:val="nl-BE"/>
            </w:rPr>
            <w:t>rn Rzoska</w:t>
          </w:r>
        </w:sdtContent>
      </w:sdt>
    </w:p>
    <w:p w14:paraId="503A47C7" w14:textId="77777777" w:rsidR="0068216A" w:rsidRPr="005628FF" w:rsidRDefault="0068216A" w:rsidP="003F1093">
      <w:pPr>
        <w:pBdr>
          <w:bottom w:val="single" w:sz="4" w:space="1" w:color="auto"/>
        </w:pBdr>
        <w:jc w:val="both"/>
        <w:rPr>
          <w:sz w:val="22"/>
          <w:szCs w:val="22"/>
        </w:rPr>
      </w:pPr>
    </w:p>
    <w:p w14:paraId="2BA1D302" w14:textId="77777777" w:rsidR="0068216A" w:rsidRPr="005628FF" w:rsidRDefault="0068216A" w:rsidP="003F1093">
      <w:pPr>
        <w:jc w:val="both"/>
        <w:rPr>
          <w:sz w:val="22"/>
          <w:szCs w:val="22"/>
        </w:rPr>
        <w:sectPr w:rsidR="0068216A" w:rsidRPr="005628FF" w:rsidSect="00DF38FD">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709" w:gutter="0"/>
          <w:cols w:space="708"/>
          <w:docGrid w:linePitch="360"/>
        </w:sectPr>
      </w:pPr>
    </w:p>
    <w:p w14:paraId="7A28CACA" w14:textId="77777777" w:rsidR="0068216A" w:rsidRDefault="0068216A" w:rsidP="003F1093">
      <w:pPr>
        <w:jc w:val="both"/>
        <w:rPr>
          <w:sz w:val="22"/>
          <w:szCs w:val="22"/>
        </w:rPr>
      </w:pPr>
    </w:p>
    <w:p w14:paraId="6FEF3832" w14:textId="77777777" w:rsidR="006A3827" w:rsidRPr="005628FF" w:rsidRDefault="006A3827" w:rsidP="003F1093">
      <w:pPr>
        <w:jc w:val="both"/>
        <w:rPr>
          <w:sz w:val="22"/>
          <w:szCs w:val="22"/>
        </w:rPr>
      </w:pPr>
    </w:p>
    <w:p w14:paraId="5CA147C4" w14:textId="1136695B" w:rsidR="00976A92" w:rsidRPr="008F7E57" w:rsidRDefault="00905727" w:rsidP="00525D82">
      <w:pPr>
        <w:numPr>
          <w:ilvl w:val="0"/>
          <w:numId w:val="14"/>
        </w:numPr>
        <w:ind w:left="426" w:hanging="426"/>
        <w:jc w:val="both"/>
        <w:rPr>
          <w:sz w:val="22"/>
          <w:szCs w:val="20"/>
        </w:rPr>
      </w:pPr>
      <w:r>
        <w:rPr>
          <w:sz w:val="22"/>
          <w:szCs w:val="20"/>
        </w:rPr>
        <w:t xml:space="preserve">De </w:t>
      </w:r>
      <w:r w:rsidR="00976A92" w:rsidRPr="008F7E57">
        <w:rPr>
          <w:sz w:val="22"/>
          <w:szCs w:val="20"/>
        </w:rPr>
        <w:t>VDAB beschikt enkel over de uit</w:t>
      </w:r>
      <w:r>
        <w:rPr>
          <w:sz w:val="22"/>
          <w:szCs w:val="20"/>
        </w:rPr>
        <w:t xml:space="preserve">stroompercentages na vier en twaalf </w:t>
      </w:r>
      <w:r w:rsidR="00976A92" w:rsidRPr="008F7E57">
        <w:rPr>
          <w:sz w:val="22"/>
          <w:szCs w:val="20"/>
        </w:rPr>
        <w:t xml:space="preserve">maanden. De tabel geeft  over </w:t>
      </w:r>
      <w:r>
        <w:rPr>
          <w:sz w:val="22"/>
          <w:szCs w:val="20"/>
        </w:rPr>
        <w:t>twaalf</w:t>
      </w:r>
      <w:r w:rsidR="00976A92" w:rsidRPr="008F7E57">
        <w:rPr>
          <w:sz w:val="22"/>
          <w:szCs w:val="20"/>
        </w:rPr>
        <w:t xml:space="preserve"> maanden de uitstroom uit de werkloosheid en de uitstroom naar werk weer na vier en</w:t>
      </w:r>
      <w:r>
        <w:rPr>
          <w:sz w:val="22"/>
          <w:szCs w:val="20"/>
        </w:rPr>
        <w:t xml:space="preserve"> twaalf</w:t>
      </w:r>
      <w:r w:rsidR="00976A92" w:rsidRPr="008F7E57">
        <w:rPr>
          <w:sz w:val="22"/>
          <w:szCs w:val="20"/>
        </w:rPr>
        <w:t xml:space="preserve"> maanden (referteperiode instroom juni 2011 tot en met mei 2012).</w:t>
      </w:r>
    </w:p>
    <w:p w14:paraId="324B1773" w14:textId="77777777" w:rsidR="00976A92" w:rsidRPr="008F7E57" w:rsidRDefault="00976A92" w:rsidP="00525D82">
      <w:pPr>
        <w:ind w:left="426" w:hanging="426"/>
        <w:jc w:val="both"/>
        <w:rPr>
          <w:sz w:val="22"/>
          <w:szCs w:val="20"/>
        </w:rPr>
      </w:pPr>
    </w:p>
    <w:p w14:paraId="05CF6A2D" w14:textId="77777777" w:rsidR="00976A92" w:rsidRPr="008F7E57" w:rsidRDefault="00976A92" w:rsidP="00976A92">
      <w:pPr>
        <w:jc w:val="both"/>
        <w:rPr>
          <w:sz w:val="22"/>
          <w:szCs w:val="20"/>
        </w:rPr>
      </w:pPr>
      <w:r w:rsidRPr="008F7E57">
        <w:rPr>
          <w:i/>
          <w:sz w:val="22"/>
          <w:szCs w:val="20"/>
        </w:rPr>
        <w:t xml:space="preserve">Uitstroompercentage op vier en 12 maanden </w:t>
      </w:r>
    </w:p>
    <w:p w14:paraId="0128FA32" w14:textId="77777777" w:rsidR="00976A92" w:rsidRPr="008F7E57" w:rsidRDefault="00976A92" w:rsidP="00976A92">
      <w:pPr>
        <w:jc w:val="both"/>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408"/>
        <w:gridCol w:w="1560"/>
        <w:gridCol w:w="1417"/>
        <w:gridCol w:w="1756"/>
        <w:gridCol w:w="1536"/>
      </w:tblGrid>
      <w:tr w:rsidR="00976A92" w:rsidRPr="008F7E57" w14:paraId="788CA372" w14:textId="77777777" w:rsidTr="00125E3A">
        <w:tc>
          <w:tcPr>
            <w:tcW w:w="1535" w:type="dxa"/>
            <w:shd w:val="clear" w:color="auto" w:fill="auto"/>
          </w:tcPr>
          <w:p w14:paraId="1C130C56" w14:textId="77777777" w:rsidR="00976A92" w:rsidRPr="008F7E57" w:rsidRDefault="00976A92" w:rsidP="00125E3A">
            <w:pPr>
              <w:rPr>
                <w:sz w:val="22"/>
                <w:szCs w:val="20"/>
              </w:rPr>
            </w:pPr>
            <w:r w:rsidRPr="008F7E57">
              <w:rPr>
                <w:sz w:val="22"/>
                <w:szCs w:val="20"/>
              </w:rPr>
              <w:t>Maand instroom</w:t>
            </w:r>
          </w:p>
        </w:tc>
        <w:tc>
          <w:tcPr>
            <w:tcW w:w="1408" w:type="dxa"/>
            <w:shd w:val="clear" w:color="auto" w:fill="auto"/>
          </w:tcPr>
          <w:p w14:paraId="21CCED40" w14:textId="77777777" w:rsidR="00976A92" w:rsidRPr="008F7E57" w:rsidRDefault="00976A92" w:rsidP="00125E3A">
            <w:pPr>
              <w:jc w:val="center"/>
              <w:rPr>
                <w:sz w:val="22"/>
                <w:szCs w:val="20"/>
              </w:rPr>
            </w:pPr>
            <w:r w:rsidRPr="008F7E57">
              <w:rPr>
                <w:sz w:val="22"/>
                <w:szCs w:val="20"/>
              </w:rPr>
              <w:t>Aantal gelabeld</w:t>
            </w:r>
          </w:p>
        </w:tc>
        <w:tc>
          <w:tcPr>
            <w:tcW w:w="1560" w:type="dxa"/>
            <w:shd w:val="clear" w:color="auto" w:fill="auto"/>
          </w:tcPr>
          <w:p w14:paraId="4DB68375" w14:textId="77777777" w:rsidR="00976A92" w:rsidRPr="008F7E57" w:rsidRDefault="00976A92" w:rsidP="00125E3A">
            <w:pPr>
              <w:jc w:val="center"/>
              <w:rPr>
                <w:sz w:val="22"/>
                <w:szCs w:val="20"/>
              </w:rPr>
            </w:pPr>
            <w:r w:rsidRPr="008F7E57">
              <w:rPr>
                <w:sz w:val="22"/>
                <w:szCs w:val="20"/>
              </w:rPr>
              <w:t>Uitstroom uit werkloosheid na 4 maanden</w:t>
            </w:r>
          </w:p>
        </w:tc>
        <w:tc>
          <w:tcPr>
            <w:tcW w:w="1417" w:type="dxa"/>
            <w:shd w:val="clear" w:color="auto" w:fill="auto"/>
          </w:tcPr>
          <w:p w14:paraId="6DDE0178" w14:textId="77777777" w:rsidR="00976A92" w:rsidRPr="008F7E57" w:rsidRDefault="00976A92" w:rsidP="00125E3A">
            <w:pPr>
              <w:jc w:val="center"/>
              <w:rPr>
                <w:sz w:val="22"/>
                <w:szCs w:val="20"/>
              </w:rPr>
            </w:pPr>
            <w:r w:rsidRPr="008F7E57">
              <w:rPr>
                <w:sz w:val="22"/>
                <w:szCs w:val="20"/>
              </w:rPr>
              <w:t>Uitstroom naar werk na 4 maanden</w:t>
            </w:r>
          </w:p>
        </w:tc>
        <w:tc>
          <w:tcPr>
            <w:tcW w:w="1756" w:type="dxa"/>
            <w:shd w:val="clear" w:color="auto" w:fill="auto"/>
          </w:tcPr>
          <w:p w14:paraId="78EB5891" w14:textId="77777777" w:rsidR="00976A92" w:rsidRPr="008F7E57" w:rsidRDefault="00976A92" w:rsidP="00125E3A">
            <w:pPr>
              <w:jc w:val="center"/>
              <w:rPr>
                <w:sz w:val="22"/>
                <w:szCs w:val="20"/>
              </w:rPr>
            </w:pPr>
            <w:r w:rsidRPr="008F7E57">
              <w:rPr>
                <w:sz w:val="22"/>
                <w:szCs w:val="20"/>
              </w:rPr>
              <w:t>Uitstroom uit werkloosheid na 12 maanden</w:t>
            </w:r>
          </w:p>
        </w:tc>
        <w:tc>
          <w:tcPr>
            <w:tcW w:w="1536" w:type="dxa"/>
            <w:shd w:val="clear" w:color="auto" w:fill="auto"/>
          </w:tcPr>
          <w:p w14:paraId="77B1BC2B" w14:textId="77777777" w:rsidR="00976A92" w:rsidRPr="008F7E57" w:rsidRDefault="00976A92" w:rsidP="00125E3A">
            <w:pPr>
              <w:jc w:val="center"/>
              <w:rPr>
                <w:sz w:val="22"/>
                <w:szCs w:val="20"/>
              </w:rPr>
            </w:pPr>
            <w:r w:rsidRPr="008F7E57">
              <w:rPr>
                <w:sz w:val="22"/>
                <w:szCs w:val="20"/>
              </w:rPr>
              <w:t>Uitstroom naar werk na 12 maanden</w:t>
            </w:r>
          </w:p>
        </w:tc>
      </w:tr>
      <w:tr w:rsidR="00976A92" w:rsidRPr="008F7E57" w14:paraId="2CF0F726" w14:textId="77777777" w:rsidTr="00125E3A">
        <w:tc>
          <w:tcPr>
            <w:tcW w:w="1535" w:type="dxa"/>
            <w:shd w:val="clear" w:color="auto" w:fill="auto"/>
          </w:tcPr>
          <w:p w14:paraId="466746EC" w14:textId="77777777" w:rsidR="00976A92" w:rsidRPr="008F7E57" w:rsidRDefault="00976A92" w:rsidP="00125E3A">
            <w:pPr>
              <w:rPr>
                <w:sz w:val="22"/>
                <w:szCs w:val="20"/>
              </w:rPr>
            </w:pPr>
            <w:r w:rsidRPr="008F7E57">
              <w:rPr>
                <w:sz w:val="22"/>
                <w:szCs w:val="20"/>
              </w:rPr>
              <w:t>06/2011</w:t>
            </w:r>
          </w:p>
        </w:tc>
        <w:tc>
          <w:tcPr>
            <w:tcW w:w="1408" w:type="dxa"/>
            <w:shd w:val="clear" w:color="auto" w:fill="auto"/>
          </w:tcPr>
          <w:p w14:paraId="0318A4FA" w14:textId="77777777" w:rsidR="00976A92" w:rsidRPr="008F7E57" w:rsidRDefault="00976A92" w:rsidP="00125E3A">
            <w:pPr>
              <w:jc w:val="center"/>
              <w:rPr>
                <w:sz w:val="22"/>
                <w:szCs w:val="20"/>
              </w:rPr>
            </w:pPr>
            <w:r w:rsidRPr="008F7E57">
              <w:rPr>
                <w:sz w:val="22"/>
                <w:szCs w:val="20"/>
              </w:rPr>
              <w:t>2572</w:t>
            </w:r>
          </w:p>
        </w:tc>
        <w:tc>
          <w:tcPr>
            <w:tcW w:w="1560" w:type="dxa"/>
            <w:shd w:val="clear" w:color="auto" w:fill="auto"/>
          </w:tcPr>
          <w:p w14:paraId="637DCB1B" w14:textId="77777777" w:rsidR="00976A92" w:rsidRPr="008F7E57" w:rsidRDefault="00976A92" w:rsidP="00125E3A">
            <w:pPr>
              <w:jc w:val="center"/>
              <w:rPr>
                <w:sz w:val="22"/>
                <w:szCs w:val="20"/>
              </w:rPr>
            </w:pPr>
            <w:r w:rsidRPr="008F7E57">
              <w:rPr>
                <w:sz w:val="22"/>
                <w:szCs w:val="20"/>
              </w:rPr>
              <w:t>66,56%</w:t>
            </w:r>
          </w:p>
        </w:tc>
        <w:tc>
          <w:tcPr>
            <w:tcW w:w="1417" w:type="dxa"/>
            <w:shd w:val="clear" w:color="auto" w:fill="auto"/>
          </w:tcPr>
          <w:p w14:paraId="6BE5C52B" w14:textId="77777777" w:rsidR="00976A92" w:rsidRPr="008F7E57" w:rsidRDefault="00976A92" w:rsidP="00125E3A">
            <w:pPr>
              <w:jc w:val="center"/>
              <w:rPr>
                <w:sz w:val="22"/>
                <w:szCs w:val="20"/>
              </w:rPr>
            </w:pPr>
            <w:r w:rsidRPr="008F7E57">
              <w:rPr>
                <w:sz w:val="22"/>
                <w:szCs w:val="20"/>
              </w:rPr>
              <w:t>50,78%</w:t>
            </w:r>
          </w:p>
        </w:tc>
        <w:tc>
          <w:tcPr>
            <w:tcW w:w="1756" w:type="dxa"/>
            <w:shd w:val="clear" w:color="auto" w:fill="auto"/>
          </w:tcPr>
          <w:p w14:paraId="68C9E4DA" w14:textId="77777777" w:rsidR="00976A92" w:rsidRPr="008F7E57" w:rsidRDefault="00976A92" w:rsidP="00125E3A">
            <w:pPr>
              <w:jc w:val="center"/>
              <w:rPr>
                <w:sz w:val="22"/>
                <w:szCs w:val="20"/>
              </w:rPr>
            </w:pPr>
            <w:r w:rsidRPr="008F7E57">
              <w:rPr>
                <w:sz w:val="22"/>
                <w:szCs w:val="20"/>
              </w:rPr>
              <w:t>76,32%</w:t>
            </w:r>
          </w:p>
        </w:tc>
        <w:tc>
          <w:tcPr>
            <w:tcW w:w="1536" w:type="dxa"/>
            <w:shd w:val="clear" w:color="auto" w:fill="auto"/>
          </w:tcPr>
          <w:p w14:paraId="245D5E22" w14:textId="77777777" w:rsidR="00976A92" w:rsidRPr="008F7E57" w:rsidRDefault="00976A92" w:rsidP="00125E3A">
            <w:pPr>
              <w:jc w:val="center"/>
              <w:rPr>
                <w:sz w:val="22"/>
                <w:szCs w:val="20"/>
              </w:rPr>
            </w:pPr>
            <w:r w:rsidRPr="008F7E57">
              <w:rPr>
                <w:sz w:val="22"/>
                <w:szCs w:val="20"/>
              </w:rPr>
              <w:t>58,32%</w:t>
            </w:r>
          </w:p>
        </w:tc>
      </w:tr>
      <w:tr w:rsidR="00976A92" w:rsidRPr="008F7E57" w14:paraId="13AD6557" w14:textId="77777777" w:rsidTr="00125E3A">
        <w:tc>
          <w:tcPr>
            <w:tcW w:w="1535" w:type="dxa"/>
            <w:shd w:val="clear" w:color="auto" w:fill="auto"/>
          </w:tcPr>
          <w:p w14:paraId="33463A82" w14:textId="77777777" w:rsidR="00976A92" w:rsidRPr="008F7E57" w:rsidRDefault="00976A92" w:rsidP="00125E3A">
            <w:pPr>
              <w:rPr>
                <w:sz w:val="22"/>
                <w:szCs w:val="20"/>
              </w:rPr>
            </w:pPr>
            <w:r w:rsidRPr="008F7E57">
              <w:rPr>
                <w:sz w:val="22"/>
                <w:szCs w:val="20"/>
              </w:rPr>
              <w:t>07/2011</w:t>
            </w:r>
          </w:p>
        </w:tc>
        <w:tc>
          <w:tcPr>
            <w:tcW w:w="1408" w:type="dxa"/>
            <w:shd w:val="clear" w:color="auto" w:fill="auto"/>
          </w:tcPr>
          <w:p w14:paraId="283F4E91" w14:textId="77777777" w:rsidR="00976A92" w:rsidRPr="008F7E57" w:rsidRDefault="00976A92" w:rsidP="00125E3A">
            <w:pPr>
              <w:jc w:val="center"/>
              <w:rPr>
                <w:sz w:val="22"/>
                <w:szCs w:val="20"/>
              </w:rPr>
            </w:pPr>
            <w:r w:rsidRPr="008F7E57">
              <w:rPr>
                <w:sz w:val="22"/>
                <w:szCs w:val="20"/>
              </w:rPr>
              <w:t>6294</w:t>
            </w:r>
          </w:p>
        </w:tc>
        <w:tc>
          <w:tcPr>
            <w:tcW w:w="1560" w:type="dxa"/>
            <w:shd w:val="clear" w:color="auto" w:fill="auto"/>
          </w:tcPr>
          <w:p w14:paraId="1FB5D324" w14:textId="77777777" w:rsidR="00976A92" w:rsidRPr="008F7E57" w:rsidRDefault="00976A92" w:rsidP="00125E3A">
            <w:pPr>
              <w:jc w:val="center"/>
              <w:rPr>
                <w:sz w:val="22"/>
                <w:szCs w:val="20"/>
              </w:rPr>
            </w:pPr>
            <w:r w:rsidRPr="008F7E57">
              <w:rPr>
                <w:sz w:val="22"/>
                <w:szCs w:val="20"/>
              </w:rPr>
              <w:t>78,93%</w:t>
            </w:r>
          </w:p>
        </w:tc>
        <w:tc>
          <w:tcPr>
            <w:tcW w:w="1417" w:type="dxa"/>
            <w:shd w:val="clear" w:color="auto" w:fill="auto"/>
          </w:tcPr>
          <w:p w14:paraId="1D71C3FA" w14:textId="77777777" w:rsidR="00976A92" w:rsidRPr="008F7E57" w:rsidRDefault="00976A92" w:rsidP="00125E3A">
            <w:pPr>
              <w:jc w:val="center"/>
              <w:rPr>
                <w:sz w:val="22"/>
                <w:szCs w:val="20"/>
              </w:rPr>
            </w:pPr>
            <w:r w:rsidRPr="008F7E57">
              <w:rPr>
                <w:sz w:val="22"/>
                <w:szCs w:val="20"/>
              </w:rPr>
              <w:t>69,73%</w:t>
            </w:r>
          </w:p>
        </w:tc>
        <w:tc>
          <w:tcPr>
            <w:tcW w:w="1756" w:type="dxa"/>
            <w:shd w:val="clear" w:color="auto" w:fill="auto"/>
          </w:tcPr>
          <w:p w14:paraId="307814A1" w14:textId="77777777" w:rsidR="00976A92" w:rsidRPr="008F7E57" w:rsidRDefault="00976A92" w:rsidP="00125E3A">
            <w:pPr>
              <w:jc w:val="center"/>
              <w:rPr>
                <w:sz w:val="22"/>
                <w:szCs w:val="20"/>
              </w:rPr>
            </w:pPr>
            <w:r w:rsidRPr="008F7E57">
              <w:rPr>
                <w:sz w:val="22"/>
                <w:szCs w:val="20"/>
              </w:rPr>
              <w:t>77,79%</w:t>
            </w:r>
          </w:p>
        </w:tc>
        <w:tc>
          <w:tcPr>
            <w:tcW w:w="1536" w:type="dxa"/>
            <w:shd w:val="clear" w:color="auto" w:fill="auto"/>
          </w:tcPr>
          <w:p w14:paraId="09BC30EB" w14:textId="77777777" w:rsidR="00976A92" w:rsidRPr="008F7E57" w:rsidRDefault="00976A92" w:rsidP="00125E3A">
            <w:pPr>
              <w:jc w:val="center"/>
              <w:rPr>
                <w:sz w:val="22"/>
                <w:szCs w:val="20"/>
              </w:rPr>
            </w:pPr>
            <w:r w:rsidRPr="008F7E57">
              <w:rPr>
                <w:sz w:val="22"/>
                <w:szCs w:val="20"/>
              </w:rPr>
              <w:t>69,42%</w:t>
            </w:r>
          </w:p>
        </w:tc>
      </w:tr>
      <w:tr w:rsidR="00976A92" w:rsidRPr="008F7E57" w14:paraId="3A57791C" w14:textId="77777777" w:rsidTr="00125E3A">
        <w:tc>
          <w:tcPr>
            <w:tcW w:w="1535" w:type="dxa"/>
            <w:shd w:val="clear" w:color="auto" w:fill="auto"/>
          </w:tcPr>
          <w:p w14:paraId="7E157665" w14:textId="77777777" w:rsidR="00976A92" w:rsidRPr="008F7E57" w:rsidRDefault="00976A92" w:rsidP="00125E3A">
            <w:pPr>
              <w:rPr>
                <w:sz w:val="22"/>
                <w:szCs w:val="20"/>
              </w:rPr>
            </w:pPr>
            <w:r w:rsidRPr="008F7E57">
              <w:rPr>
                <w:sz w:val="22"/>
                <w:szCs w:val="20"/>
              </w:rPr>
              <w:t>08/2011</w:t>
            </w:r>
          </w:p>
        </w:tc>
        <w:tc>
          <w:tcPr>
            <w:tcW w:w="1408" w:type="dxa"/>
            <w:shd w:val="clear" w:color="auto" w:fill="auto"/>
          </w:tcPr>
          <w:p w14:paraId="186BFEF3" w14:textId="77777777" w:rsidR="00976A92" w:rsidRPr="008F7E57" w:rsidRDefault="00976A92" w:rsidP="00125E3A">
            <w:pPr>
              <w:jc w:val="center"/>
              <w:rPr>
                <w:sz w:val="22"/>
                <w:szCs w:val="20"/>
              </w:rPr>
            </w:pPr>
            <w:r w:rsidRPr="008F7E57">
              <w:rPr>
                <w:sz w:val="22"/>
                <w:szCs w:val="20"/>
              </w:rPr>
              <w:t>17947</w:t>
            </w:r>
          </w:p>
        </w:tc>
        <w:tc>
          <w:tcPr>
            <w:tcW w:w="1560" w:type="dxa"/>
            <w:shd w:val="clear" w:color="auto" w:fill="auto"/>
          </w:tcPr>
          <w:p w14:paraId="0220664E" w14:textId="77777777" w:rsidR="00976A92" w:rsidRPr="008F7E57" w:rsidRDefault="00976A92" w:rsidP="00125E3A">
            <w:pPr>
              <w:jc w:val="center"/>
              <w:rPr>
                <w:sz w:val="22"/>
                <w:szCs w:val="20"/>
              </w:rPr>
            </w:pPr>
            <w:r w:rsidRPr="008F7E57">
              <w:rPr>
                <w:sz w:val="22"/>
                <w:szCs w:val="20"/>
              </w:rPr>
              <w:t>77,35%</w:t>
            </w:r>
          </w:p>
        </w:tc>
        <w:tc>
          <w:tcPr>
            <w:tcW w:w="1417" w:type="dxa"/>
            <w:shd w:val="clear" w:color="auto" w:fill="auto"/>
          </w:tcPr>
          <w:p w14:paraId="30017064" w14:textId="77777777" w:rsidR="00976A92" w:rsidRPr="008F7E57" w:rsidRDefault="00976A92" w:rsidP="00125E3A">
            <w:pPr>
              <w:jc w:val="center"/>
              <w:rPr>
                <w:sz w:val="22"/>
                <w:szCs w:val="20"/>
              </w:rPr>
            </w:pPr>
            <w:r w:rsidRPr="008F7E57">
              <w:rPr>
                <w:sz w:val="22"/>
                <w:szCs w:val="20"/>
              </w:rPr>
              <w:t>64,16%</w:t>
            </w:r>
          </w:p>
        </w:tc>
        <w:tc>
          <w:tcPr>
            <w:tcW w:w="1756" w:type="dxa"/>
            <w:shd w:val="clear" w:color="auto" w:fill="auto"/>
          </w:tcPr>
          <w:p w14:paraId="42416CB2" w14:textId="77777777" w:rsidR="00976A92" w:rsidRPr="008F7E57" w:rsidRDefault="00976A92" w:rsidP="00125E3A">
            <w:pPr>
              <w:jc w:val="center"/>
              <w:rPr>
                <w:sz w:val="22"/>
                <w:szCs w:val="20"/>
              </w:rPr>
            </w:pPr>
            <w:r w:rsidRPr="008F7E57">
              <w:rPr>
                <w:sz w:val="22"/>
                <w:szCs w:val="20"/>
              </w:rPr>
              <w:t>78,94%</w:t>
            </w:r>
          </w:p>
        </w:tc>
        <w:tc>
          <w:tcPr>
            <w:tcW w:w="1536" w:type="dxa"/>
            <w:shd w:val="clear" w:color="auto" w:fill="auto"/>
          </w:tcPr>
          <w:p w14:paraId="62F3B444" w14:textId="77777777" w:rsidR="00976A92" w:rsidRPr="008F7E57" w:rsidRDefault="00976A92" w:rsidP="00125E3A">
            <w:pPr>
              <w:jc w:val="center"/>
              <w:rPr>
                <w:sz w:val="22"/>
                <w:szCs w:val="20"/>
              </w:rPr>
            </w:pPr>
            <w:r w:rsidRPr="008F7E57">
              <w:rPr>
                <w:sz w:val="22"/>
                <w:szCs w:val="20"/>
              </w:rPr>
              <w:t>69,86%</w:t>
            </w:r>
          </w:p>
        </w:tc>
      </w:tr>
      <w:tr w:rsidR="00976A92" w:rsidRPr="008F7E57" w14:paraId="7E5B61F6" w14:textId="77777777" w:rsidTr="00125E3A">
        <w:tc>
          <w:tcPr>
            <w:tcW w:w="1535" w:type="dxa"/>
            <w:shd w:val="clear" w:color="auto" w:fill="auto"/>
          </w:tcPr>
          <w:p w14:paraId="48CDE9EF" w14:textId="77777777" w:rsidR="00976A92" w:rsidRPr="008F7E57" w:rsidRDefault="00976A92" w:rsidP="00125E3A">
            <w:pPr>
              <w:rPr>
                <w:sz w:val="22"/>
                <w:szCs w:val="20"/>
              </w:rPr>
            </w:pPr>
            <w:r w:rsidRPr="008F7E57">
              <w:rPr>
                <w:sz w:val="22"/>
                <w:szCs w:val="20"/>
              </w:rPr>
              <w:t>09/ 2011</w:t>
            </w:r>
          </w:p>
        </w:tc>
        <w:tc>
          <w:tcPr>
            <w:tcW w:w="1408" w:type="dxa"/>
            <w:shd w:val="clear" w:color="auto" w:fill="auto"/>
          </w:tcPr>
          <w:p w14:paraId="1E944999" w14:textId="77777777" w:rsidR="00976A92" w:rsidRPr="008F7E57" w:rsidRDefault="00976A92" w:rsidP="00125E3A">
            <w:pPr>
              <w:jc w:val="center"/>
              <w:rPr>
                <w:sz w:val="22"/>
                <w:szCs w:val="20"/>
              </w:rPr>
            </w:pPr>
            <w:r w:rsidRPr="008F7E57">
              <w:rPr>
                <w:sz w:val="22"/>
                <w:szCs w:val="20"/>
              </w:rPr>
              <w:t>12867</w:t>
            </w:r>
          </w:p>
        </w:tc>
        <w:tc>
          <w:tcPr>
            <w:tcW w:w="1560" w:type="dxa"/>
            <w:shd w:val="clear" w:color="auto" w:fill="auto"/>
          </w:tcPr>
          <w:p w14:paraId="39D828E8" w14:textId="77777777" w:rsidR="00976A92" w:rsidRPr="008F7E57" w:rsidRDefault="00976A92" w:rsidP="00125E3A">
            <w:pPr>
              <w:jc w:val="center"/>
              <w:rPr>
                <w:sz w:val="22"/>
                <w:szCs w:val="20"/>
              </w:rPr>
            </w:pPr>
            <w:r w:rsidRPr="008F7E57">
              <w:rPr>
                <w:sz w:val="22"/>
                <w:szCs w:val="20"/>
              </w:rPr>
              <w:t>61,97%</w:t>
            </w:r>
          </w:p>
        </w:tc>
        <w:tc>
          <w:tcPr>
            <w:tcW w:w="1417" w:type="dxa"/>
            <w:shd w:val="clear" w:color="auto" w:fill="auto"/>
          </w:tcPr>
          <w:p w14:paraId="34A61A35" w14:textId="77777777" w:rsidR="00976A92" w:rsidRPr="008F7E57" w:rsidRDefault="00976A92" w:rsidP="00125E3A">
            <w:pPr>
              <w:jc w:val="center"/>
              <w:rPr>
                <w:sz w:val="22"/>
                <w:szCs w:val="20"/>
              </w:rPr>
            </w:pPr>
            <w:r w:rsidRPr="008F7E57">
              <w:rPr>
                <w:sz w:val="22"/>
                <w:szCs w:val="20"/>
              </w:rPr>
              <w:t>51,53%</w:t>
            </w:r>
          </w:p>
        </w:tc>
        <w:tc>
          <w:tcPr>
            <w:tcW w:w="1756" w:type="dxa"/>
            <w:shd w:val="clear" w:color="auto" w:fill="auto"/>
          </w:tcPr>
          <w:p w14:paraId="6348397F" w14:textId="77777777" w:rsidR="00976A92" w:rsidRPr="008F7E57" w:rsidRDefault="00976A92" w:rsidP="00125E3A">
            <w:pPr>
              <w:jc w:val="center"/>
              <w:rPr>
                <w:sz w:val="22"/>
                <w:szCs w:val="20"/>
              </w:rPr>
            </w:pPr>
            <w:r w:rsidRPr="008F7E57">
              <w:rPr>
                <w:sz w:val="22"/>
                <w:szCs w:val="20"/>
              </w:rPr>
              <w:t>72,64%</w:t>
            </w:r>
          </w:p>
        </w:tc>
        <w:tc>
          <w:tcPr>
            <w:tcW w:w="1536" w:type="dxa"/>
            <w:shd w:val="clear" w:color="auto" w:fill="auto"/>
          </w:tcPr>
          <w:p w14:paraId="64D29999" w14:textId="77777777" w:rsidR="00976A92" w:rsidRPr="008F7E57" w:rsidRDefault="00976A92" w:rsidP="00125E3A">
            <w:pPr>
              <w:jc w:val="center"/>
              <w:rPr>
                <w:sz w:val="22"/>
                <w:szCs w:val="20"/>
              </w:rPr>
            </w:pPr>
            <w:r w:rsidRPr="008F7E57">
              <w:rPr>
                <w:sz w:val="22"/>
                <w:szCs w:val="20"/>
              </w:rPr>
              <w:t>60,25%</w:t>
            </w:r>
          </w:p>
        </w:tc>
      </w:tr>
      <w:tr w:rsidR="00976A92" w:rsidRPr="008F7E57" w14:paraId="2414B2FB" w14:textId="77777777" w:rsidTr="00125E3A">
        <w:tc>
          <w:tcPr>
            <w:tcW w:w="1535" w:type="dxa"/>
            <w:shd w:val="clear" w:color="auto" w:fill="auto"/>
          </w:tcPr>
          <w:p w14:paraId="12CA2357" w14:textId="77777777" w:rsidR="00976A92" w:rsidRPr="008F7E57" w:rsidRDefault="00976A92" w:rsidP="00125E3A">
            <w:pPr>
              <w:rPr>
                <w:sz w:val="22"/>
                <w:szCs w:val="20"/>
              </w:rPr>
            </w:pPr>
            <w:r w:rsidRPr="008F7E57">
              <w:rPr>
                <w:sz w:val="22"/>
                <w:szCs w:val="20"/>
              </w:rPr>
              <w:t>10/2011</w:t>
            </w:r>
          </w:p>
        </w:tc>
        <w:tc>
          <w:tcPr>
            <w:tcW w:w="1408" w:type="dxa"/>
            <w:shd w:val="clear" w:color="auto" w:fill="auto"/>
          </w:tcPr>
          <w:p w14:paraId="6FBA7594" w14:textId="77777777" w:rsidR="00976A92" w:rsidRPr="008F7E57" w:rsidRDefault="00976A92" w:rsidP="00125E3A">
            <w:pPr>
              <w:jc w:val="center"/>
              <w:rPr>
                <w:sz w:val="22"/>
                <w:szCs w:val="20"/>
              </w:rPr>
            </w:pPr>
            <w:r w:rsidRPr="008F7E57">
              <w:rPr>
                <w:sz w:val="22"/>
                <w:szCs w:val="20"/>
              </w:rPr>
              <w:t>9823</w:t>
            </w:r>
          </w:p>
        </w:tc>
        <w:tc>
          <w:tcPr>
            <w:tcW w:w="1560" w:type="dxa"/>
            <w:shd w:val="clear" w:color="auto" w:fill="auto"/>
          </w:tcPr>
          <w:p w14:paraId="5F3D98B6" w14:textId="77777777" w:rsidR="00976A92" w:rsidRPr="008F7E57" w:rsidRDefault="00976A92" w:rsidP="00125E3A">
            <w:pPr>
              <w:jc w:val="center"/>
              <w:rPr>
                <w:sz w:val="22"/>
                <w:szCs w:val="20"/>
              </w:rPr>
            </w:pPr>
            <w:r w:rsidRPr="008F7E57">
              <w:rPr>
                <w:sz w:val="22"/>
                <w:szCs w:val="20"/>
              </w:rPr>
              <w:t>63,11%</w:t>
            </w:r>
          </w:p>
        </w:tc>
        <w:tc>
          <w:tcPr>
            <w:tcW w:w="1417" w:type="dxa"/>
            <w:shd w:val="clear" w:color="auto" w:fill="auto"/>
          </w:tcPr>
          <w:p w14:paraId="59187853" w14:textId="77777777" w:rsidR="00976A92" w:rsidRPr="008F7E57" w:rsidRDefault="00976A92" w:rsidP="00125E3A">
            <w:pPr>
              <w:jc w:val="center"/>
              <w:rPr>
                <w:sz w:val="22"/>
                <w:szCs w:val="20"/>
              </w:rPr>
            </w:pPr>
            <w:r w:rsidRPr="008F7E57">
              <w:rPr>
                <w:sz w:val="22"/>
                <w:szCs w:val="20"/>
              </w:rPr>
              <w:t>52,90%</w:t>
            </w:r>
          </w:p>
        </w:tc>
        <w:tc>
          <w:tcPr>
            <w:tcW w:w="1756" w:type="dxa"/>
            <w:shd w:val="clear" w:color="auto" w:fill="auto"/>
          </w:tcPr>
          <w:p w14:paraId="1ACCEBCF" w14:textId="77777777" w:rsidR="00976A92" w:rsidRPr="008F7E57" w:rsidRDefault="00976A92" w:rsidP="00125E3A">
            <w:pPr>
              <w:jc w:val="center"/>
              <w:rPr>
                <w:sz w:val="22"/>
                <w:szCs w:val="20"/>
              </w:rPr>
            </w:pPr>
            <w:r w:rsidRPr="008F7E57">
              <w:rPr>
                <w:sz w:val="22"/>
                <w:szCs w:val="20"/>
              </w:rPr>
              <w:t>76,16%</w:t>
            </w:r>
          </w:p>
        </w:tc>
        <w:tc>
          <w:tcPr>
            <w:tcW w:w="1536" w:type="dxa"/>
            <w:shd w:val="clear" w:color="auto" w:fill="auto"/>
          </w:tcPr>
          <w:p w14:paraId="427F2E01" w14:textId="77777777" w:rsidR="00976A92" w:rsidRPr="008F7E57" w:rsidRDefault="00976A92" w:rsidP="00125E3A">
            <w:pPr>
              <w:jc w:val="center"/>
              <w:rPr>
                <w:sz w:val="22"/>
                <w:szCs w:val="20"/>
              </w:rPr>
            </w:pPr>
            <w:r w:rsidRPr="008F7E57">
              <w:rPr>
                <w:sz w:val="22"/>
                <w:szCs w:val="20"/>
              </w:rPr>
              <w:t>62,97%</w:t>
            </w:r>
          </w:p>
        </w:tc>
      </w:tr>
      <w:tr w:rsidR="00976A92" w:rsidRPr="008F7E57" w14:paraId="063B1FFB" w14:textId="77777777" w:rsidTr="00125E3A">
        <w:tc>
          <w:tcPr>
            <w:tcW w:w="1535" w:type="dxa"/>
            <w:shd w:val="clear" w:color="auto" w:fill="auto"/>
          </w:tcPr>
          <w:p w14:paraId="49232020" w14:textId="77777777" w:rsidR="00976A92" w:rsidRPr="008F7E57" w:rsidRDefault="00976A92" w:rsidP="00125E3A">
            <w:pPr>
              <w:rPr>
                <w:sz w:val="22"/>
                <w:szCs w:val="20"/>
              </w:rPr>
            </w:pPr>
            <w:r w:rsidRPr="008F7E57">
              <w:rPr>
                <w:sz w:val="22"/>
                <w:szCs w:val="20"/>
              </w:rPr>
              <w:t>11/2011</w:t>
            </w:r>
          </w:p>
        </w:tc>
        <w:tc>
          <w:tcPr>
            <w:tcW w:w="1408" w:type="dxa"/>
            <w:shd w:val="clear" w:color="auto" w:fill="auto"/>
          </w:tcPr>
          <w:p w14:paraId="63943667" w14:textId="77777777" w:rsidR="00976A92" w:rsidRPr="008F7E57" w:rsidRDefault="00976A92" w:rsidP="00125E3A">
            <w:pPr>
              <w:jc w:val="center"/>
              <w:rPr>
                <w:sz w:val="22"/>
                <w:szCs w:val="20"/>
              </w:rPr>
            </w:pPr>
            <w:r w:rsidRPr="008F7E57">
              <w:rPr>
                <w:sz w:val="22"/>
                <w:szCs w:val="20"/>
              </w:rPr>
              <w:t>4216</w:t>
            </w:r>
          </w:p>
        </w:tc>
        <w:tc>
          <w:tcPr>
            <w:tcW w:w="1560" w:type="dxa"/>
            <w:shd w:val="clear" w:color="auto" w:fill="auto"/>
          </w:tcPr>
          <w:p w14:paraId="47F7F1E6" w14:textId="77777777" w:rsidR="00976A92" w:rsidRPr="008F7E57" w:rsidRDefault="00976A92" w:rsidP="00125E3A">
            <w:pPr>
              <w:jc w:val="center"/>
              <w:rPr>
                <w:sz w:val="22"/>
                <w:szCs w:val="20"/>
              </w:rPr>
            </w:pPr>
            <w:r w:rsidRPr="008F7E57">
              <w:rPr>
                <w:sz w:val="22"/>
                <w:szCs w:val="20"/>
              </w:rPr>
              <w:t>61,84%</w:t>
            </w:r>
          </w:p>
        </w:tc>
        <w:tc>
          <w:tcPr>
            <w:tcW w:w="1417" w:type="dxa"/>
            <w:shd w:val="clear" w:color="auto" w:fill="auto"/>
          </w:tcPr>
          <w:p w14:paraId="0E07CE4A" w14:textId="77777777" w:rsidR="00976A92" w:rsidRPr="008F7E57" w:rsidRDefault="00976A92" w:rsidP="00125E3A">
            <w:pPr>
              <w:jc w:val="center"/>
              <w:rPr>
                <w:sz w:val="22"/>
                <w:szCs w:val="20"/>
              </w:rPr>
            </w:pPr>
            <w:r w:rsidRPr="008F7E57">
              <w:rPr>
                <w:sz w:val="22"/>
                <w:szCs w:val="20"/>
              </w:rPr>
              <w:t>49,67%</w:t>
            </w:r>
          </w:p>
        </w:tc>
        <w:tc>
          <w:tcPr>
            <w:tcW w:w="1756" w:type="dxa"/>
            <w:shd w:val="clear" w:color="auto" w:fill="auto"/>
          </w:tcPr>
          <w:p w14:paraId="5C81962B" w14:textId="77777777" w:rsidR="00976A92" w:rsidRPr="008F7E57" w:rsidRDefault="00976A92" w:rsidP="00125E3A">
            <w:pPr>
              <w:jc w:val="center"/>
              <w:rPr>
                <w:sz w:val="22"/>
                <w:szCs w:val="20"/>
              </w:rPr>
            </w:pPr>
            <w:r w:rsidRPr="008F7E57">
              <w:rPr>
                <w:sz w:val="22"/>
                <w:szCs w:val="20"/>
              </w:rPr>
              <w:t>75,36%</w:t>
            </w:r>
          </w:p>
        </w:tc>
        <w:tc>
          <w:tcPr>
            <w:tcW w:w="1536" w:type="dxa"/>
            <w:shd w:val="clear" w:color="auto" w:fill="auto"/>
          </w:tcPr>
          <w:p w14:paraId="726ACCAE" w14:textId="77777777" w:rsidR="00976A92" w:rsidRPr="008F7E57" w:rsidRDefault="00976A92" w:rsidP="00125E3A">
            <w:pPr>
              <w:jc w:val="center"/>
              <w:rPr>
                <w:sz w:val="22"/>
                <w:szCs w:val="20"/>
              </w:rPr>
            </w:pPr>
            <w:r w:rsidRPr="008F7E57">
              <w:rPr>
                <w:sz w:val="22"/>
                <w:szCs w:val="20"/>
              </w:rPr>
              <w:t>57,64%</w:t>
            </w:r>
          </w:p>
        </w:tc>
      </w:tr>
      <w:tr w:rsidR="00976A92" w:rsidRPr="008F7E57" w14:paraId="63E46118" w14:textId="77777777" w:rsidTr="00125E3A">
        <w:tc>
          <w:tcPr>
            <w:tcW w:w="1535" w:type="dxa"/>
            <w:shd w:val="clear" w:color="auto" w:fill="auto"/>
          </w:tcPr>
          <w:p w14:paraId="2546A1E6" w14:textId="77777777" w:rsidR="00976A92" w:rsidRPr="008F7E57" w:rsidRDefault="00976A92" w:rsidP="00125E3A">
            <w:pPr>
              <w:rPr>
                <w:sz w:val="22"/>
                <w:szCs w:val="20"/>
              </w:rPr>
            </w:pPr>
            <w:r w:rsidRPr="008F7E57">
              <w:rPr>
                <w:sz w:val="22"/>
                <w:szCs w:val="20"/>
              </w:rPr>
              <w:t>12/2011</w:t>
            </w:r>
          </w:p>
        </w:tc>
        <w:tc>
          <w:tcPr>
            <w:tcW w:w="1408" w:type="dxa"/>
            <w:shd w:val="clear" w:color="auto" w:fill="auto"/>
          </w:tcPr>
          <w:p w14:paraId="21BDB37F" w14:textId="77777777" w:rsidR="00976A92" w:rsidRPr="008F7E57" w:rsidRDefault="00976A92" w:rsidP="00125E3A">
            <w:pPr>
              <w:jc w:val="center"/>
              <w:rPr>
                <w:sz w:val="22"/>
                <w:szCs w:val="20"/>
              </w:rPr>
            </w:pPr>
            <w:r w:rsidRPr="008F7E57">
              <w:rPr>
                <w:sz w:val="22"/>
                <w:szCs w:val="20"/>
              </w:rPr>
              <w:t>3686</w:t>
            </w:r>
          </w:p>
        </w:tc>
        <w:tc>
          <w:tcPr>
            <w:tcW w:w="1560" w:type="dxa"/>
            <w:shd w:val="clear" w:color="auto" w:fill="auto"/>
          </w:tcPr>
          <w:p w14:paraId="059BD8CC" w14:textId="77777777" w:rsidR="00976A92" w:rsidRPr="008F7E57" w:rsidRDefault="00976A92" w:rsidP="00125E3A">
            <w:pPr>
              <w:jc w:val="center"/>
              <w:rPr>
                <w:sz w:val="22"/>
                <w:szCs w:val="20"/>
              </w:rPr>
            </w:pPr>
            <w:r w:rsidRPr="008F7E57">
              <w:rPr>
                <w:sz w:val="22"/>
                <w:szCs w:val="20"/>
              </w:rPr>
              <w:t>63,02%</w:t>
            </w:r>
          </w:p>
        </w:tc>
        <w:tc>
          <w:tcPr>
            <w:tcW w:w="1417" w:type="dxa"/>
            <w:shd w:val="clear" w:color="auto" w:fill="auto"/>
          </w:tcPr>
          <w:p w14:paraId="46D8AC6D" w14:textId="77777777" w:rsidR="00976A92" w:rsidRPr="008F7E57" w:rsidRDefault="00976A92" w:rsidP="00125E3A">
            <w:pPr>
              <w:jc w:val="center"/>
              <w:rPr>
                <w:sz w:val="22"/>
                <w:szCs w:val="20"/>
              </w:rPr>
            </w:pPr>
            <w:r w:rsidRPr="008F7E57">
              <w:rPr>
                <w:sz w:val="22"/>
                <w:szCs w:val="20"/>
              </w:rPr>
              <w:t>49,00%</w:t>
            </w:r>
          </w:p>
        </w:tc>
        <w:tc>
          <w:tcPr>
            <w:tcW w:w="1756" w:type="dxa"/>
            <w:shd w:val="clear" w:color="auto" w:fill="auto"/>
          </w:tcPr>
          <w:p w14:paraId="015BB2C9" w14:textId="77777777" w:rsidR="00976A92" w:rsidRPr="008F7E57" w:rsidRDefault="00976A92" w:rsidP="00125E3A">
            <w:pPr>
              <w:jc w:val="center"/>
              <w:rPr>
                <w:sz w:val="22"/>
                <w:szCs w:val="20"/>
              </w:rPr>
            </w:pPr>
            <w:r w:rsidRPr="008F7E57">
              <w:rPr>
                <w:sz w:val="22"/>
                <w:szCs w:val="20"/>
              </w:rPr>
              <w:t>71,84%</w:t>
            </w:r>
          </w:p>
        </w:tc>
        <w:tc>
          <w:tcPr>
            <w:tcW w:w="1536" w:type="dxa"/>
            <w:shd w:val="clear" w:color="auto" w:fill="auto"/>
          </w:tcPr>
          <w:p w14:paraId="35E66CB0" w14:textId="77777777" w:rsidR="00976A92" w:rsidRPr="008F7E57" w:rsidRDefault="00976A92" w:rsidP="00125E3A">
            <w:pPr>
              <w:jc w:val="center"/>
              <w:rPr>
                <w:sz w:val="22"/>
                <w:szCs w:val="20"/>
              </w:rPr>
            </w:pPr>
            <w:r w:rsidRPr="008F7E57">
              <w:rPr>
                <w:sz w:val="22"/>
                <w:szCs w:val="20"/>
              </w:rPr>
              <w:t>53,99%</w:t>
            </w:r>
          </w:p>
        </w:tc>
      </w:tr>
      <w:tr w:rsidR="00976A92" w:rsidRPr="008F7E57" w14:paraId="7106A895" w14:textId="77777777" w:rsidTr="00125E3A">
        <w:tc>
          <w:tcPr>
            <w:tcW w:w="1535" w:type="dxa"/>
            <w:shd w:val="clear" w:color="auto" w:fill="auto"/>
          </w:tcPr>
          <w:p w14:paraId="4B6DD41F" w14:textId="77777777" w:rsidR="00976A92" w:rsidRPr="008F7E57" w:rsidRDefault="00976A92" w:rsidP="00125E3A">
            <w:pPr>
              <w:rPr>
                <w:sz w:val="22"/>
                <w:szCs w:val="20"/>
              </w:rPr>
            </w:pPr>
            <w:r w:rsidRPr="008F7E57">
              <w:rPr>
                <w:sz w:val="22"/>
                <w:szCs w:val="20"/>
              </w:rPr>
              <w:t>01/2012</w:t>
            </w:r>
          </w:p>
        </w:tc>
        <w:tc>
          <w:tcPr>
            <w:tcW w:w="1408" w:type="dxa"/>
            <w:shd w:val="clear" w:color="auto" w:fill="auto"/>
          </w:tcPr>
          <w:p w14:paraId="4F6F9382" w14:textId="77777777" w:rsidR="00976A92" w:rsidRPr="008F7E57" w:rsidRDefault="00976A92" w:rsidP="00125E3A">
            <w:pPr>
              <w:jc w:val="center"/>
              <w:rPr>
                <w:sz w:val="22"/>
                <w:szCs w:val="20"/>
              </w:rPr>
            </w:pPr>
            <w:r w:rsidRPr="008F7E57">
              <w:rPr>
                <w:sz w:val="22"/>
                <w:szCs w:val="20"/>
              </w:rPr>
              <w:t>2900</w:t>
            </w:r>
          </w:p>
        </w:tc>
        <w:tc>
          <w:tcPr>
            <w:tcW w:w="1560" w:type="dxa"/>
            <w:shd w:val="clear" w:color="auto" w:fill="auto"/>
          </w:tcPr>
          <w:p w14:paraId="067AD1CC" w14:textId="77777777" w:rsidR="00976A92" w:rsidRPr="008F7E57" w:rsidRDefault="00976A92" w:rsidP="00125E3A">
            <w:pPr>
              <w:jc w:val="center"/>
              <w:rPr>
                <w:sz w:val="22"/>
                <w:szCs w:val="20"/>
              </w:rPr>
            </w:pPr>
            <w:r w:rsidRPr="008F7E57">
              <w:rPr>
                <w:sz w:val="22"/>
                <w:szCs w:val="20"/>
              </w:rPr>
              <w:t>66,84%</w:t>
            </w:r>
          </w:p>
        </w:tc>
        <w:tc>
          <w:tcPr>
            <w:tcW w:w="1417" w:type="dxa"/>
            <w:shd w:val="clear" w:color="auto" w:fill="auto"/>
          </w:tcPr>
          <w:p w14:paraId="30CF4458" w14:textId="77777777" w:rsidR="00976A92" w:rsidRPr="008F7E57" w:rsidRDefault="00976A92" w:rsidP="00125E3A">
            <w:pPr>
              <w:jc w:val="center"/>
              <w:rPr>
                <w:sz w:val="22"/>
                <w:szCs w:val="20"/>
              </w:rPr>
            </w:pPr>
            <w:r w:rsidRPr="008F7E57">
              <w:rPr>
                <w:sz w:val="22"/>
                <w:szCs w:val="20"/>
              </w:rPr>
              <w:t>55,83%</w:t>
            </w:r>
          </w:p>
        </w:tc>
        <w:tc>
          <w:tcPr>
            <w:tcW w:w="1756" w:type="dxa"/>
            <w:shd w:val="clear" w:color="auto" w:fill="auto"/>
          </w:tcPr>
          <w:p w14:paraId="1A7DB784" w14:textId="77777777" w:rsidR="00976A92" w:rsidRPr="008F7E57" w:rsidRDefault="00976A92" w:rsidP="00125E3A">
            <w:pPr>
              <w:jc w:val="center"/>
              <w:rPr>
                <w:sz w:val="22"/>
                <w:szCs w:val="20"/>
              </w:rPr>
            </w:pPr>
            <w:r w:rsidRPr="008F7E57">
              <w:rPr>
                <w:sz w:val="22"/>
                <w:szCs w:val="20"/>
              </w:rPr>
              <w:t>73,28%</w:t>
            </w:r>
          </w:p>
        </w:tc>
        <w:tc>
          <w:tcPr>
            <w:tcW w:w="1536" w:type="dxa"/>
            <w:shd w:val="clear" w:color="auto" w:fill="auto"/>
          </w:tcPr>
          <w:p w14:paraId="63F60ABC" w14:textId="77777777" w:rsidR="00976A92" w:rsidRPr="008F7E57" w:rsidRDefault="00976A92" w:rsidP="00125E3A">
            <w:pPr>
              <w:jc w:val="center"/>
              <w:rPr>
                <w:sz w:val="22"/>
                <w:szCs w:val="20"/>
              </w:rPr>
            </w:pPr>
            <w:r w:rsidRPr="008F7E57">
              <w:rPr>
                <w:sz w:val="22"/>
                <w:szCs w:val="20"/>
              </w:rPr>
              <w:t>59,55%</w:t>
            </w:r>
          </w:p>
        </w:tc>
      </w:tr>
      <w:tr w:rsidR="00976A92" w:rsidRPr="008F7E57" w14:paraId="1C3CD2D1" w14:textId="77777777" w:rsidTr="00125E3A">
        <w:tc>
          <w:tcPr>
            <w:tcW w:w="1535" w:type="dxa"/>
            <w:shd w:val="clear" w:color="auto" w:fill="auto"/>
          </w:tcPr>
          <w:p w14:paraId="277E579D" w14:textId="77777777" w:rsidR="00976A92" w:rsidRPr="008F7E57" w:rsidRDefault="00976A92" w:rsidP="00125E3A">
            <w:pPr>
              <w:rPr>
                <w:sz w:val="22"/>
                <w:szCs w:val="20"/>
              </w:rPr>
            </w:pPr>
            <w:r w:rsidRPr="008F7E57">
              <w:rPr>
                <w:sz w:val="22"/>
                <w:szCs w:val="20"/>
              </w:rPr>
              <w:t>02/2012</w:t>
            </w:r>
          </w:p>
        </w:tc>
        <w:tc>
          <w:tcPr>
            <w:tcW w:w="1408" w:type="dxa"/>
            <w:shd w:val="clear" w:color="auto" w:fill="auto"/>
          </w:tcPr>
          <w:p w14:paraId="34F3E2B3" w14:textId="77777777" w:rsidR="00976A92" w:rsidRPr="008F7E57" w:rsidRDefault="00976A92" w:rsidP="00125E3A">
            <w:pPr>
              <w:jc w:val="center"/>
              <w:rPr>
                <w:sz w:val="22"/>
                <w:szCs w:val="20"/>
              </w:rPr>
            </w:pPr>
            <w:r w:rsidRPr="008F7E57">
              <w:rPr>
                <w:sz w:val="22"/>
                <w:szCs w:val="20"/>
              </w:rPr>
              <w:t>6235</w:t>
            </w:r>
          </w:p>
        </w:tc>
        <w:tc>
          <w:tcPr>
            <w:tcW w:w="1560" w:type="dxa"/>
            <w:shd w:val="clear" w:color="auto" w:fill="auto"/>
          </w:tcPr>
          <w:p w14:paraId="0B4CBD81" w14:textId="77777777" w:rsidR="00976A92" w:rsidRPr="008F7E57" w:rsidRDefault="00976A92" w:rsidP="00125E3A">
            <w:pPr>
              <w:jc w:val="center"/>
              <w:rPr>
                <w:sz w:val="22"/>
                <w:szCs w:val="20"/>
              </w:rPr>
            </w:pPr>
            <w:r w:rsidRPr="008F7E57">
              <w:rPr>
                <w:sz w:val="22"/>
                <w:szCs w:val="20"/>
              </w:rPr>
              <w:t>64,84%</w:t>
            </w:r>
          </w:p>
        </w:tc>
        <w:tc>
          <w:tcPr>
            <w:tcW w:w="1417" w:type="dxa"/>
            <w:shd w:val="clear" w:color="auto" w:fill="auto"/>
          </w:tcPr>
          <w:p w14:paraId="1A0EB47D" w14:textId="77777777" w:rsidR="00976A92" w:rsidRPr="008F7E57" w:rsidRDefault="00976A92" w:rsidP="00125E3A">
            <w:pPr>
              <w:jc w:val="center"/>
              <w:rPr>
                <w:sz w:val="22"/>
                <w:szCs w:val="20"/>
              </w:rPr>
            </w:pPr>
            <w:r w:rsidRPr="008F7E57">
              <w:rPr>
                <w:sz w:val="22"/>
                <w:szCs w:val="20"/>
              </w:rPr>
              <w:t>52,62%</w:t>
            </w:r>
          </w:p>
        </w:tc>
        <w:tc>
          <w:tcPr>
            <w:tcW w:w="1756" w:type="dxa"/>
            <w:shd w:val="clear" w:color="auto" w:fill="auto"/>
          </w:tcPr>
          <w:p w14:paraId="412EE2D9" w14:textId="77777777" w:rsidR="00976A92" w:rsidRPr="008F7E57" w:rsidRDefault="00976A92" w:rsidP="00125E3A">
            <w:pPr>
              <w:jc w:val="center"/>
              <w:rPr>
                <w:sz w:val="22"/>
                <w:szCs w:val="20"/>
              </w:rPr>
            </w:pPr>
            <w:r w:rsidRPr="008F7E57">
              <w:rPr>
                <w:sz w:val="22"/>
                <w:szCs w:val="20"/>
              </w:rPr>
              <w:t>72,94%</w:t>
            </w:r>
          </w:p>
        </w:tc>
        <w:tc>
          <w:tcPr>
            <w:tcW w:w="1536" w:type="dxa"/>
            <w:shd w:val="clear" w:color="auto" w:fill="auto"/>
          </w:tcPr>
          <w:p w14:paraId="3EC16497" w14:textId="77777777" w:rsidR="00976A92" w:rsidRPr="008F7E57" w:rsidRDefault="00976A92" w:rsidP="00125E3A">
            <w:pPr>
              <w:jc w:val="center"/>
              <w:rPr>
                <w:sz w:val="22"/>
                <w:szCs w:val="20"/>
              </w:rPr>
            </w:pPr>
            <w:r w:rsidRPr="008F7E57">
              <w:rPr>
                <w:sz w:val="22"/>
                <w:szCs w:val="20"/>
              </w:rPr>
              <w:t>55,12%</w:t>
            </w:r>
          </w:p>
        </w:tc>
      </w:tr>
      <w:tr w:rsidR="00976A92" w:rsidRPr="008F7E57" w14:paraId="6A1716A6" w14:textId="77777777" w:rsidTr="00125E3A">
        <w:tc>
          <w:tcPr>
            <w:tcW w:w="1535" w:type="dxa"/>
            <w:shd w:val="clear" w:color="auto" w:fill="auto"/>
          </w:tcPr>
          <w:p w14:paraId="64706D39" w14:textId="77777777" w:rsidR="00976A92" w:rsidRPr="008F7E57" w:rsidRDefault="00976A92" w:rsidP="00125E3A">
            <w:pPr>
              <w:rPr>
                <w:sz w:val="22"/>
                <w:szCs w:val="20"/>
              </w:rPr>
            </w:pPr>
            <w:r w:rsidRPr="008F7E57">
              <w:rPr>
                <w:sz w:val="22"/>
                <w:szCs w:val="20"/>
              </w:rPr>
              <w:t>03/2012</w:t>
            </w:r>
          </w:p>
        </w:tc>
        <w:tc>
          <w:tcPr>
            <w:tcW w:w="1408" w:type="dxa"/>
            <w:shd w:val="clear" w:color="auto" w:fill="auto"/>
          </w:tcPr>
          <w:p w14:paraId="481B009E" w14:textId="77777777" w:rsidR="00976A92" w:rsidRPr="008F7E57" w:rsidRDefault="00976A92" w:rsidP="00125E3A">
            <w:pPr>
              <w:jc w:val="center"/>
              <w:rPr>
                <w:sz w:val="22"/>
                <w:szCs w:val="20"/>
              </w:rPr>
            </w:pPr>
            <w:r w:rsidRPr="008F7E57">
              <w:rPr>
                <w:sz w:val="22"/>
                <w:szCs w:val="20"/>
              </w:rPr>
              <w:t>5051</w:t>
            </w:r>
          </w:p>
        </w:tc>
        <w:tc>
          <w:tcPr>
            <w:tcW w:w="1560" w:type="dxa"/>
            <w:shd w:val="clear" w:color="auto" w:fill="auto"/>
          </w:tcPr>
          <w:p w14:paraId="4EF3903A" w14:textId="77777777" w:rsidR="00976A92" w:rsidRPr="008F7E57" w:rsidRDefault="00976A92" w:rsidP="00125E3A">
            <w:pPr>
              <w:jc w:val="center"/>
              <w:rPr>
                <w:sz w:val="22"/>
                <w:szCs w:val="20"/>
              </w:rPr>
            </w:pPr>
            <w:r w:rsidRPr="008F7E57">
              <w:rPr>
                <w:sz w:val="22"/>
                <w:szCs w:val="20"/>
              </w:rPr>
              <w:t>59,49%</w:t>
            </w:r>
          </w:p>
        </w:tc>
        <w:tc>
          <w:tcPr>
            <w:tcW w:w="1417" w:type="dxa"/>
            <w:shd w:val="clear" w:color="auto" w:fill="auto"/>
          </w:tcPr>
          <w:p w14:paraId="70F0F14F" w14:textId="77777777" w:rsidR="00976A92" w:rsidRPr="008F7E57" w:rsidRDefault="00976A92" w:rsidP="00125E3A">
            <w:pPr>
              <w:jc w:val="center"/>
              <w:rPr>
                <w:sz w:val="22"/>
                <w:szCs w:val="20"/>
              </w:rPr>
            </w:pPr>
            <w:r w:rsidRPr="008F7E57">
              <w:rPr>
                <w:sz w:val="22"/>
                <w:szCs w:val="20"/>
              </w:rPr>
              <w:t>47,22%</w:t>
            </w:r>
          </w:p>
        </w:tc>
        <w:tc>
          <w:tcPr>
            <w:tcW w:w="1756" w:type="dxa"/>
            <w:shd w:val="clear" w:color="auto" w:fill="auto"/>
          </w:tcPr>
          <w:p w14:paraId="666667A5" w14:textId="77777777" w:rsidR="00976A92" w:rsidRPr="008F7E57" w:rsidRDefault="00976A92" w:rsidP="00125E3A">
            <w:pPr>
              <w:jc w:val="center"/>
              <w:rPr>
                <w:sz w:val="22"/>
                <w:szCs w:val="20"/>
              </w:rPr>
            </w:pPr>
            <w:r w:rsidRPr="008F7E57">
              <w:rPr>
                <w:sz w:val="22"/>
                <w:szCs w:val="20"/>
              </w:rPr>
              <w:t>73,73%</w:t>
            </w:r>
          </w:p>
        </w:tc>
        <w:tc>
          <w:tcPr>
            <w:tcW w:w="1536" w:type="dxa"/>
            <w:shd w:val="clear" w:color="auto" w:fill="auto"/>
          </w:tcPr>
          <w:p w14:paraId="01A32034" w14:textId="77777777" w:rsidR="00976A92" w:rsidRPr="008F7E57" w:rsidRDefault="00976A92" w:rsidP="00125E3A">
            <w:pPr>
              <w:jc w:val="center"/>
              <w:rPr>
                <w:sz w:val="22"/>
                <w:szCs w:val="20"/>
              </w:rPr>
            </w:pPr>
            <w:r w:rsidRPr="008F7E57">
              <w:rPr>
                <w:sz w:val="22"/>
                <w:szCs w:val="20"/>
              </w:rPr>
              <w:t>54,98%</w:t>
            </w:r>
          </w:p>
        </w:tc>
      </w:tr>
      <w:tr w:rsidR="00976A92" w:rsidRPr="008F7E57" w14:paraId="7F0416B8" w14:textId="77777777" w:rsidTr="00125E3A">
        <w:tc>
          <w:tcPr>
            <w:tcW w:w="1535" w:type="dxa"/>
            <w:shd w:val="clear" w:color="auto" w:fill="auto"/>
          </w:tcPr>
          <w:p w14:paraId="12CCBB25" w14:textId="77777777" w:rsidR="00976A92" w:rsidRPr="008F7E57" w:rsidRDefault="00976A92" w:rsidP="00125E3A">
            <w:pPr>
              <w:rPr>
                <w:sz w:val="22"/>
                <w:szCs w:val="20"/>
              </w:rPr>
            </w:pPr>
            <w:r w:rsidRPr="008F7E57">
              <w:rPr>
                <w:sz w:val="22"/>
                <w:szCs w:val="20"/>
              </w:rPr>
              <w:t>04/2012</w:t>
            </w:r>
          </w:p>
        </w:tc>
        <w:tc>
          <w:tcPr>
            <w:tcW w:w="1408" w:type="dxa"/>
            <w:shd w:val="clear" w:color="auto" w:fill="auto"/>
          </w:tcPr>
          <w:p w14:paraId="53343B67" w14:textId="77777777" w:rsidR="00976A92" w:rsidRPr="008F7E57" w:rsidRDefault="00976A92" w:rsidP="00125E3A">
            <w:pPr>
              <w:jc w:val="center"/>
              <w:rPr>
                <w:sz w:val="22"/>
                <w:szCs w:val="20"/>
              </w:rPr>
            </w:pPr>
            <w:r w:rsidRPr="008F7E57">
              <w:rPr>
                <w:sz w:val="22"/>
                <w:szCs w:val="20"/>
              </w:rPr>
              <w:t>3466</w:t>
            </w:r>
          </w:p>
        </w:tc>
        <w:tc>
          <w:tcPr>
            <w:tcW w:w="1560" w:type="dxa"/>
            <w:shd w:val="clear" w:color="auto" w:fill="auto"/>
          </w:tcPr>
          <w:p w14:paraId="15D7CAC4" w14:textId="77777777" w:rsidR="00976A92" w:rsidRPr="008F7E57" w:rsidRDefault="00976A92" w:rsidP="00125E3A">
            <w:pPr>
              <w:jc w:val="center"/>
              <w:rPr>
                <w:sz w:val="22"/>
                <w:szCs w:val="20"/>
              </w:rPr>
            </w:pPr>
            <w:r w:rsidRPr="008F7E57">
              <w:rPr>
                <w:sz w:val="22"/>
                <w:szCs w:val="20"/>
              </w:rPr>
              <w:t>57,65%</w:t>
            </w:r>
          </w:p>
        </w:tc>
        <w:tc>
          <w:tcPr>
            <w:tcW w:w="1417" w:type="dxa"/>
            <w:shd w:val="clear" w:color="auto" w:fill="auto"/>
          </w:tcPr>
          <w:p w14:paraId="128A8DB5" w14:textId="77777777" w:rsidR="00976A92" w:rsidRPr="008F7E57" w:rsidRDefault="00976A92" w:rsidP="00125E3A">
            <w:pPr>
              <w:jc w:val="center"/>
              <w:rPr>
                <w:sz w:val="22"/>
                <w:szCs w:val="20"/>
              </w:rPr>
            </w:pPr>
            <w:r w:rsidRPr="008F7E57">
              <w:rPr>
                <w:sz w:val="22"/>
                <w:szCs w:val="20"/>
              </w:rPr>
              <w:t>46,62%</w:t>
            </w:r>
          </w:p>
        </w:tc>
        <w:tc>
          <w:tcPr>
            <w:tcW w:w="1756" w:type="dxa"/>
            <w:shd w:val="clear" w:color="auto" w:fill="auto"/>
          </w:tcPr>
          <w:p w14:paraId="686B1DB0" w14:textId="77777777" w:rsidR="00976A92" w:rsidRPr="008F7E57" w:rsidRDefault="00976A92" w:rsidP="00125E3A">
            <w:pPr>
              <w:jc w:val="center"/>
              <w:rPr>
                <w:sz w:val="22"/>
                <w:szCs w:val="20"/>
              </w:rPr>
            </w:pPr>
            <w:r w:rsidRPr="008F7E57">
              <w:rPr>
                <w:sz w:val="22"/>
                <w:szCs w:val="20"/>
              </w:rPr>
              <w:t>73,11%</w:t>
            </w:r>
          </w:p>
        </w:tc>
        <w:tc>
          <w:tcPr>
            <w:tcW w:w="1536" w:type="dxa"/>
            <w:shd w:val="clear" w:color="auto" w:fill="auto"/>
          </w:tcPr>
          <w:p w14:paraId="705EC6F8" w14:textId="77777777" w:rsidR="00976A92" w:rsidRPr="008F7E57" w:rsidRDefault="00976A92" w:rsidP="00125E3A">
            <w:pPr>
              <w:jc w:val="center"/>
              <w:rPr>
                <w:sz w:val="22"/>
                <w:szCs w:val="20"/>
              </w:rPr>
            </w:pPr>
            <w:r w:rsidRPr="008F7E57">
              <w:rPr>
                <w:sz w:val="22"/>
                <w:szCs w:val="20"/>
              </w:rPr>
              <w:t>55,91%</w:t>
            </w:r>
          </w:p>
        </w:tc>
      </w:tr>
      <w:tr w:rsidR="00976A92" w:rsidRPr="008F7E57" w14:paraId="710C3378" w14:textId="77777777" w:rsidTr="00125E3A">
        <w:tc>
          <w:tcPr>
            <w:tcW w:w="1535" w:type="dxa"/>
            <w:shd w:val="clear" w:color="auto" w:fill="auto"/>
          </w:tcPr>
          <w:p w14:paraId="5AE89025" w14:textId="77777777" w:rsidR="00976A92" w:rsidRPr="008F7E57" w:rsidRDefault="00976A92" w:rsidP="00125E3A">
            <w:pPr>
              <w:rPr>
                <w:sz w:val="22"/>
                <w:szCs w:val="20"/>
              </w:rPr>
            </w:pPr>
            <w:r w:rsidRPr="008F7E57">
              <w:rPr>
                <w:sz w:val="22"/>
                <w:szCs w:val="20"/>
              </w:rPr>
              <w:t>05/2012</w:t>
            </w:r>
          </w:p>
        </w:tc>
        <w:tc>
          <w:tcPr>
            <w:tcW w:w="1408" w:type="dxa"/>
            <w:shd w:val="clear" w:color="auto" w:fill="auto"/>
          </w:tcPr>
          <w:p w14:paraId="26EECCA9" w14:textId="77777777" w:rsidR="00976A92" w:rsidRPr="008F7E57" w:rsidRDefault="00976A92" w:rsidP="00125E3A">
            <w:pPr>
              <w:jc w:val="center"/>
              <w:rPr>
                <w:sz w:val="22"/>
                <w:szCs w:val="20"/>
              </w:rPr>
            </w:pPr>
            <w:r w:rsidRPr="008F7E57">
              <w:rPr>
                <w:sz w:val="22"/>
                <w:szCs w:val="20"/>
              </w:rPr>
              <w:t>2779</w:t>
            </w:r>
          </w:p>
        </w:tc>
        <w:tc>
          <w:tcPr>
            <w:tcW w:w="1560" w:type="dxa"/>
            <w:shd w:val="clear" w:color="auto" w:fill="auto"/>
          </w:tcPr>
          <w:p w14:paraId="322E347B" w14:textId="77777777" w:rsidR="00976A92" w:rsidRPr="008F7E57" w:rsidRDefault="00976A92" w:rsidP="00125E3A">
            <w:pPr>
              <w:jc w:val="center"/>
              <w:rPr>
                <w:sz w:val="22"/>
                <w:szCs w:val="20"/>
              </w:rPr>
            </w:pPr>
            <w:r w:rsidRPr="008F7E57">
              <w:rPr>
                <w:sz w:val="22"/>
                <w:szCs w:val="20"/>
              </w:rPr>
              <w:t>58,09%</w:t>
            </w:r>
          </w:p>
        </w:tc>
        <w:tc>
          <w:tcPr>
            <w:tcW w:w="1417" w:type="dxa"/>
            <w:shd w:val="clear" w:color="auto" w:fill="auto"/>
          </w:tcPr>
          <w:p w14:paraId="31A0184B" w14:textId="77777777" w:rsidR="00976A92" w:rsidRPr="008F7E57" w:rsidRDefault="00976A92" w:rsidP="00125E3A">
            <w:pPr>
              <w:jc w:val="center"/>
              <w:rPr>
                <w:sz w:val="22"/>
                <w:szCs w:val="20"/>
              </w:rPr>
            </w:pPr>
            <w:r w:rsidRPr="008F7E57">
              <w:rPr>
                <w:sz w:val="22"/>
                <w:szCs w:val="20"/>
              </w:rPr>
              <w:t>43,71%</w:t>
            </w:r>
          </w:p>
        </w:tc>
        <w:tc>
          <w:tcPr>
            <w:tcW w:w="1756" w:type="dxa"/>
            <w:shd w:val="clear" w:color="auto" w:fill="auto"/>
          </w:tcPr>
          <w:p w14:paraId="65D0C544" w14:textId="77777777" w:rsidR="00976A92" w:rsidRPr="008F7E57" w:rsidRDefault="00976A92" w:rsidP="00125E3A">
            <w:pPr>
              <w:jc w:val="center"/>
              <w:rPr>
                <w:sz w:val="22"/>
                <w:szCs w:val="20"/>
              </w:rPr>
            </w:pPr>
            <w:r w:rsidRPr="008F7E57">
              <w:rPr>
                <w:sz w:val="22"/>
                <w:szCs w:val="20"/>
              </w:rPr>
              <w:t>72,18%</w:t>
            </w:r>
          </w:p>
        </w:tc>
        <w:tc>
          <w:tcPr>
            <w:tcW w:w="1536" w:type="dxa"/>
            <w:shd w:val="clear" w:color="auto" w:fill="auto"/>
          </w:tcPr>
          <w:p w14:paraId="152CC19C" w14:textId="77777777" w:rsidR="00976A92" w:rsidRPr="008F7E57" w:rsidRDefault="00976A92" w:rsidP="00125E3A">
            <w:pPr>
              <w:jc w:val="center"/>
              <w:rPr>
                <w:sz w:val="22"/>
                <w:szCs w:val="20"/>
              </w:rPr>
            </w:pPr>
            <w:r w:rsidRPr="008F7E57">
              <w:rPr>
                <w:sz w:val="22"/>
                <w:szCs w:val="20"/>
              </w:rPr>
              <w:t>54,23%</w:t>
            </w:r>
          </w:p>
        </w:tc>
      </w:tr>
      <w:tr w:rsidR="00976A92" w:rsidRPr="008F7E57" w14:paraId="7207FA69" w14:textId="77777777" w:rsidTr="00125E3A">
        <w:tc>
          <w:tcPr>
            <w:tcW w:w="1535" w:type="dxa"/>
            <w:shd w:val="clear" w:color="auto" w:fill="auto"/>
          </w:tcPr>
          <w:p w14:paraId="7C1F6C77" w14:textId="77777777" w:rsidR="00976A92" w:rsidRPr="008F7E57" w:rsidRDefault="00976A92" w:rsidP="00125E3A">
            <w:pPr>
              <w:rPr>
                <w:sz w:val="22"/>
                <w:szCs w:val="20"/>
              </w:rPr>
            </w:pPr>
            <w:r w:rsidRPr="008F7E57">
              <w:rPr>
                <w:sz w:val="22"/>
                <w:szCs w:val="20"/>
              </w:rPr>
              <w:t>Totaal</w:t>
            </w:r>
          </w:p>
        </w:tc>
        <w:tc>
          <w:tcPr>
            <w:tcW w:w="1408" w:type="dxa"/>
            <w:shd w:val="clear" w:color="auto" w:fill="auto"/>
          </w:tcPr>
          <w:p w14:paraId="5C910465" w14:textId="77777777" w:rsidR="00976A92" w:rsidRPr="008F7E57" w:rsidRDefault="00976A92" w:rsidP="00125E3A">
            <w:pPr>
              <w:jc w:val="center"/>
              <w:rPr>
                <w:sz w:val="22"/>
                <w:szCs w:val="20"/>
              </w:rPr>
            </w:pPr>
            <w:r w:rsidRPr="008F7E57">
              <w:rPr>
                <w:sz w:val="22"/>
                <w:szCs w:val="20"/>
              </w:rPr>
              <w:t>77844</w:t>
            </w:r>
          </w:p>
        </w:tc>
        <w:tc>
          <w:tcPr>
            <w:tcW w:w="1560" w:type="dxa"/>
            <w:shd w:val="clear" w:color="auto" w:fill="auto"/>
          </w:tcPr>
          <w:p w14:paraId="42627793" w14:textId="77777777" w:rsidR="00976A92" w:rsidRPr="008F7E57" w:rsidRDefault="00976A92" w:rsidP="00125E3A">
            <w:pPr>
              <w:jc w:val="center"/>
              <w:rPr>
                <w:sz w:val="22"/>
                <w:szCs w:val="20"/>
              </w:rPr>
            </w:pPr>
            <w:r w:rsidRPr="008F7E57">
              <w:rPr>
                <w:sz w:val="22"/>
                <w:szCs w:val="20"/>
              </w:rPr>
              <w:t>67,12%</w:t>
            </w:r>
          </w:p>
        </w:tc>
        <w:tc>
          <w:tcPr>
            <w:tcW w:w="1417" w:type="dxa"/>
            <w:shd w:val="clear" w:color="auto" w:fill="auto"/>
          </w:tcPr>
          <w:p w14:paraId="569216EC" w14:textId="77777777" w:rsidR="00976A92" w:rsidRPr="008F7E57" w:rsidRDefault="00976A92" w:rsidP="00125E3A">
            <w:pPr>
              <w:jc w:val="center"/>
              <w:rPr>
                <w:sz w:val="22"/>
                <w:szCs w:val="20"/>
              </w:rPr>
            </w:pPr>
            <w:r w:rsidRPr="008F7E57">
              <w:rPr>
                <w:sz w:val="22"/>
                <w:szCs w:val="20"/>
              </w:rPr>
              <w:t>55,31%</w:t>
            </w:r>
          </w:p>
        </w:tc>
        <w:tc>
          <w:tcPr>
            <w:tcW w:w="1756" w:type="dxa"/>
            <w:shd w:val="clear" w:color="auto" w:fill="auto"/>
          </w:tcPr>
          <w:p w14:paraId="3D863161" w14:textId="77777777" w:rsidR="00976A92" w:rsidRPr="008F7E57" w:rsidRDefault="00976A92" w:rsidP="00125E3A">
            <w:pPr>
              <w:jc w:val="center"/>
              <w:rPr>
                <w:sz w:val="22"/>
                <w:szCs w:val="20"/>
              </w:rPr>
            </w:pPr>
            <w:r w:rsidRPr="008F7E57">
              <w:rPr>
                <w:sz w:val="22"/>
                <w:szCs w:val="20"/>
              </w:rPr>
              <w:t>75,31%</w:t>
            </w:r>
          </w:p>
        </w:tc>
        <w:tc>
          <w:tcPr>
            <w:tcW w:w="1536" w:type="dxa"/>
            <w:shd w:val="clear" w:color="auto" w:fill="auto"/>
          </w:tcPr>
          <w:p w14:paraId="60212151" w14:textId="77777777" w:rsidR="00976A92" w:rsidRPr="008F7E57" w:rsidRDefault="00976A92" w:rsidP="00125E3A">
            <w:pPr>
              <w:jc w:val="center"/>
              <w:rPr>
                <w:sz w:val="22"/>
                <w:szCs w:val="20"/>
              </w:rPr>
            </w:pPr>
            <w:r w:rsidRPr="008F7E57">
              <w:rPr>
                <w:sz w:val="22"/>
                <w:szCs w:val="20"/>
              </w:rPr>
              <w:t>61,83%</w:t>
            </w:r>
          </w:p>
        </w:tc>
      </w:tr>
    </w:tbl>
    <w:p w14:paraId="371E941E" w14:textId="77777777" w:rsidR="00976A92" w:rsidRPr="008F7E57" w:rsidRDefault="00976A92" w:rsidP="00976A92">
      <w:pPr>
        <w:jc w:val="both"/>
        <w:rPr>
          <w:sz w:val="22"/>
          <w:szCs w:val="20"/>
        </w:rPr>
      </w:pPr>
    </w:p>
    <w:p w14:paraId="2B25140C" w14:textId="77777777" w:rsidR="00976A92" w:rsidRPr="00FA7192" w:rsidRDefault="00976A92" w:rsidP="00525D82">
      <w:pPr>
        <w:numPr>
          <w:ilvl w:val="0"/>
          <w:numId w:val="14"/>
        </w:numPr>
        <w:spacing w:after="200" w:line="276" w:lineRule="auto"/>
        <w:ind w:left="426" w:hanging="426"/>
        <w:jc w:val="both"/>
        <w:rPr>
          <w:sz w:val="22"/>
          <w:szCs w:val="20"/>
        </w:rPr>
      </w:pPr>
      <w:r>
        <w:rPr>
          <w:sz w:val="22"/>
          <w:szCs w:val="20"/>
        </w:rPr>
        <w:t xml:space="preserve">De </w:t>
      </w:r>
      <w:r w:rsidRPr="00FA7192">
        <w:rPr>
          <w:sz w:val="22"/>
          <w:szCs w:val="20"/>
        </w:rPr>
        <w:t>VDAB beschikt niet over deze gegevens.</w:t>
      </w:r>
    </w:p>
    <w:p w14:paraId="464AAAF4" w14:textId="77777777" w:rsidR="00976A92" w:rsidRDefault="00976A92" w:rsidP="00525D82">
      <w:pPr>
        <w:numPr>
          <w:ilvl w:val="0"/>
          <w:numId w:val="14"/>
        </w:numPr>
        <w:spacing w:after="200" w:line="276" w:lineRule="auto"/>
        <w:ind w:left="426" w:hanging="426"/>
        <w:jc w:val="both"/>
        <w:rPr>
          <w:sz w:val="22"/>
          <w:szCs w:val="20"/>
        </w:rPr>
      </w:pPr>
      <w:r>
        <w:rPr>
          <w:sz w:val="22"/>
          <w:szCs w:val="20"/>
        </w:rPr>
        <w:t>De VDAB beschikt niet over deze gegevens</w:t>
      </w:r>
    </w:p>
    <w:p w14:paraId="756F3931" w14:textId="64467655" w:rsidR="00976A92" w:rsidRDefault="00976A92" w:rsidP="00525D82">
      <w:pPr>
        <w:numPr>
          <w:ilvl w:val="0"/>
          <w:numId w:val="14"/>
        </w:numPr>
        <w:spacing w:after="200" w:line="276" w:lineRule="auto"/>
        <w:ind w:left="426" w:hanging="426"/>
        <w:jc w:val="both"/>
        <w:rPr>
          <w:sz w:val="22"/>
          <w:szCs w:val="20"/>
        </w:rPr>
      </w:pPr>
      <w:r w:rsidRPr="00FA7192">
        <w:rPr>
          <w:sz w:val="22"/>
          <w:szCs w:val="20"/>
        </w:rPr>
        <w:t>De begeleiding van de jongere start vanaf het moment van inschrijving. Dit bestaat  uit een aantal automatische acties (versturen van startcommunicatie met uitgebreide info, sturen van passende vacatures). Daarnaast kan de werkzoekende al</w:t>
      </w:r>
      <w:r w:rsidR="00905727">
        <w:rPr>
          <w:sz w:val="22"/>
          <w:szCs w:val="20"/>
        </w:rPr>
        <w:t xml:space="preserve"> heel</w:t>
      </w:r>
      <w:r w:rsidRPr="00FA7192">
        <w:rPr>
          <w:sz w:val="22"/>
          <w:szCs w:val="20"/>
        </w:rPr>
        <w:t xml:space="preserve"> veel zelf via Mijn Loopbaan (cv maken en publiceren naar werkgevers toe, solliciteren, vacatureselecties maken en bewaren die automatische geactualiseerd worden en per mail opgestuurd worden, competenties invullen,…)</w:t>
      </w:r>
    </w:p>
    <w:p w14:paraId="46F20AD5" w14:textId="77777777" w:rsidR="00976A92" w:rsidRDefault="00976A92" w:rsidP="00525D82">
      <w:pPr>
        <w:pStyle w:val="Lijstalinea"/>
        <w:ind w:left="426" w:hanging="426"/>
        <w:rPr>
          <w:szCs w:val="20"/>
        </w:rPr>
      </w:pPr>
    </w:p>
    <w:p w14:paraId="4E9654EF" w14:textId="0643E424" w:rsidR="00976A92" w:rsidRDefault="00905727" w:rsidP="00525D82">
      <w:pPr>
        <w:spacing w:after="200" w:line="276" w:lineRule="auto"/>
        <w:ind w:left="426"/>
        <w:jc w:val="both"/>
        <w:rPr>
          <w:sz w:val="22"/>
          <w:szCs w:val="20"/>
        </w:rPr>
      </w:pPr>
      <w:r>
        <w:rPr>
          <w:sz w:val="22"/>
          <w:szCs w:val="20"/>
        </w:rPr>
        <w:t>Na één</w:t>
      </w:r>
      <w:r w:rsidR="00976A92" w:rsidRPr="00151CA0">
        <w:rPr>
          <w:sz w:val="22"/>
          <w:szCs w:val="20"/>
        </w:rPr>
        <w:t xml:space="preserve"> maand worden de laag- en </w:t>
      </w:r>
      <w:proofErr w:type="spellStart"/>
      <w:r w:rsidR="00976A92" w:rsidRPr="00151CA0">
        <w:rPr>
          <w:sz w:val="22"/>
          <w:szCs w:val="20"/>
        </w:rPr>
        <w:t>middengeschoolden</w:t>
      </w:r>
      <w:proofErr w:type="spellEnd"/>
      <w:r w:rsidR="00976A92" w:rsidRPr="00151CA0">
        <w:rPr>
          <w:sz w:val="22"/>
          <w:szCs w:val="20"/>
        </w:rPr>
        <w:t xml:space="preserve"> uitgenodigd voor een infomoment gevolgd door een individueel gesprek waar de intensieve begeleiding wordt opgestart. Dit houdt in dat er op maat van de behoeften van de jongeren een actieplan wordt opgemaakt, waarin de nodige acties worden vermeld. Maatwerk betekent dat de acties kunnen verschillend zijn naargelang de behoeften van de jongere. Enkele voorbeelden van acties: intensieve bemiddeling naar vacatures, sollicitatietraining, oriëntering en screening, opleiding, werkplekleren,…</w:t>
      </w:r>
    </w:p>
    <w:p w14:paraId="78454091" w14:textId="77777777" w:rsidR="00976A92" w:rsidRDefault="00976A92" w:rsidP="00525D82">
      <w:pPr>
        <w:pStyle w:val="Lijstalinea"/>
        <w:ind w:left="426" w:hanging="426"/>
        <w:rPr>
          <w:szCs w:val="20"/>
        </w:rPr>
      </w:pPr>
    </w:p>
    <w:p w14:paraId="13CB0286" w14:textId="45E700C5" w:rsidR="00976A92" w:rsidRDefault="00976A92" w:rsidP="00525D82">
      <w:pPr>
        <w:spacing w:after="200" w:line="276" w:lineRule="auto"/>
        <w:ind w:left="426"/>
        <w:jc w:val="both"/>
        <w:rPr>
          <w:sz w:val="22"/>
          <w:szCs w:val="20"/>
        </w:rPr>
      </w:pPr>
      <w:r w:rsidRPr="00151CA0">
        <w:rPr>
          <w:sz w:val="22"/>
          <w:szCs w:val="20"/>
        </w:rPr>
        <w:t xml:space="preserve">Hooggeschoolden krijgen vier weken na inschrijving een link doorgestuurd naar een infopagina met betrekking tot het jeugdwerkplan. Indien zij niet op deze link doorklikken, dan worden zij in de 6 tot 9 weken door de servicelijn opgebeld voor een bemiddelingsgesprek. Indien zij niet uitgestroomd zijn, </w:t>
      </w:r>
      <w:r w:rsidRPr="00151CA0">
        <w:rPr>
          <w:sz w:val="22"/>
          <w:szCs w:val="20"/>
        </w:rPr>
        <w:lastRenderedPageBreak/>
        <w:t>dan wordt de hooggeschoolde 12 weken na inschrijving uitgenodigd voor de start van de intensieve begeleiding. Ook hier houdt dit in dat er op maat wordt gewerkt, e</w:t>
      </w:r>
      <w:r>
        <w:rPr>
          <w:sz w:val="22"/>
          <w:szCs w:val="20"/>
        </w:rPr>
        <w:t>en actieplan wordt opgesteld waarin de nodige acties worden vermeld.</w:t>
      </w:r>
      <w:r w:rsidR="00905727">
        <w:rPr>
          <w:sz w:val="22"/>
          <w:szCs w:val="20"/>
        </w:rPr>
        <w:t xml:space="preserve"> Dit zijn dezelfde acties als eerder beschreven.</w:t>
      </w:r>
    </w:p>
    <w:p w14:paraId="6E2C8E4B" w14:textId="77777777" w:rsidR="00976A92" w:rsidRPr="00151CA0" w:rsidRDefault="00976A92" w:rsidP="00525D82">
      <w:pPr>
        <w:spacing w:after="200" w:line="276" w:lineRule="auto"/>
        <w:ind w:left="426"/>
        <w:jc w:val="both"/>
        <w:rPr>
          <w:sz w:val="22"/>
          <w:szCs w:val="20"/>
        </w:rPr>
      </w:pPr>
      <w:r w:rsidRPr="008F7E57">
        <w:rPr>
          <w:sz w:val="22"/>
          <w:szCs w:val="20"/>
        </w:rPr>
        <w:t xml:space="preserve">De impact van deze acties is </w:t>
      </w:r>
      <w:r>
        <w:rPr>
          <w:sz w:val="22"/>
          <w:szCs w:val="20"/>
        </w:rPr>
        <w:t xml:space="preserve">cijfermatig </w:t>
      </w:r>
      <w:r w:rsidRPr="008F7E57">
        <w:rPr>
          <w:sz w:val="22"/>
          <w:szCs w:val="20"/>
        </w:rPr>
        <w:t xml:space="preserve">zeer moeilijk te bepalen. </w:t>
      </w:r>
    </w:p>
    <w:p w14:paraId="5F454891" w14:textId="77777777" w:rsidR="00976A92" w:rsidRDefault="00976A92" w:rsidP="00525D82">
      <w:pPr>
        <w:numPr>
          <w:ilvl w:val="0"/>
          <w:numId w:val="14"/>
        </w:numPr>
        <w:ind w:left="426" w:hanging="426"/>
        <w:jc w:val="both"/>
        <w:rPr>
          <w:sz w:val="22"/>
          <w:szCs w:val="20"/>
        </w:rPr>
      </w:pPr>
      <w:r>
        <w:rPr>
          <w:sz w:val="22"/>
          <w:szCs w:val="20"/>
        </w:rPr>
        <w:t xml:space="preserve">In de cijfergegevens van het jeugdwerkplan wordt geen onderscheid gemaakt tussen </w:t>
      </w:r>
      <w:proofErr w:type="spellStart"/>
      <w:r>
        <w:rPr>
          <w:sz w:val="22"/>
          <w:szCs w:val="20"/>
        </w:rPr>
        <w:t>getenderde</w:t>
      </w:r>
      <w:proofErr w:type="spellEnd"/>
      <w:r>
        <w:rPr>
          <w:sz w:val="22"/>
          <w:szCs w:val="20"/>
        </w:rPr>
        <w:t xml:space="preserve"> trajecten en trajecten in eigen beheer.  Hieronder wordt wel weergegeven hoeveel jongeren er met acties bereikt worden.</w:t>
      </w:r>
    </w:p>
    <w:p w14:paraId="7FFDC73A" w14:textId="77777777" w:rsidR="00976A92" w:rsidRPr="008F7E57" w:rsidRDefault="00976A92" w:rsidP="00976A92">
      <w:pPr>
        <w:ind w:left="720"/>
        <w:jc w:val="both"/>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76A92" w:rsidRPr="008F7E57" w14:paraId="09F30A20" w14:textId="77777777" w:rsidTr="00125E3A">
        <w:tc>
          <w:tcPr>
            <w:tcW w:w="3070" w:type="dxa"/>
            <w:shd w:val="clear" w:color="auto" w:fill="auto"/>
          </w:tcPr>
          <w:p w14:paraId="45D0F322" w14:textId="77777777" w:rsidR="00976A92" w:rsidRPr="008F7E57" w:rsidRDefault="00976A92" w:rsidP="00125E3A">
            <w:pPr>
              <w:jc w:val="both"/>
              <w:rPr>
                <w:sz w:val="22"/>
                <w:szCs w:val="20"/>
              </w:rPr>
            </w:pPr>
          </w:p>
        </w:tc>
        <w:tc>
          <w:tcPr>
            <w:tcW w:w="3071" w:type="dxa"/>
            <w:shd w:val="clear" w:color="auto" w:fill="auto"/>
          </w:tcPr>
          <w:p w14:paraId="7C0C2AF3" w14:textId="77777777" w:rsidR="00976A92" w:rsidRPr="008F7E57" w:rsidRDefault="00976A92" w:rsidP="00125E3A">
            <w:pPr>
              <w:jc w:val="both"/>
              <w:rPr>
                <w:sz w:val="22"/>
                <w:szCs w:val="20"/>
              </w:rPr>
            </w:pPr>
            <w:r w:rsidRPr="008F7E57">
              <w:rPr>
                <w:sz w:val="22"/>
                <w:szCs w:val="20"/>
              </w:rPr>
              <w:t>Na vier maanden</w:t>
            </w:r>
          </w:p>
        </w:tc>
        <w:tc>
          <w:tcPr>
            <w:tcW w:w="3071" w:type="dxa"/>
            <w:shd w:val="clear" w:color="auto" w:fill="auto"/>
          </w:tcPr>
          <w:p w14:paraId="79D8B70B" w14:textId="77777777" w:rsidR="00976A92" w:rsidRPr="008F7E57" w:rsidRDefault="00976A92" w:rsidP="00125E3A">
            <w:pPr>
              <w:jc w:val="both"/>
              <w:rPr>
                <w:sz w:val="22"/>
                <w:szCs w:val="20"/>
              </w:rPr>
            </w:pPr>
            <w:r w:rsidRPr="008F7E57">
              <w:rPr>
                <w:sz w:val="22"/>
                <w:szCs w:val="20"/>
              </w:rPr>
              <w:t>Na 12 maanden</w:t>
            </w:r>
          </w:p>
        </w:tc>
      </w:tr>
      <w:tr w:rsidR="00976A92" w:rsidRPr="008F7E57" w14:paraId="23D720E4" w14:textId="77777777" w:rsidTr="00125E3A">
        <w:tc>
          <w:tcPr>
            <w:tcW w:w="3070" w:type="dxa"/>
            <w:shd w:val="clear" w:color="auto" w:fill="auto"/>
          </w:tcPr>
          <w:p w14:paraId="4BD81B1B" w14:textId="77777777" w:rsidR="00976A92" w:rsidRPr="008F7E57" w:rsidRDefault="00976A92" w:rsidP="00125E3A">
            <w:pPr>
              <w:jc w:val="both"/>
              <w:rPr>
                <w:sz w:val="22"/>
                <w:szCs w:val="20"/>
              </w:rPr>
            </w:pPr>
            <w:r w:rsidRPr="008F7E57">
              <w:rPr>
                <w:sz w:val="22"/>
                <w:szCs w:val="20"/>
              </w:rPr>
              <w:t>Totaal aantal bereikt in acties</w:t>
            </w:r>
          </w:p>
        </w:tc>
        <w:tc>
          <w:tcPr>
            <w:tcW w:w="3071" w:type="dxa"/>
            <w:shd w:val="clear" w:color="auto" w:fill="auto"/>
          </w:tcPr>
          <w:p w14:paraId="3C94BE77" w14:textId="77777777" w:rsidR="00976A92" w:rsidRPr="008F7E57" w:rsidRDefault="00976A92" w:rsidP="00125E3A">
            <w:pPr>
              <w:jc w:val="both"/>
              <w:rPr>
                <w:sz w:val="22"/>
                <w:szCs w:val="20"/>
              </w:rPr>
            </w:pPr>
            <w:r w:rsidRPr="008F7E57">
              <w:rPr>
                <w:sz w:val="22"/>
                <w:szCs w:val="20"/>
              </w:rPr>
              <w:t>44,89%</w:t>
            </w:r>
          </w:p>
        </w:tc>
        <w:tc>
          <w:tcPr>
            <w:tcW w:w="3071" w:type="dxa"/>
            <w:shd w:val="clear" w:color="auto" w:fill="auto"/>
          </w:tcPr>
          <w:p w14:paraId="315BA509" w14:textId="77777777" w:rsidR="00976A92" w:rsidRPr="008F7E57" w:rsidRDefault="00976A92" w:rsidP="00125E3A">
            <w:pPr>
              <w:jc w:val="both"/>
              <w:rPr>
                <w:sz w:val="22"/>
                <w:szCs w:val="20"/>
              </w:rPr>
            </w:pPr>
            <w:r w:rsidRPr="008F7E57">
              <w:rPr>
                <w:sz w:val="22"/>
                <w:szCs w:val="20"/>
              </w:rPr>
              <w:t>52,89%</w:t>
            </w:r>
          </w:p>
        </w:tc>
      </w:tr>
      <w:tr w:rsidR="00976A92" w:rsidRPr="008F7E57" w14:paraId="06FBE0B2" w14:textId="77777777" w:rsidTr="00125E3A">
        <w:tc>
          <w:tcPr>
            <w:tcW w:w="3070" w:type="dxa"/>
            <w:shd w:val="clear" w:color="auto" w:fill="auto"/>
          </w:tcPr>
          <w:p w14:paraId="0F157D68" w14:textId="77777777" w:rsidR="00976A92" w:rsidRPr="008F7E57" w:rsidRDefault="00976A92" w:rsidP="00125E3A">
            <w:pPr>
              <w:jc w:val="both"/>
              <w:rPr>
                <w:sz w:val="22"/>
                <w:szCs w:val="20"/>
              </w:rPr>
            </w:pPr>
            <w:r w:rsidRPr="008F7E57">
              <w:rPr>
                <w:sz w:val="22"/>
                <w:szCs w:val="20"/>
              </w:rPr>
              <w:t>Bemiddelingstrajecten</w:t>
            </w:r>
          </w:p>
        </w:tc>
        <w:tc>
          <w:tcPr>
            <w:tcW w:w="3071" w:type="dxa"/>
            <w:shd w:val="clear" w:color="auto" w:fill="auto"/>
          </w:tcPr>
          <w:p w14:paraId="4678C98F" w14:textId="77777777" w:rsidR="00976A92" w:rsidRPr="008F7E57" w:rsidRDefault="00976A92" w:rsidP="00125E3A">
            <w:pPr>
              <w:jc w:val="both"/>
              <w:rPr>
                <w:sz w:val="22"/>
                <w:szCs w:val="20"/>
              </w:rPr>
            </w:pPr>
            <w:r w:rsidRPr="008F7E57">
              <w:rPr>
                <w:sz w:val="22"/>
                <w:szCs w:val="20"/>
              </w:rPr>
              <w:t>10,64%</w:t>
            </w:r>
          </w:p>
        </w:tc>
        <w:tc>
          <w:tcPr>
            <w:tcW w:w="3071" w:type="dxa"/>
            <w:shd w:val="clear" w:color="auto" w:fill="auto"/>
          </w:tcPr>
          <w:p w14:paraId="22D9576E" w14:textId="77777777" w:rsidR="00976A92" w:rsidRPr="008F7E57" w:rsidRDefault="00976A92" w:rsidP="00125E3A">
            <w:pPr>
              <w:jc w:val="both"/>
              <w:rPr>
                <w:sz w:val="22"/>
                <w:szCs w:val="20"/>
              </w:rPr>
            </w:pPr>
            <w:r w:rsidRPr="008F7E57">
              <w:rPr>
                <w:sz w:val="22"/>
                <w:szCs w:val="20"/>
              </w:rPr>
              <w:t>12,53%</w:t>
            </w:r>
          </w:p>
        </w:tc>
      </w:tr>
      <w:tr w:rsidR="00976A92" w:rsidRPr="008F7E57" w14:paraId="58F180BA" w14:textId="77777777" w:rsidTr="00125E3A">
        <w:tc>
          <w:tcPr>
            <w:tcW w:w="3070" w:type="dxa"/>
            <w:shd w:val="clear" w:color="auto" w:fill="auto"/>
          </w:tcPr>
          <w:p w14:paraId="07E7B5F4" w14:textId="77777777" w:rsidR="00976A92" w:rsidRPr="008F7E57" w:rsidRDefault="00976A92" w:rsidP="00125E3A">
            <w:pPr>
              <w:jc w:val="both"/>
              <w:rPr>
                <w:sz w:val="22"/>
                <w:szCs w:val="20"/>
              </w:rPr>
            </w:pPr>
            <w:r w:rsidRPr="008F7E57">
              <w:rPr>
                <w:sz w:val="22"/>
                <w:szCs w:val="20"/>
              </w:rPr>
              <w:t>Begeleidingstrajecten</w:t>
            </w:r>
          </w:p>
        </w:tc>
        <w:tc>
          <w:tcPr>
            <w:tcW w:w="3071" w:type="dxa"/>
            <w:shd w:val="clear" w:color="auto" w:fill="auto"/>
          </w:tcPr>
          <w:p w14:paraId="5F3C0856" w14:textId="77777777" w:rsidR="00976A92" w:rsidRPr="008F7E57" w:rsidRDefault="00976A92" w:rsidP="00125E3A">
            <w:pPr>
              <w:jc w:val="both"/>
              <w:rPr>
                <w:sz w:val="22"/>
                <w:szCs w:val="20"/>
              </w:rPr>
            </w:pPr>
            <w:r w:rsidRPr="008F7E57">
              <w:rPr>
                <w:sz w:val="22"/>
                <w:szCs w:val="20"/>
              </w:rPr>
              <w:t>24,36%</w:t>
            </w:r>
          </w:p>
        </w:tc>
        <w:tc>
          <w:tcPr>
            <w:tcW w:w="3071" w:type="dxa"/>
            <w:shd w:val="clear" w:color="auto" w:fill="auto"/>
          </w:tcPr>
          <w:p w14:paraId="1D18BC03" w14:textId="77777777" w:rsidR="00976A92" w:rsidRPr="008F7E57" w:rsidRDefault="00976A92" w:rsidP="00125E3A">
            <w:pPr>
              <w:jc w:val="both"/>
              <w:rPr>
                <w:sz w:val="22"/>
                <w:szCs w:val="20"/>
              </w:rPr>
            </w:pPr>
            <w:r w:rsidRPr="008F7E57">
              <w:rPr>
                <w:sz w:val="22"/>
                <w:szCs w:val="20"/>
              </w:rPr>
              <w:t>33,86%</w:t>
            </w:r>
          </w:p>
        </w:tc>
      </w:tr>
      <w:tr w:rsidR="00976A92" w:rsidRPr="008F7E57" w14:paraId="79EA2ED0" w14:textId="77777777" w:rsidTr="00125E3A">
        <w:tc>
          <w:tcPr>
            <w:tcW w:w="3070" w:type="dxa"/>
            <w:shd w:val="clear" w:color="auto" w:fill="auto"/>
          </w:tcPr>
          <w:p w14:paraId="43E43DE8" w14:textId="77777777" w:rsidR="00976A92" w:rsidRPr="008F7E57" w:rsidRDefault="00976A92" w:rsidP="00125E3A">
            <w:pPr>
              <w:jc w:val="both"/>
              <w:rPr>
                <w:sz w:val="22"/>
                <w:szCs w:val="20"/>
              </w:rPr>
            </w:pPr>
            <w:r w:rsidRPr="008F7E57">
              <w:rPr>
                <w:sz w:val="22"/>
                <w:szCs w:val="20"/>
              </w:rPr>
              <w:t>Waarvan met opleiding</w:t>
            </w:r>
          </w:p>
        </w:tc>
        <w:tc>
          <w:tcPr>
            <w:tcW w:w="3071" w:type="dxa"/>
            <w:shd w:val="clear" w:color="auto" w:fill="auto"/>
          </w:tcPr>
          <w:p w14:paraId="2627BB0F" w14:textId="77777777" w:rsidR="00976A92" w:rsidRPr="008F7E57" w:rsidRDefault="00976A92" w:rsidP="00125E3A">
            <w:pPr>
              <w:jc w:val="both"/>
              <w:rPr>
                <w:sz w:val="22"/>
                <w:szCs w:val="20"/>
              </w:rPr>
            </w:pPr>
            <w:r w:rsidRPr="008F7E57">
              <w:rPr>
                <w:sz w:val="22"/>
                <w:szCs w:val="20"/>
              </w:rPr>
              <w:t>8,16%</w:t>
            </w:r>
          </w:p>
        </w:tc>
        <w:tc>
          <w:tcPr>
            <w:tcW w:w="3071" w:type="dxa"/>
            <w:shd w:val="clear" w:color="auto" w:fill="auto"/>
          </w:tcPr>
          <w:p w14:paraId="5D3FF6C1" w14:textId="77777777" w:rsidR="00976A92" w:rsidRPr="008F7E57" w:rsidRDefault="00976A92" w:rsidP="00125E3A">
            <w:pPr>
              <w:jc w:val="both"/>
              <w:rPr>
                <w:sz w:val="22"/>
                <w:szCs w:val="20"/>
              </w:rPr>
            </w:pPr>
            <w:r w:rsidRPr="008F7E57">
              <w:rPr>
                <w:sz w:val="22"/>
                <w:szCs w:val="20"/>
              </w:rPr>
              <w:t>14,91%</w:t>
            </w:r>
          </w:p>
        </w:tc>
      </w:tr>
    </w:tbl>
    <w:p w14:paraId="2812E690" w14:textId="77777777" w:rsidR="00976A92" w:rsidRPr="008F7E57" w:rsidRDefault="00976A92" w:rsidP="00976A92">
      <w:pPr>
        <w:jc w:val="both"/>
        <w:rPr>
          <w:sz w:val="22"/>
          <w:szCs w:val="20"/>
        </w:rPr>
      </w:pPr>
    </w:p>
    <w:p w14:paraId="7823E5AC" w14:textId="77777777" w:rsidR="00976A92" w:rsidRPr="008F7E57" w:rsidRDefault="00976A92" w:rsidP="00525D82">
      <w:pPr>
        <w:ind w:left="426"/>
        <w:jc w:val="both"/>
        <w:rPr>
          <w:sz w:val="22"/>
          <w:szCs w:val="20"/>
        </w:rPr>
      </w:pPr>
      <w:bookmarkStart w:id="0" w:name="_GoBack"/>
      <w:bookmarkEnd w:id="0"/>
      <w:r w:rsidRPr="008F7E57">
        <w:rPr>
          <w:sz w:val="22"/>
          <w:szCs w:val="20"/>
        </w:rPr>
        <w:t xml:space="preserve">Het verschil tussen het totaal en de som van de bemiddelings- en begeleidingstrajecten is te wijten aan het feit dat bij het totaal van de acties ook de collectieve infomomenten </w:t>
      </w:r>
      <w:r>
        <w:rPr>
          <w:sz w:val="22"/>
          <w:szCs w:val="20"/>
        </w:rPr>
        <w:t>van het jeugdwerkplan (</w:t>
      </w:r>
      <w:r w:rsidRPr="008F7E57">
        <w:rPr>
          <w:sz w:val="22"/>
          <w:szCs w:val="20"/>
        </w:rPr>
        <w:t>JWP</w:t>
      </w:r>
      <w:r>
        <w:rPr>
          <w:sz w:val="22"/>
          <w:szCs w:val="20"/>
        </w:rPr>
        <w:t>)</w:t>
      </w:r>
      <w:r w:rsidRPr="008F7E57">
        <w:rPr>
          <w:sz w:val="22"/>
          <w:szCs w:val="20"/>
        </w:rPr>
        <w:t xml:space="preserve"> en telefoongesprekken servicelijn worden meegenomen in de cijfers.</w:t>
      </w:r>
    </w:p>
    <w:p w14:paraId="142EDCA4" w14:textId="77777777" w:rsidR="00976A92" w:rsidRPr="008F7E57" w:rsidRDefault="00976A92" w:rsidP="00525D82">
      <w:pPr>
        <w:ind w:left="426" w:hanging="426"/>
        <w:jc w:val="both"/>
        <w:rPr>
          <w:sz w:val="22"/>
          <w:szCs w:val="20"/>
        </w:rPr>
      </w:pPr>
    </w:p>
    <w:p w14:paraId="64D33B72" w14:textId="6B611AAD" w:rsidR="00976A92" w:rsidRPr="00151CA0" w:rsidRDefault="00976A92" w:rsidP="00525D82">
      <w:pPr>
        <w:numPr>
          <w:ilvl w:val="0"/>
          <w:numId w:val="14"/>
        </w:numPr>
        <w:ind w:left="426" w:hanging="426"/>
        <w:jc w:val="both"/>
        <w:rPr>
          <w:sz w:val="22"/>
          <w:szCs w:val="20"/>
        </w:rPr>
      </w:pPr>
      <w:r w:rsidRPr="00151CA0">
        <w:rPr>
          <w:sz w:val="22"/>
          <w:szCs w:val="20"/>
        </w:rPr>
        <w:t xml:space="preserve">5,76% van de niet bereikten werd in de eerste vier maanden na instroom één tot meerdere keren uitgenodigd door de VDAB, maar was afwezig op deze uitnodiging </w:t>
      </w:r>
      <w:r>
        <w:rPr>
          <w:sz w:val="22"/>
          <w:szCs w:val="20"/>
        </w:rPr>
        <w:t>wegens een geldige reden. Dossi</w:t>
      </w:r>
      <w:r w:rsidRPr="00151CA0">
        <w:rPr>
          <w:sz w:val="22"/>
          <w:szCs w:val="20"/>
        </w:rPr>
        <w:t>eronderzoek van de kleine 2% betrof het vaak werkzoekenden die regelmatig tewerkstelling in hun dossier hadden staan</w:t>
      </w:r>
      <w:r>
        <w:rPr>
          <w:sz w:val="22"/>
          <w:szCs w:val="20"/>
        </w:rPr>
        <w:t xml:space="preserve"> of</w:t>
      </w:r>
      <w:r w:rsidRPr="00151CA0">
        <w:rPr>
          <w:sz w:val="22"/>
          <w:szCs w:val="20"/>
        </w:rPr>
        <w:t xml:space="preserve"> jongeren die ingeschreven waren als deeltijds </w:t>
      </w:r>
      <w:proofErr w:type="spellStart"/>
      <w:r w:rsidRPr="00151CA0">
        <w:rPr>
          <w:sz w:val="22"/>
          <w:szCs w:val="20"/>
        </w:rPr>
        <w:t>lerenden</w:t>
      </w:r>
      <w:proofErr w:type="spellEnd"/>
      <w:r w:rsidRPr="00151CA0">
        <w:rPr>
          <w:sz w:val="22"/>
          <w:szCs w:val="20"/>
        </w:rPr>
        <w:t>.</w:t>
      </w:r>
      <w:r w:rsidR="00905727">
        <w:rPr>
          <w:sz w:val="22"/>
          <w:szCs w:val="20"/>
        </w:rPr>
        <w:br/>
        <w:t>Deze jongeren worden allemaal verder opgevolgd.</w:t>
      </w:r>
    </w:p>
    <w:p w14:paraId="169C6347" w14:textId="77777777" w:rsidR="00976A92" w:rsidRPr="008F7E57" w:rsidRDefault="00976A92" w:rsidP="00525D82">
      <w:pPr>
        <w:ind w:left="426" w:hanging="426"/>
        <w:jc w:val="both"/>
        <w:rPr>
          <w:sz w:val="22"/>
          <w:szCs w:val="20"/>
        </w:rPr>
      </w:pPr>
    </w:p>
    <w:p w14:paraId="08994CA0" w14:textId="77777777" w:rsidR="00976A92" w:rsidRPr="00D74ECC" w:rsidRDefault="00976A92" w:rsidP="00525D82">
      <w:pPr>
        <w:numPr>
          <w:ilvl w:val="0"/>
          <w:numId w:val="14"/>
        </w:numPr>
        <w:ind w:left="426" w:hanging="426"/>
        <w:jc w:val="both"/>
        <w:rPr>
          <w:sz w:val="22"/>
          <w:szCs w:val="20"/>
        </w:rPr>
      </w:pPr>
      <w:r>
        <w:rPr>
          <w:sz w:val="22"/>
          <w:szCs w:val="20"/>
        </w:rPr>
        <w:t>Voor de groep vermeld in de vorige deelvraag zijn er geen specifieke projecten.</w:t>
      </w:r>
    </w:p>
    <w:p w14:paraId="0B9BC6D4" w14:textId="668A2459" w:rsidR="007E2BCE" w:rsidRPr="006F7827" w:rsidRDefault="007E2BCE" w:rsidP="00976A92">
      <w:pPr>
        <w:pStyle w:val="Lijstalinea"/>
        <w:ind w:left="425"/>
        <w:jc w:val="both"/>
      </w:pPr>
    </w:p>
    <w:sectPr w:rsidR="007E2BCE" w:rsidRPr="006F7827" w:rsidSect="006856A0">
      <w:type w:val="continuous"/>
      <w:pgSz w:w="11906" w:h="16838"/>
      <w:pgMar w:top="1134" w:right="1134" w:bottom="1134" w:left="1134"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4ABF8" w14:textId="77777777" w:rsidR="00A47AED" w:rsidRDefault="00A47AED" w:rsidP="00464A7A">
      <w:r>
        <w:separator/>
      </w:r>
    </w:p>
  </w:endnote>
  <w:endnote w:type="continuationSeparator" w:id="0">
    <w:p w14:paraId="361F366F" w14:textId="77777777" w:rsidR="00A47AED" w:rsidRDefault="00A47AED" w:rsidP="0046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98B7A" w14:textId="77777777" w:rsidR="00464A7A" w:rsidRDefault="00464A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05581" w14:textId="77777777" w:rsidR="00464A7A" w:rsidRDefault="00464A7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3585D" w14:textId="77777777" w:rsidR="00464A7A" w:rsidRDefault="00464A7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E7B00" w14:textId="77777777" w:rsidR="00A47AED" w:rsidRDefault="00A47AED" w:rsidP="00464A7A">
      <w:r>
        <w:separator/>
      </w:r>
    </w:p>
  </w:footnote>
  <w:footnote w:type="continuationSeparator" w:id="0">
    <w:p w14:paraId="5057EA04" w14:textId="77777777" w:rsidR="00A47AED" w:rsidRDefault="00A47AED" w:rsidP="00464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6B30C" w14:textId="77777777" w:rsidR="00464A7A" w:rsidRDefault="00464A7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7AB73" w14:textId="77777777" w:rsidR="00464A7A" w:rsidRDefault="00464A7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2B65C" w14:textId="77777777" w:rsidR="00464A7A" w:rsidRDefault="00464A7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35004EB"/>
    <w:multiLevelType w:val="hybridMultilevel"/>
    <w:tmpl w:val="2DA0B8D6"/>
    <w:lvl w:ilvl="0" w:tplc="072694DA">
      <w:start w:val="1"/>
      <w:numFmt w:val="decimal"/>
      <w:lvlText w:val="%1."/>
      <w:lvlJc w:val="left"/>
      <w:pPr>
        <w:ind w:left="425" w:hanging="425"/>
      </w:pPr>
      <w:rPr>
        <w:rFonts w:hint="default"/>
      </w:rPr>
    </w:lvl>
    <w:lvl w:ilvl="1" w:tplc="19C28C06">
      <w:start w:val="1"/>
      <w:numFmt w:val="bullet"/>
      <w:lvlText w:val="­"/>
      <w:lvlJc w:val="left"/>
      <w:pPr>
        <w:ind w:left="1276" w:hanging="851"/>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3A2E2B25"/>
    <w:multiLevelType w:val="hybridMultilevel"/>
    <w:tmpl w:val="E14A93A8"/>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42B25E24"/>
    <w:multiLevelType w:val="hybridMultilevel"/>
    <w:tmpl w:val="0F3CE590"/>
    <w:lvl w:ilvl="0" w:tplc="AB268522">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9">
    <w:nsid w:val="42BE3986"/>
    <w:multiLevelType w:val="hybridMultilevel"/>
    <w:tmpl w:val="1E5037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10"/>
  </w:num>
  <w:num w:numId="2">
    <w:abstractNumId w:val="0"/>
  </w:num>
  <w:num w:numId="3">
    <w:abstractNumId w:val="1"/>
  </w:num>
  <w:num w:numId="4">
    <w:abstractNumId w:val="2"/>
  </w:num>
  <w:num w:numId="5">
    <w:abstractNumId w:val="11"/>
  </w:num>
  <w:num w:numId="6">
    <w:abstractNumId w:val="5"/>
  </w:num>
  <w:num w:numId="7">
    <w:abstractNumId w:val="4"/>
  </w:num>
  <w:num w:numId="8">
    <w:abstractNumId w:val="7"/>
  </w:num>
  <w:num w:numId="9">
    <w:abstractNumId w:val="6"/>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24243"/>
    <w:rsid w:val="00031286"/>
    <w:rsid w:val="000503E5"/>
    <w:rsid w:val="000610CE"/>
    <w:rsid w:val="000731A8"/>
    <w:rsid w:val="00132BD7"/>
    <w:rsid w:val="001418EC"/>
    <w:rsid w:val="00165725"/>
    <w:rsid w:val="001A5B8A"/>
    <w:rsid w:val="002173F0"/>
    <w:rsid w:val="002277F6"/>
    <w:rsid w:val="00232BC7"/>
    <w:rsid w:val="00275808"/>
    <w:rsid w:val="002775A9"/>
    <w:rsid w:val="00291A76"/>
    <w:rsid w:val="002B353C"/>
    <w:rsid w:val="002C779D"/>
    <w:rsid w:val="002D27F6"/>
    <w:rsid w:val="002D4643"/>
    <w:rsid w:val="00313C88"/>
    <w:rsid w:val="00321752"/>
    <w:rsid w:val="003317FE"/>
    <w:rsid w:val="00342E5D"/>
    <w:rsid w:val="003A4CDF"/>
    <w:rsid w:val="003D36CF"/>
    <w:rsid w:val="003F1093"/>
    <w:rsid w:val="00410225"/>
    <w:rsid w:val="00415488"/>
    <w:rsid w:val="00451B13"/>
    <w:rsid w:val="00462E13"/>
    <w:rsid w:val="00463D2B"/>
    <w:rsid w:val="00464A7A"/>
    <w:rsid w:val="00482870"/>
    <w:rsid w:val="00484404"/>
    <w:rsid w:val="00492D21"/>
    <w:rsid w:val="00495CB1"/>
    <w:rsid w:val="00496B5B"/>
    <w:rsid w:val="004B1659"/>
    <w:rsid w:val="00525D82"/>
    <w:rsid w:val="005628FF"/>
    <w:rsid w:val="00572E3E"/>
    <w:rsid w:val="005B0CF8"/>
    <w:rsid w:val="005F2C80"/>
    <w:rsid w:val="0064100C"/>
    <w:rsid w:val="00651886"/>
    <w:rsid w:val="00656FB5"/>
    <w:rsid w:val="006632DE"/>
    <w:rsid w:val="0068216A"/>
    <w:rsid w:val="006856A0"/>
    <w:rsid w:val="006918D8"/>
    <w:rsid w:val="00696243"/>
    <w:rsid w:val="006A3827"/>
    <w:rsid w:val="006A4CA8"/>
    <w:rsid w:val="006B7FCC"/>
    <w:rsid w:val="006D3CE8"/>
    <w:rsid w:val="006D4450"/>
    <w:rsid w:val="006F477D"/>
    <w:rsid w:val="006F7827"/>
    <w:rsid w:val="00707498"/>
    <w:rsid w:val="00707D2E"/>
    <w:rsid w:val="00710414"/>
    <w:rsid w:val="00721A3A"/>
    <w:rsid w:val="00734FDE"/>
    <w:rsid w:val="00753CC6"/>
    <w:rsid w:val="007613B5"/>
    <w:rsid w:val="007771C0"/>
    <w:rsid w:val="007B35E6"/>
    <w:rsid w:val="007E2BCE"/>
    <w:rsid w:val="008906D6"/>
    <w:rsid w:val="008E02B5"/>
    <w:rsid w:val="008E60A9"/>
    <w:rsid w:val="008F18E6"/>
    <w:rsid w:val="00905727"/>
    <w:rsid w:val="009373D7"/>
    <w:rsid w:val="00976A92"/>
    <w:rsid w:val="009A3970"/>
    <w:rsid w:val="009C0FF4"/>
    <w:rsid w:val="009D7514"/>
    <w:rsid w:val="00A27757"/>
    <w:rsid w:val="00A47AED"/>
    <w:rsid w:val="00A75778"/>
    <w:rsid w:val="00A76C9C"/>
    <w:rsid w:val="00AA4E03"/>
    <w:rsid w:val="00AB563F"/>
    <w:rsid w:val="00AE6A03"/>
    <w:rsid w:val="00B27878"/>
    <w:rsid w:val="00B33C6C"/>
    <w:rsid w:val="00B373A0"/>
    <w:rsid w:val="00B846A3"/>
    <w:rsid w:val="00B97686"/>
    <w:rsid w:val="00BE4E09"/>
    <w:rsid w:val="00BE6E81"/>
    <w:rsid w:val="00BF75AA"/>
    <w:rsid w:val="00C138F2"/>
    <w:rsid w:val="00C579CC"/>
    <w:rsid w:val="00CB244B"/>
    <w:rsid w:val="00CB3A85"/>
    <w:rsid w:val="00D03794"/>
    <w:rsid w:val="00D0429D"/>
    <w:rsid w:val="00D06542"/>
    <w:rsid w:val="00D15FE9"/>
    <w:rsid w:val="00D169B0"/>
    <w:rsid w:val="00D6129C"/>
    <w:rsid w:val="00D71834"/>
    <w:rsid w:val="00D844CB"/>
    <w:rsid w:val="00DF0323"/>
    <w:rsid w:val="00DF0EAA"/>
    <w:rsid w:val="00DF38FD"/>
    <w:rsid w:val="00E135AC"/>
    <w:rsid w:val="00E13E2E"/>
    <w:rsid w:val="00E1641D"/>
    <w:rsid w:val="00E37C52"/>
    <w:rsid w:val="00E7231E"/>
    <w:rsid w:val="00EB1EE1"/>
    <w:rsid w:val="00EC7346"/>
    <w:rsid w:val="00ED0183"/>
    <w:rsid w:val="00ED7FBB"/>
    <w:rsid w:val="00EE0092"/>
    <w:rsid w:val="00F6262A"/>
    <w:rsid w:val="00F84CFC"/>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2E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652754120">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13C66A54928A498D9FA5FE486E1D330E"/>
        <w:category>
          <w:name w:val="General"/>
          <w:gallery w:val="placeholder"/>
        </w:category>
        <w:types>
          <w:type w:val="bbPlcHdr"/>
        </w:types>
        <w:behaviors>
          <w:behavior w:val="content"/>
        </w:behaviors>
        <w:guid w:val="{15F330D0-C053-48CC-B82F-2C2FD7E66191}"/>
      </w:docPartPr>
      <w:docPartBody>
        <w:p w:rsidR="006A2164" w:rsidRDefault="00C57AC2" w:rsidP="00C57AC2">
          <w:pPr>
            <w:pStyle w:val="13C66A54928A498D9FA5FE486E1D330E"/>
          </w:pPr>
          <w:r w:rsidRPr="00EE3186">
            <w:rPr>
              <w:rStyle w:val="Tekstvantijdelijkeaanduiding"/>
            </w:rPr>
            <w:t>[Datum Vraag]</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
      <w:docPartPr>
        <w:name w:val="D3F36434BD1C44989A49C8280B093094"/>
        <w:category>
          <w:name w:val="General"/>
          <w:gallery w:val="placeholder"/>
        </w:category>
        <w:types>
          <w:type w:val="bbPlcHdr"/>
        </w:types>
        <w:behaviors>
          <w:behavior w:val="content"/>
        </w:behaviors>
        <w:guid w:val="{50D0EAFB-7B8D-4AAB-9F02-E0A1BB908241}"/>
      </w:docPartPr>
      <w:docPartBody>
        <w:p w:rsidR="00317C8C" w:rsidRDefault="00103CA4">
          <w:r w:rsidRPr="00CE2684">
            <w:rPr>
              <w:rStyle w:val="Tekstvantijdelijkeaanduiding"/>
            </w:rPr>
            <w:t>[Minister]</w:t>
          </w:r>
        </w:p>
      </w:docPartBody>
    </w:docPart>
    <w:docPart>
      <w:docPartPr>
        <w:name w:val="4CE0A9E2AE5F4A5F8A74EE1B1752D76A"/>
        <w:category>
          <w:name w:val="General"/>
          <w:gallery w:val="placeholder"/>
        </w:category>
        <w:types>
          <w:type w:val="bbPlcHdr"/>
        </w:types>
        <w:behaviors>
          <w:behavior w:val="content"/>
        </w:behaviors>
        <w:guid w:val="{E86F51AC-B22C-45E0-959D-57CBDE5AC228}"/>
      </w:docPartPr>
      <w:docPartBody>
        <w:p w:rsidR="00842B68" w:rsidRDefault="00785A16">
          <w:r w:rsidRPr="00EC388A">
            <w:rPr>
              <w:rStyle w:val="Tekstvantijdelijkeaanduiding"/>
            </w:rPr>
            <w:t>[MinisterAlleDomeinen]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1E5C81"/>
    <w:rsid w:val="002A3787"/>
    <w:rsid w:val="00317C8C"/>
    <w:rsid w:val="003D53FC"/>
    <w:rsid w:val="00407397"/>
    <w:rsid w:val="004977B7"/>
    <w:rsid w:val="00532992"/>
    <w:rsid w:val="00535D1C"/>
    <w:rsid w:val="005F7776"/>
    <w:rsid w:val="0060158A"/>
    <w:rsid w:val="006753B7"/>
    <w:rsid w:val="006A2164"/>
    <w:rsid w:val="00723526"/>
    <w:rsid w:val="00755DDF"/>
    <w:rsid w:val="00772936"/>
    <w:rsid w:val="007733B5"/>
    <w:rsid w:val="00785A16"/>
    <w:rsid w:val="007A3F77"/>
    <w:rsid w:val="00804FC5"/>
    <w:rsid w:val="00840383"/>
    <w:rsid w:val="00842B68"/>
    <w:rsid w:val="00857F16"/>
    <w:rsid w:val="00896769"/>
    <w:rsid w:val="008D3E7A"/>
    <w:rsid w:val="00955364"/>
    <w:rsid w:val="00A639BC"/>
    <w:rsid w:val="00A86254"/>
    <w:rsid w:val="00B91F8D"/>
    <w:rsid w:val="00C57AC2"/>
    <w:rsid w:val="00D23D78"/>
    <w:rsid w:val="00D9386F"/>
    <w:rsid w:val="00E3712F"/>
    <w:rsid w:val="00F4742C"/>
    <w:rsid w:val="00F823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8CDD6A19FACFF3488C10A50D6D938897" ma:contentTypeVersion="15" ma:contentTypeDescription="Schriftelijke vraag met koppeling van andere template." ma:contentTypeScope="" ma:versionID="788314c3c3c06ecc22efb7b1eaa2477d">
  <xsd:schema xmlns:xsd="http://www.w3.org/2001/XMLSchema" xmlns:xs="http://www.w3.org/2001/XMLSchema" xmlns:p="http://schemas.microsoft.com/office/2006/metadata/properties" xmlns:ns1="http://schemas.microsoft.com/sharepoint/v3" xmlns:ns2="7a2e3783-fe9a-4a2f-bbf4-debb4ac58a5c" xmlns:ns3="ad923ab5-f988-4e82-b3fb-7226e10f9616" xmlns:ns4="ec82e040-88e9-4975-bc13-a42fab7bb9ce" targetNamespace="http://schemas.microsoft.com/office/2006/metadata/properties" ma:root="true" ma:fieldsID="0a0b3fdda1c299b302c3a12541dd32d2" ns1:_="" ns2:_="" ns3:_="" ns4:_="">
    <xsd:import namespace="http://schemas.microsoft.com/sharepoint/v3"/>
    <xsd:import namespace="7a2e3783-fe9a-4a2f-bbf4-debb4ac58a5c"/>
    <xsd:import namespace="ad923ab5-f988-4e82-b3fb-7226e10f9616"/>
    <xsd:import namespace="ec82e040-88e9-4975-bc13-a42fab7bb9ce"/>
    <xsd:element name="properties">
      <xsd:complexType>
        <xsd:sequence>
          <xsd:element name="documentManagement">
            <xsd:complexType>
              <xsd:all>
                <xsd:element ref="ns2:TaxCatchAll" minOccurs="0"/>
                <xsd:element ref="ns2:TaxCatchAllLabel" minOccurs="0"/>
                <xsd:element ref="ns2:Behandelaar" minOccurs="0"/>
                <xsd:element ref="ns2:Doorloopstatus" minOccurs="0"/>
                <xsd:element ref="ns2:DatumVraag"/>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3:Extern_x0020_Agentschap" minOccurs="0"/>
                <xsd:element ref="ns2:i65be3971a7447f690f0cd0953123e0a" minOccurs="0"/>
                <xsd:element ref="ns2:p19bb4db8f234648b3e23803b44e1a2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9"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1" nillable="true" ma:displayName="Behandelaar" ma:description="De behandelaar(s) voor deze parlementaire vraag" ma:list="UserInfo" ma:SharePointGroup="21" ma:internalName="Behandelaa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2" nillable="true" ma:displayName="Doorloopstatus" ma:default="Nieuw" ma:format="Dropdown"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restriction>
      </xsd:simpleType>
    </xsd:element>
    <xsd:element name="DatumVraag" ma:index="13" ma:displayName="Datum Vraag" ma:description="De datum waarop de vraag werd gesteld." ma:format="DateOnly" ma:internalName="DatumVraag" ma:readOnly="false">
      <xsd:simpleType>
        <xsd:restriction base="dms:DateTime"/>
      </xsd:simpleType>
    </xsd:element>
    <xsd:element name="Parlementair" ma:index="14"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5" nillable="true" ma:displayName="Vraagnummer" ma:description="Het nummer van de vraag. Bvb &quot;0021&quot;." ma:internalName="Vraagnummer" ma:readOnly="false">
      <xsd:simpleType>
        <xsd:restriction base="dms:Text">
          <xsd:maxLength value="10"/>
        </xsd:restriction>
      </xsd:simpleType>
    </xsd:element>
    <xsd:element name="Antwoordnummer" ma:index="16" nillable="true" ma:displayName="Antwoordnummer" ma:internalName="Antwoordnummer" ma:readOnly="false">
      <xsd:simpleType>
        <xsd:restriction base="dms:Text">
          <xsd:maxLength value="10"/>
        </xsd:restriction>
      </xsd:simpleType>
    </xsd:element>
    <xsd:element name="Antwoord_x0020_vereist" ma:index="17"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18" nillable="true" ma:displayName="Extra Behandelaars" ma:list="UserInfo" ma:SharePointGroup="21" ma:internalName="Extra_x0020_Behandelaa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19" nillable="true" ma:displayName="Onderwerp vraag" ma:internalName="Onderwerp_x0020_vraag" ma:readOnly="false">
      <xsd:simpleType>
        <xsd:restriction base="dms:Note">
          <xsd:maxLength value="255"/>
        </xsd:restriction>
      </xsd:simpleType>
    </xsd:element>
    <xsd:element name="Titel_x0020_vraag" ma:index="20" nillable="true" ma:displayName="Titel vraag" ma:internalName="Titel_x0020_vraag" ma:readOnly="false">
      <xsd:simpleType>
        <xsd:restriction base="dms:Text">
          <xsd:maxLength value="255"/>
        </xsd:restriction>
      </xsd:simpleType>
    </xsd:element>
    <xsd:element name="Vraag_x0020_beantwoord" ma:index="21" nillable="true" ma:displayName="Vraag beantwoord" ma:format="DateOnly" ma:internalName="Vraag_x0020_beantwoord">
      <xsd:simpleType>
        <xsd:restriction base="dms:DateTime"/>
      </xsd:simpleType>
    </xsd:element>
    <xsd:element name="TypeVraag" ma:index="22"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3" nillable="true" ma:displayName="Domein" ma:format="Dropdown" ma:internalName="MinisterDomein" ma:readOnly="false">
      <xsd:simpleType>
        <xsd:restriction base="dms:Choice">
          <xsd:enumeration value="Werk"/>
          <xsd:enumeration value="Sociale Economie"/>
        </xsd:restriction>
      </xsd:simpleType>
    </xsd:element>
    <xsd:element name="PVAfdeling" ma:index="26" nillable="true" ma:displayName="Afdeling" ma:internalName="PVAfdeling">
      <xsd:simpleType>
        <xsd:restriction base="dms:Text">
          <xsd:maxLength value="255"/>
        </xsd:restriction>
      </xsd:simpleType>
    </xsd:element>
    <xsd:element name="PVTeam" ma:index="27" nillable="true" ma:displayName="Team" ma:internalName="PVTeam">
      <xsd:simpleType>
        <xsd:restriction base="dms:Text">
          <xsd:maxLength value="255"/>
        </xsd:restriction>
      </xsd:simpleType>
    </xsd:element>
    <xsd:element name="Historiek" ma:index="28" nillable="true" ma:displayName="Historiek" ma:description="Historisch overzicht van de activiteiten" ma:internalName="Historiek">
      <xsd:simpleType>
        <xsd:restriction base="dms:Note"/>
      </xsd:simpleType>
    </xsd:element>
    <xsd:element name="MinisterAlleDomeinen" ma:index="30" nillable="true" ma:displayName="MinisterAlleDomeinen" ma:internalName="MinisterAlleDomeinen" ma:readOnly="false">
      <xsd:simpleType>
        <xsd:restriction base="dms:Text">
          <xsd:maxLength value="255"/>
        </xsd:restriction>
      </xsd:simpleType>
    </xsd:element>
    <xsd:element name="i65be3971a7447f690f0cd0953123e0a" ma:index="32" nillable="true" ma:taxonomy="true" ma:internalName="i65be3971a7447f690f0cd0953123e0a" ma:taxonomyFieldName="TypeDocument" ma:displayName="Type Document" ma:readOnly="false" ma:default="" ma:fieldId="{265be397-1a74-47f6-90f0-cd0953123e0a}" ma:taxonomyMulti="true" ma:sspId="e72cec57-dc3f-4e2d-aa58-787a1f1f7a49" ma:termSetId="a76d6c23-9071-426a-b0f2-7652edbf85d3" ma:anchorId="00000000-0000-0000-0000-000000000000" ma:open="false" ma:isKeyword="false">
      <xsd:complexType>
        <xsd:sequence>
          <xsd:element ref="pc:Terms" minOccurs="0" maxOccurs="1"/>
        </xsd:sequence>
      </xsd:complexType>
    </xsd:element>
    <xsd:element name="p19bb4db8f234648b3e23803b44e1a22" ma:index="35" nillable="true" ma:taxonomy="true" ma:internalName="p19bb4db8f234648b3e23803b44e1a22" ma:taxonomyFieldName="WSEMaterie" ma:displayName="Materie" ma:default="" ma:fieldId="{919bb4db-8f23-4648-b3e2-3803b44e1a22}" ma:taxonomyMulti="true" ma:sspId="e72cec57-dc3f-4e2d-aa58-787a1f1f7a49" ma:termSetId="26256111-4d6d-43b9-bd47-c43be03782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923ab5-f988-4e82-b3fb-7226e10f9616" elementFormDefault="qualified">
    <xsd:import namespace="http://schemas.microsoft.com/office/2006/documentManagement/types"/>
    <xsd:import namespace="http://schemas.microsoft.com/office/infopath/2007/PartnerControls"/>
    <xsd:element name="DocSetId" ma:index="24" nillable="true" ma:displayName="DocSetId" ma:internalName="DocSetId" ma:readOnly="false">
      <xsd:simpleType>
        <xsd:restriction base="dms:Text">
          <xsd:maxLength value="255"/>
        </xsd:restriction>
      </xsd:simpleType>
    </xsd:element>
    <xsd:element name="Extern_x0020_Agentschap" ma:index="31" nillable="true" ma:displayName="Extern Agentschap" ma:list="{018b224e-9935-410e-85d0-ef8844e68a6f}" ma:internalName="Extern_x0020_Agentschap"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5" nillable="true" ma:displayName="Minister" ma:list="{b67b3043-2083-422e-a1af-e8c2fd97112c}" ma:internalName="Minister" ma:showField="Title" ma:web="ec82e040-88e9-4975-bc13-a42fab7bb9c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825 Jeugdwerkplan-Resultaten</Titel_x0020_vraag>
    <Vraagnummer xmlns="7a2e3783-fe9a-4a2f-bbf4-debb4ac58a5c">825</Vraagnummer>
    <DatumVraag xmlns="7a2e3783-fe9a-4a2f-bbf4-debb4ac58a5c">2013-06-11T22:00:00+00:00</DatumVraag>
    <DocumentSetDescription xmlns="http://schemas.microsoft.com/sharepoint/v3" xsi:nil="true"/>
    <Antwoord_x0020_vereist xmlns="7a2e3783-fe9a-4a2f-bbf4-debb4ac58a5c">2013-07-21T22:00:00+00:00</Antwoord_x0020_vereist>
    <Onderwerp_x0020_vraag xmlns="7a2e3783-fe9a-4a2f-bbf4-debb4ac58a5c">Jeugdwerkplan-Resultaten</Onderwerp_x0020_vraag>
    <TaxCatchAll xmlns="7a2e3783-fe9a-4a2f-bbf4-debb4ac58a5c"/>
    <Antwoordnummer xmlns="7a2e3783-fe9a-4a2f-bbf4-debb4ac58a5c">825</Antwoordnummer>
    <Extra_x0020_Behandelaars xmlns="7a2e3783-fe9a-4a2f-bbf4-debb4ac58a5c">
      <UserInfo>
        <DisplayName/>
        <AccountId xsi:nil="true"/>
        <AccountType/>
      </UserInfo>
    </Extra_x0020_Behandelaars>
    <Parlementair xmlns="7a2e3783-fe9a-4a2f-bbf4-debb4ac58a5c">Björn Rzoska</Parlementair>
    <Doorloopstatus xmlns="7a2e3783-fe9a-4a2f-bbf4-debb4ac58a5c">Beantwoord</Doorloopstatus>
    <Behandelaar xmlns="7a2e3783-fe9a-4a2f-bbf4-debb4ac58a5c">
      <UserInfo>
        <DisplayName>Vroman, Patricia</DisplayName>
        <AccountId>52</AccountId>
        <AccountType/>
      </UserInfo>
    </Behandelaar>
    <Vraag_x0020_beantwoord xmlns="7a2e3783-fe9a-4a2f-bbf4-debb4ac58a5c">2013-07-02T14:42:01+00:00</Vraag_x0020_beantwoord>
    <TypeVraag xmlns="7a2e3783-fe9a-4a2f-bbf4-debb4ac58a5c">Schriftelijke Vraag</TypeVraag>
    <MinisterDomein xmlns="7a2e3783-fe9a-4a2f-bbf4-debb4ac58a5c">Werk</MinisterDomein>
    <Minister xmlns="ec82e040-88e9-4975-bc13-a42fab7bb9ce">1</Minister>
    <PVAfdeling xmlns="7a2e3783-fe9a-4a2f-bbf4-debb4ac58a5c">Beleidsafdeling</PVAfdeling>
    <PVTeam xmlns="7a2e3783-fe9a-4a2f-bbf4-debb4ac58a5c">Tewerkstelling &amp; Sociaal Ondernemerschap</PVTeam>
    <Historiek xmlns="7a2e3783-fe9a-4a2f-bbf4-debb4ac58a5c">""</Historiek>
    <MinisterAlleDomeinen xmlns="7a2e3783-fe9a-4a2f-bbf4-debb4ac58a5c">Financiën, Begroting, Werk, Ruimtelijke Ordening en Sport</MinisterAlleDomeinen>
    <p19bb4db8f234648b3e23803b44e1a22 xmlns="7a2e3783-fe9a-4a2f-bbf4-debb4ac58a5c">
      <Terms xmlns="http://schemas.microsoft.com/office/infopath/2007/PartnerControls"/>
    </p19bb4db8f234648b3e23803b44e1a22>
    <i65be3971a7447f690f0cd0953123e0a xmlns="7a2e3783-fe9a-4a2f-bbf4-debb4ac58a5c">
      <Terms xmlns="http://schemas.microsoft.com/office/infopath/2007/PartnerControls"/>
    </i65be3971a7447f690f0cd0953123e0a>
    <DocSetId xmlns="ad923ab5-f988-4e82-b3fb-7226e10f9616">679</DocSetId>
    <Extern_x0020_Agentschap xmlns="ad923ab5-f988-4e82-b3fb-7226e10f9616">1</Extern_x0020_Agentschap>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2.xml><?xml version="1.0" encoding="utf-8"?>
<ds:datastoreItem xmlns:ds="http://schemas.openxmlformats.org/officeDocument/2006/customXml" ds:itemID="{B35DF88A-1255-4EE8-B41D-8003B8AE5F45}">
  <ds:schemaRefs>
    <ds:schemaRef ds:uri="http://schemas.microsoft.com/office/2006/customDocumentInformationPanel"/>
  </ds:schemaRefs>
</ds:datastoreItem>
</file>

<file path=customXml/itemProps3.xml><?xml version="1.0" encoding="utf-8"?>
<ds:datastoreItem xmlns:ds="http://schemas.openxmlformats.org/officeDocument/2006/customXml" ds:itemID="{01217C9B-BC3D-4DCF-8120-2D23FCCCA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ad923ab5-f988-4e82-b3fb-7226e10f9616"/>
    <ds:schemaRef ds:uri="ec82e040-88e9-4975-bc13-a42fab7bb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298DB8-679A-49E4-AA34-B450138B57AB}">
  <ds:schemaRefs>
    <ds:schemaRef ds:uri="http://schemas.microsoft.com/office/2006/documentManagement/types"/>
    <ds:schemaRef ds:uri="http://purl.org/dc/terms/"/>
    <ds:schemaRef ds:uri="ad923ab5-f988-4e82-b3fb-7226e10f9616"/>
    <ds:schemaRef ds:uri="http://schemas.microsoft.com/sharepoint/v3"/>
    <ds:schemaRef ds:uri="http://schemas.openxmlformats.org/package/2006/metadata/core-properties"/>
    <ds:schemaRef ds:uri="http://purl.org/dc/dcmitype/"/>
    <ds:schemaRef ds:uri="http://purl.org/dc/elements/1.1/"/>
    <ds:schemaRef ds:uri="http://schemas.microsoft.com/office/infopath/2007/PartnerControls"/>
    <ds:schemaRef ds:uri="ec82e040-88e9-4975-bc13-a42fab7bb9ce"/>
    <ds:schemaRef ds:uri="7a2e3783-fe9a-4a2f-bbf4-debb4ac58a5c"/>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6FDD4CB7-29A2-42DF-9A8A-1DB8F6FCA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3511</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Jeugdwerkplan</vt:lpstr>
      <vt:lpstr/>
    </vt:vector>
  </TitlesOfParts>
  <Company>MVG</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Jeugdwerkplan</dc:title>
  <dc:creator>Croenen, Sofie</dc:creator>
  <cp:lastModifiedBy>Vlaams Parlement</cp:lastModifiedBy>
  <cp:revision>2</cp:revision>
  <cp:lastPrinted>2013-09-11T07:53:00Z</cp:lastPrinted>
  <dcterms:created xsi:type="dcterms:W3CDTF">2013-09-11T07:53:00Z</dcterms:created>
  <dcterms:modified xsi:type="dcterms:W3CDTF">2013-09-11T07:53:00Z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0x010100988F5A92209A7C4FB064E8E0C9EC2A950604008CDD6A19FACFF3488C10A50D6D938897</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da8704e6-08b9-4f73-94ff-ae4fda5ccc9d</vt:lpwstr>
  </property>
  <property fmtid="{D5CDD505-2E9C-101B-9397-08002B2CF9AE}" pid="7" name="WorkflowCreationPath">
    <vt:lpwstr>e616e2c7-cfd3-4c82-aac5-dd48f413a690;</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WSEMaterie">
    <vt:lpwstr/>
  </property>
  <property fmtid="{D5CDD505-2E9C-101B-9397-08002B2CF9AE}" pid="10" name="TypeDocument">
    <vt:lpwstr/>
  </property>
  <property fmtid="{D5CDD505-2E9C-101B-9397-08002B2CF9AE}" pid="11" name="PVOrigID">
    <vt:lpwstr/>
  </property>
  <property fmtid="{D5CDD505-2E9C-101B-9397-08002B2CF9AE}" pid="12" name="ecm_ItemDeleteBlockHolders">
    <vt:lpwstr>ecm_InPlaceRecordLock</vt:lpwstr>
  </property>
  <property fmtid="{D5CDD505-2E9C-101B-9397-08002B2CF9AE}" pid="13" name="_vti_ItemDeclaredRecord">
    <vt:filetime>2013-07-02T14:44:15Z</vt:filetime>
  </property>
  <property fmtid="{D5CDD505-2E9C-101B-9397-08002B2CF9AE}" pid="14" name="_vti_ItemHoldRecordStatus">
    <vt:i4>273</vt:i4>
  </property>
  <property fmtid="{D5CDD505-2E9C-101B-9397-08002B2CF9AE}" pid="15" name="IconOverlay">
    <vt:lpwstr>|docx|lockoverlay.png</vt:lpwstr>
  </property>
  <property fmtid="{D5CDD505-2E9C-101B-9397-08002B2CF9AE}" pid="16" name="ecm_RecordRestrictions">
    <vt:lpwstr>BlockDelete, BlockEdit</vt:lpwstr>
  </property>
  <property fmtid="{D5CDD505-2E9C-101B-9397-08002B2CF9AE}" pid="17" name="ecm_ItemLockHolders">
    <vt:lpwstr>ecm_InPlaceRecordLock</vt:lpwstr>
  </property>
</Properties>
</file>