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78796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9E72BD">
        <w:rPr>
          <w:noProof/>
          <w:szCs w:val="22"/>
        </w:rPr>
        <w:t>philippe muyters</w:t>
      </w:r>
      <w:r>
        <w:rPr>
          <w:szCs w:val="22"/>
        </w:rPr>
        <w:fldChar w:fldCharType="end"/>
      </w:r>
      <w:bookmarkEnd w:id="0"/>
    </w:p>
    <w:bookmarkStart w:id="1" w:name="Text2"/>
    <w:p w:rsidR="000976E9" w:rsidRPr="00015BF7" w:rsidRDefault="00D71D99" w:rsidP="00CE1141">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9E72BD">
        <w:t>vlaams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787964">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5D62A5">
        <w:rPr>
          <w:b w:val="0"/>
        </w:rPr>
        <w:t>862</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5D62A5">
        <w:rPr>
          <w:b w:val="0"/>
        </w:rPr>
        <w:t>20</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0976E9">
      <w:pPr>
        <w:rPr>
          <w:szCs w:val="22"/>
        </w:rPr>
      </w:pPr>
      <w:r>
        <w:rPr>
          <w:szCs w:val="22"/>
        </w:rPr>
        <w:t xml:space="preserve">van </w:t>
      </w:r>
      <w:proofErr w:type="spellStart"/>
      <w:r w:rsidR="003F5916" w:rsidRPr="003F5916">
        <w:rPr>
          <w:b/>
          <w:smallCaps/>
          <w:szCs w:val="22"/>
        </w:rPr>
        <w:t>gwenny</w:t>
      </w:r>
      <w:proofErr w:type="spellEnd"/>
      <w:r w:rsidR="003F5916" w:rsidRPr="003F5916">
        <w:rPr>
          <w:b/>
          <w:smallCaps/>
          <w:szCs w:val="22"/>
        </w:rPr>
        <w:t xml:space="preserve"> de </w:t>
      </w:r>
      <w:proofErr w:type="spellStart"/>
      <w:r w:rsidR="003F5916" w:rsidRPr="003F5916">
        <w:rPr>
          <w:b/>
          <w:smallCaps/>
          <w:szCs w:val="22"/>
        </w:rPr>
        <w:t>vroe</w:t>
      </w:r>
      <w:proofErr w:type="spellEnd"/>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5D62A5" w:rsidRPr="003F5916" w:rsidRDefault="005D62A5" w:rsidP="003F5916">
      <w:pPr>
        <w:pStyle w:val="Lijstalinea"/>
        <w:numPr>
          <w:ilvl w:val="0"/>
          <w:numId w:val="20"/>
        </w:numPr>
        <w:ind w:left="284" w:hanging="284"/>
        <w:jc w:val="both"/>
        <w:rPr>
          <w:rFonts w:eastAsiaTheme="minorHAnsi"/>
          <w:szCs w:val="22"/>
          <w:lang w:val="nl-BE" w:eastAsia="en-US"/>
        </w:rPr>
      </w:pPr>
      <w:r w:rsidRPr="003F5916">
        <w:rPr>
          <w:rFonts w:eastAsiaTheme="minorHAnsi"/>
          <w:szCs w:val="22"/>
          <w:lang w:val="nl-BE" w:eastAsia="en-US"/>
        </w:rPr>
        <w:lastRenderedPageBreak/>
        <w:t xml:space="preserve">Vanaf de afkondiging van het Vlaamse Handhavingsplan Ruimtelijke Ordening heeft het Agentschap Inspectie RWO inspanningen geleverd om de gemeenten te betrekken bij </w:t>
      </w:r>
      <w:proofErr w:type="spellStart"/>
      <w:r w:rsidRPr="003F5916">
        <w:rPr>
          <w:rFonts w:eastAsiaTheme="minorHAnsi"/>
          <w:szCs w:val="22"/>
          <w:lang w:val="nl-BE" w:eastAsia="en-US"/>
        </w:rPr>
        <w:t>handha</w:t>
      </w:r>
      <w:r w:rsidR="003F5916">
        <w:rPr>
          <w:rFonts w:eastAsiaTheme="minorHAnsi"/>
          <w:szCs w:val="22"/>
          <w:lang w:val="nl-BE" w:eastAsia="en-US"/>
        </w:rPr>
        <w:softHyphen/>
      </w:r>
      <w:r w:rsidRPr="003F5916">
        <w:rPr>
          <w:rFonts w:eastAsiaTheme="minorHAnsi"/>
          <w:szCs w:val="22"/>
          <w:lang w:val="nl-BE" w:eastAsia="en-US"/>
        </w:rPr>
        <w:t>vingstrajecten</w:t>
      </w:r>
      <w:proofErr w:type="spellEnd"/>
      <w:r w:rsidRPr="003F5916">
        <w:rPr>
          <w:rFonts w:eastAsiaTheme="minorHAnsi"/>
          <w:szCs w:val="22"/>
          <w:lang w:val="nl-BE" w:eastAsia="en-US"/>
        </w:rPr>
        <w:t xml:space="preserve">. Vooreerst werd er werk gemaakt van kennisverspreiding over de handhaving op informatiesessies in de provincies, atria en in opleidingen voor de politie- en bestuursscholen. </w:t>
      </w:r>
      <w:r w:rsidR="003F5916" w:rsidRPr="003F5916">
        <w:rPr>
          <w:rFonts w:eastAsiaTheme="minorHAnsi"/>
          <w:szCs w:val="22"/>
          <w:lang w:val="nl-BE" w:eastAsia="en-US"/>
        </w:rPr>
        <w:tab/>
      </w:r>
      <w:r w:rsidR="003F5916" w:rsidRPr="003F5916">
        <w:rPr>
          <w:rFonts w:eastAsiaTheme="minorHAnsi"/>
          <w:szCs w:val="22"/>
          <w:lang w:val="nl-BE" w:eastAsia="en-US"/>
        </w:rPr>
        <w:br/>
      </w:r>
      <w:r w:rsidRPr="003F5916">
        <w:rPr>
          <w:rFonts w:eastAsiaTheme="minorHAnsi"/>
          <w:szCs w:val="22"/>
          <w:lang w:val="nl-BE" w:eastAsia="en-US"/>
        </w:rPr>
        <w:t xml:space="preserve">Daarnaast </w:t>
      </w:r>
      <w:r w:rsidR="0095102E" w:rsidRPr="003F5916">
        <w:rPr>
          <w:rFonts w:eastAsiaTheme="minorHAnsi"/>
          <w:szCs w:val="22"/>
          <w:lang w:val="nl-BE" w:eastAsia="en-US"/>
        </w:rPr>
        <w:t>ver</w:t>
      </w:r>
      <w:r w:rsidRPr="003F5916">
        <w:rPr>
          <w:rFonts w:eastAsiaTheme="minorHAnsi"/>
          <w:szCs w:val="22"/>
          <w:lang w:val="nl-BE" w:eastAsia="en-US"/>
        </w:rPr>
        <w:t>zochten de stedenbouwkundige inspecteurs de gemeenten om samen met het Vlaams Gewest de handhaving te verzorgen. Vanaf 1 januari 2012 werden de gemeenten hierover aange</w:t>
      </w:r>
      <w:r w:rsidR="003F5916">
        <w:rPr>
          <w:rFonts w:eastAsiaTheme="minorHAnsi"/>
          <w:szCs w:val="22"/>
          <w:lang w:val="nl-BE" w:eastAsia="en-US"/>
        </w:rPr>
        <w:softHyphen/>
      </w:r>
      <w:r w:rsidRPr="003F5916">
        <w:rPr>
          <w:rFonts w:eastAsiaTheme="minorHAnsi"/>
          <w:szCs w:val="22"/>
          <w:lang w:val="nl-BE" w:eastAsia="en-US"/>
        </w:rPr>
        <w:t>schreven. Quasi alle gemeenten hebben sedert januari 2012 een eerste uitnodiging ontvangen om hierover afspraken te maken met het Agentschap Inspectie RWO. Tot op heden reageerden 73 gemeenten op de vraag tot overleg, zij het met uiteenlopend resultaat: nog geen concrete afspraken mogelijk of gemaakt (42)</w:t>
      </w:r>
      <w:bookmarkStart w:id="6" w:name="_GoBack"/>
      <w:bookmarkEnd w:id="6"/>
      <w:r w:rsidRPr="003F5916">
        <w:rPr>
          <w:rFonts w:eastAsiaTheme="minorHAnsi"/>
          <w:szCs w:val="22"/>
          <w:lang w:val="nl-BE" w:eastAsia="en-US"/>
        </w:rPr>
        <w:t xml:space="preserve">, verder overleg tot het opmaken van een overeenkomst noodzakelijk (22), de aanmaak of opname van eigen prioriteiten in veiligheidsplannen of bestuursakkoorden tot zelfs een eigen gemeentelijk handhavingsplan (9). </w:t>
      </w:r>
      <w:r w:rsidR="003F5916" w:rsidRPr="003F5916">
        <w:rPr>
          <w:rFonts w:eastAsiaTheme="minorHAnsi"/>
          <w:szCs w:val="22"/>
          <w:lang w:val="nl-BE" w:eastAsia="en-US"/>
        </w:rPr>
        <w:tab/>
      </w:r>
      <w:r w:rsidR="003F5916" w:rsidRPr="003F5916">
        <w:rPr>
          <w:rFonts w:eastAsiaTheme="minorHAnsi"/>
          <w:szCs w:val="22"/>
          <w:lang w:val="nl-BE" w:eastAsia="en-US"/>
        </w:rPr>
        <w:br/>
      </w:r>
      <w:r w:rsidR="003F5916" w:rsidRPr="003F5916">
        <w:rPr>
          <w:rFonts w:eastAsiaTheme="minorHAnsi"/>
          <w:szCs w:val="22"/>
          <w:lang w:val="nl-BE" w:eastAsia="en-US"/>
        </w:rPr>
        <w:br/>
      </w:r>
      <w:r w:rsidRPr="003F5916">
        <w:rPr>
          <w:rFonts w:eastAsiaTheme="minorHAnsi"/>
          <w:szCs w:val="22"/>
          <w:lang w:val="nl-BE" w:eastAsia="en-US"/>
        </w:rPr>
        <w:t>Er waren weinig tot geen mogelijkheden om hierover afspraken te maken gelet op de nakende gemeenteraadsverkiezingen in oktober</w:t>
      </w:r>
      <w:r w:rsidR="0095102E" w:rsidRPr="003F5916">
        <w:rPr>
          <w:rFonts w:eastAsiaTheme="minorHAnsi"/>
          <w:szCs w:val="22"/>
          <w:lang w:val="nl-BE" w:eastAsia="en-US"/>
        </w:rPr>
        <w:t xml:space="preserve"> </w:t>
      </w:r>
      <w:r w:rsidRPr="003F5916">
        <w:rPr>
          <w:rFonts w:eastAsiaTheme="minorHAnsi"/>
          <w:szCs w:val="22"/>
          <w:lang w:val="nl-BE" w:eastAsia="en-US"/>
        </w:rPr>
        <w:t xml:space="preserve">2012. De vorming van de nieuwe bestuurscolleges heeft dit proces vertraagd. Daar waar er voor de verkiezingen vooruitgang werd gemaakt, werd dit soms na de verkiezingen teruggedraaid door de nieuwe bestuursploeg. </w:t>
      </w:r>
      <w:r w:rsidR="003F5916" w:rsidRPr="003F5916">
        <w:rPr>
          <w:rFonts w:eastAsiaTheme="minorHAnsi"/>
          <w:szCs w:val="22"/>
          <w:lang w:val="nl-BE" w:eastAsia="en-US"/>
        </w:rPr>
        <w:tab/>
      </w:r>
      <w:r w:rsidR="003F5916" w:rsidRPr="003F5916">
        <w:rPr>
          <w:rFonts w:eastAsiaTheme="minorHAnsi"/>
          <w:szCs w:val="22"/>
          <w:lang w:val="nl-BE" w:eastAsia="en-US"/>
        </w:rPr>
        <w:br/>
      </w:r>
      <w:r w:rsidR="003F5916" w:rsidRPr="003F5916">
        <w:rPr>
          <w:rFonts w:eastAsiaTheme="minorHAnsi"/>
          <w:szCs w:val="22"/>
          <w:lang w:val="nl-BE" w:eastAsia="en-US"/>
        </w:rPr>
        <w:br/>
      </w:r>
      <w:r w:rsidRPr="003F5916">
        <w:rPr>
          <w:rFonts w:eastAsiaTheme="minorHAnsi"/>
          <w:szCs w:val="22"/>
          <w:lang w:val="nl-BE" w:eastAsia="en-US"/>
        </w:rPr>
        <w:t xml:space="preserve">Daarenboven is de handhaving RO ook op verschillende manieren georganiseerd op lokaal niveau. Waar de ene gemeente dit met eigen ambtenaren doet, zet de andere politieagenten in, tot zelfs de inzet van gespecialiseerde politieagenten die voor een volledige politiezone alle aspecten inzake RO op zich nemen. </w:t>
      </w:r>
    </w:p>
    <w:p w:rsidR="00583902" w:rsidRPr="009A210F" w:rsidRDefault="00583902" w:rsidP="003F5916">
      <w:pPr>
        <w:ind w:left="284" w:hanging="284"/>
        <w:jc w:val="both"/>
        <w:rPr>
          <w:rFonts w:eastAsiaTheme="minorHAnsi"/>
          <w:szCs w:val="22"/>
          <w:lang w:val="nl-BE" w:eastAsia="en-US"/>
        </w:rPr>
      </w:pPr>
    </w:p>
    <w:p w:rsidR="00583902" w:rsidRPr="009A210F" w:rsidRDefault="00583902" w:rsidP="003F5916">
      <w:pPr>
        <w:pStyle w:val="Lijstalinea"/>
        <w:numPr>
          <w:ilvl w:val="0"/>
          <w:numId w:val="20"/>
        </w:numPr>
        <w:ind w:left="284" w:hanging="284"/>
        <w:jc w:val="both"/>
      </w:pPr>
      <w:r w:rsidRPr="009A210F">
        <w:t>Er is inderdaad nood aan visie bij de gemeentebesturen inzake de handhaving ruimtelijke ordening. De gemeenten kregen al in 1962 de bevoegdheid om ee</w:t>
      </w:r>
      <w:r w:rsidR="0095102E" w:rsidRPr="009A210F">
        <w:t>n handhavingsbeleid te voeren.</w:t>
      </w:r>
      <w:r w:rsidR="003F5916">
        <w:tab/>
      </w:r>
      <w:r w:rsidR="003F5916">
        <w:br/>
      </w:r>
      <w:r w:rsidR="003F5916">
        <w:br/>
      </w:r>
      <w:r w:rsidRPr="009A210F">
        <w:t>In het Handhavingsplan Ruimtelijke Ordening 2010, dat werd goedgekeurd door de Vlaamse Regering, is het belang van sterke lokale besturen als handhavingspartners uitvoerig benadrukt én - zoals in het vorige antwoord uiteengezet - werd er sterk ingezet op de ondersteu</w:t>
      </w:r>
      <w:r w:rsidR="0095102E" w:rsidRPr="009A210F">
        <w:t xml:space="preserve">ning van deze lokale partners. </w:t>
      </w:r>
      <w:r w:rsidRPr="009A210F">
        <w:t xml:space="preserve">De steden en gemeenten houden zich als meest directe spelers op het veld niet alleen bezig met de gezamenlijke prioriteiten zoals o.a. overtredingen in kwetsbare gebieden, maar hebben ook zelf de mogelijkheid om een eigen </w:t>
      </w:r>
      <w:r w:rsidRPr="009A210F">
        <w:lastRenderedPageBreak/>
        <w:t xml:space="preserve">prioriteitenbeleid te voeren met betrekking tot lokale knelpunten waartegen zij specifiek willen optreden. Naarmate de ontvoogding inzake vergunningverlening verder gaat, moet ook het complement van de handhaving verder worden uitgebouwd. Hierbij kunnen de lokale handhavers rekenen op de ondersteuning van het Agentschap Inspectie RWO. </w:t>
      </w:r>
    </w:p>
    <w:p w:rsidR="00583902" w:rsidRPr="009A210F" w:rsidRDefault="00583902" w:rsidP="003F5916">
      <w:pPr>
        <w:ind w:left="284" w:hanging="284"/>
        <w:jc w:val="both"/>
      </w:pPr>
    </w:p>
    <w:p w:rsidR="005D62A5" w:rsidRPr="003F5916" w:rsidRDefault="00583902" w:rsidP="003F5916">
      <w:pPr>
        <w:pStyle w:val="Lijstalinea"/>
        <w:numPr>
          <w:ilvl w:val="0"/>
          <w:numId w:val="20"/>
        </w:numPr>
        <w:ind w:left="284" w:hanging="284"/>
        <w:jc w:val="both"/>
        <w:rPr>
          <w:rFonts w:eastAsiaTheme="minorHAnsi"/>
          <w:szCs w:val="22"/>
          <w:lang w:val="nl-BE" w:eastAsia="en-US"/>
        </w:rPr>
      </w:pPr>
      <w:r w:rsidRPr="003F5916">
        <w:rPr>
          <w:rFonts w:eastAsiaTheme="minorHAnsi"/>
          <w:szCs w:val="22"/>
          <w:lang w:val="nl-BE" w:eastAsia="en-US"/>
        </w:rPr>
        <w:t xml:space="preserve">De Vlaamse overheid en de gemeenten kunnen en moeten samenwerken op het vlak van de informatieverstrekking inzake de (handhaving van de) ruimtelijke ordening.  Het gemeentelijk loket moet daarin een prominente rol spelen omwille van de nabijheid tot de burger en de directe toegang voor de burger.  Vanuit het gewestelijke niveau worden onder meer folders voor burgers opgesteld en atria voor steden en gemeenten georganiseerd. Ook via de vernieuwde website </w:t>
      </w:r>
      <w:hyperlink r:id="rId9" w:history="1">
        <w:r w:rsidRPr="003F5916">
          <w:rPr>
            <w:rStyle w:val="Hyperlink"/>
            <w:rFonts w:eastAsiaTheme="minorHAnsi"/>
            <w:color w:val="auto"/>
            <w:szCs w:val="22"/>
            <w:lang w:val="nl-BE" w:eastAsia="en-US"/>
          </w:rPr>
          <w:t>http://www.rwo.be</w:t>
        </w:r>
      </w:hyperlink>
      <w:r w:rsidRPr="003F5916">
        <w:rPr>
          <w:rFonts w:eastAsiaTheme="minorHAnsi"/>
          <w:szCs w:val="22"/>
          <w:lang w:val="nl-BE" w:eastAsia="en-US"/>
        </w:rPr>
        <w:t xml:space="preserve">  wordt vanuit het departement Ruimte Vlaanderen, het Agentschap Inspectie RWO en de Hoge Raad voor het Handhavingsbeleid informatie verschaft aan burgers en lokale besturen. Zo zijn daar het Handhavingsplan 2010, de Code Goede Praktijk, het Verslagboek 2010-2011 inzake de adviespraktijk van de HRH etc.,  te consulteren. De gegevens worden op regelmatige basis geactualiseerd en verduidelijkt waar nodig.  </w:t>
      </w:r>
      <w:r w:rsidR="003F5916" w:rsidRPr="003F5916">
        <w:rPr>
          <w:rFonts w:eastAsiaTheme="minorHAnsi"/>
          <w:szCs w:val="22"/>
          <w:lang w:val="nl-BE" w:eastAsia="en-US"/>
        </w:rPr>
        <w:tab/>
      </w:r>
      <w:r w:rsidR="003F5916" w:rsidRPr="003F5916">
        <w:rPr>
          <w:rFonts w:eastAsiaTheme="minorHAnsi"/>
          <w:szCs w:val="22"/>
          <w:lang w:val="nl-BE" w:eastAsia="en-US"/>
        </w:rPr>
        <w:br/>
      </w:r>
      <w:r w:rsidR="003F5916" w:rsidRPr="003F5916">
        <w:rPr>
          <w:rFonts w:eastAsiaTheme="minorHAnsi"/>
          <w:szCs w:val="22"/>
          <w:lang w:val="nl-BE" w:eastAsia="en-US"/>
        </w:rPr>
        <w:br/>
      </w:r>
      <w:r w:rsidRPr="003F5916">
        <w:rPr>
          <w:rFonts w:eastAsiaTheme="minorHAnsi"/>
          <w:szCs w:val="22"/>
          <w:lang w:val="nl-BE" w:eastAsia="en-US"/>
        </w:rPr>
        <w:t xml:space="preserve">In het concrete dossier waarnaar werd verwezen in het verslag van de ombudsman, werd eerder dit jaar een </w:t>
      </w:r>
      <w:proofErr w:type="spellStart"/>
      <w:r w:rsidRPr="003F5916">
        <w:rPr>
          <w:rFonts w:eastAsiaTheme="minorHAnsi"/>
          <w:szCs w:val="22"/>
          <w:lang w:val="nl-BE" w:eastAsia="en-US"/>
        </w:rPr>
        <w:t>domeinoverschrijdende</w:t>
      </w:r>
      <w:proofErr w:type="spellEnd"/>
      <w:r w:rsidRPr="003F5916">
        <w:rPr>
          <w:rFonts w:eastAsiaTheme="minorHAnsi"/>
          <w:szCs w:val="22"/>
          <w:lang w:val="nl-BE" w:eastAsia="en-US"/>
        </w:rPr>
        <w:t xml:space="preserve"> pagina over </w:t>
      </w:r>
      <w:proofErr w:type="spellStart"/>
      <w:r w:rsidRPr="003F5916">
        <w:rPr>
          <w:rFonts w:eastAsiaTheme="minorHAnsi"/>
          <w:szCs w:val="22"/>
          <w:lang w:val="nl-BE" w:eastAsia="en-US"/>
        </w:rPr>
        <w:t>zorgwonen</w:t>
      </w:r>
      <w:proofErr w:type="spellEnd"/>
      <w:r w:rsidRPr="003F5916">
        <w:rPr>
          <w:rFonts w:eastAsiaTheme="minorHAnsi"/>
          <w:szCs w:val="22"/>
          <w:lang w:val="nl-BE" w:eastAsia="en-US"/>
        </w:rPr>
        <w:t xml:space="preserve"> gecreëerd (http://www.vlaanderen.be/nl/bouwen-wonen-en-energie/alternatief-wonen/zorgwonen-kangoeroewonen), los van de bevoegdheidsverdeling binnen de Vlaamse overheid. Hieruit blijkt nog maar eens dat samenwerking en partnerschappen een basisvoorwaarde vormen voor een</w:t>
      </w:r>
      <w:r w:rsidR="00D45DC3" w:rsidRPr="003F5916">
        <w:rPr>
          <w:rFonts w:eastAsiaTheme="minorHAnsi"/>
          <w:szCs w:val="22"/>
          <w:lang w:val="nl-BE" w:eastAsia="en-US"/>
        </w:rPr>
        <w:t xml:space="preserve"> </w:t>
      </w:r>
      <w:proofErr w:type="spellStart"/>
      <w:r w:rsidRPr="003F5916">
        <w:rPr>
          <w:rFonts w:eastAsiaTheme="minorHAnsi"/>
          <w:szCs w:val="22"/>
          <w:lang w:val="nl-BE" w:eastAsia="en-US"/>
        </w:rPr>
        <w:t>éénduidige</w:t>
      </w:r>
      <w:proofErr w:type="spellEnd"/>
      <w:r w:rsidRPr="003F5916">
        <w:rPr>
          <w:rFonts w:eastAsiaTheme="minorHAnsi"/>
          <w:szCs w:val="22"/>
          <w:lang w:val="nl-BE" w:eastAsia="en-US"/>
        </w:rPr>
        <w:t xml:space="preserve"> en duidelijke informatieverstrekking naar de eindgebruiker toe. Hierop wordt dan ook volop ingezet. Ook de initiatieven die thans worden genomen inzake de omgevingsvergunning en de handhaving ervan, kaderen in een grotere samenwerking tussen verschillende domeinen. </w:t>
      </w:r>
    </w:p>
    <w:sectPr w:rsidR="005D62A5" w:rsidRPr="003F5916"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760F16"/>
    <w:multiLevelType w:val="hybridMultilevel"/>
    <w:tmpl w:val="8A78813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2F523A6"/>
    <w:multiLevelType w:val="hybridMultilevel"/>
    <w:tmpl w:val="87983D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10C7607A"/>
    <w:multiLevelType w:val="hybridMultilevel"/>
    <w:tmpl w:val="D0FAA5C8"/>
    <w:lvl w:ilvl="0" w:tplc="16367854">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7CE3A49"/>
    <w:multiLevelType w:val="hybridMultilevel"/>
    <w:tmpl w:val="1340C5C8"/>
    <w:lvl w:ilvl="0" w:tplc="BFF46D06">
      <w:start w:val="2"/>
      <w:numFmt w:val="bullet"/>
      <w:lvlText w:val="-"/>
      <w:lvlJc w:val="left"/>
      <w:pPr>
        <w:ind w:left="1069" w:hanging="360"/>
      </w:pPr>
      <w:rPr>
        <w:rFonts w:ascii="Times New Roman" w:eastAsia="Times New Roman" w:hAnsi="Times New Roman"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5">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F4B191F"/>
    <w:multiLevelType w:val="hybridMultilevel"/>
    <w:tmpl w:val="5D7CE7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2CC766B"/>
    <w:multiLevelType w:val="hybridMultilevel"/>
    <w:tmpl w:val="F1EA295C"/>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nsid w:val="385667D8"/>
    <w:multiLevelType w:val="hybridMultilevel"/>
    <w:tmpl w:val="1FD6C5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38EB5675"/>
    <w:multiLevelType w:val="hybridMultilevel"/>
    <w:tmpl w:val="FC3671B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4390231D"/>
    <w:multiLevelType w:val="hybridMultilevel"/>
    <w:tmpl w:val="1E70EE6E"/>
    <w:lvl w:ilvl="0" w:tplc="0EE8400A">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CBD3C06"/>
    <w:multiLevelType w:val="hybridMultilevel"/>
    <w:tmpl w:val="F46A44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nsid w:val="4CF47CFF"/>
    <w:multiLevelType w:val="hybridMultilevel"/>
    <w:tmpl w:val="ECBC9ECC"/>
    <w:lvl w:ilvl="0" w:tplc="0813000F">
      <w:start w:val="1"/>
      <w:numFmt w:val="decimal"/>
      <w:lvlText w:val="%1."/>
      <w:lvlJc w:val="left"/>
      <w:pPr>
        <w:ind w:left="-351" w:hanging="360"/>
      </w:pPr>
      <w:rPr>
        <w:rFonts w:hint="default"/>
      </w:rPr>
    </w:lvl>
    <w:lvl w:ilvl="1" w:tplc="08130019" w:tentative="1">
      <w:start w:val="1"/>
      <w:numFmt w:val="lowerLetter"/>
      <w:lvlText w:val="%2."/>
      <w:lvlJc w:val="left"/>
      <w:pPr>
        <w:ind w:left="369" w:hanging="360"/>
      </w:pPr>
    </w:lvl>
    <w:lvl w:ilvl="2" w:tplc="0813001B" w:tentative="1">
      <w:start w:val="1"/>
      <w:numFmt w:val="lowerRoman"/>
      <w:lvlText w:val="%3."/>
      <w:lvlJc w:val="right"/>
      <w:pPr>
        <w:ind w:left="1089" w:hanging="180"/>
      </w:pPr>
    </w:lvl>
    <w:lvl w:ilvl="3" w:tplc="0813000F" w:tentative="1">
      <w:start w:val="1"/>
      <w:numFmt w:val="decimal"/>
      <w:lvlText w:val="%4."/>
      <w:lvlJc w:val="left"/>
      <w:pPr>
        <w:ind w:left="1809" w:hanging="360"/>
      </w:pPr>
    </w:lvl>
    <w:lvl w:ilvl="4" w:tplc="08130019" w:tentative="1">
      <w:start w:val="1"/>
      <w:numFmt w:val="lowerLetter"/>
      <w:lvlText w:val="%5."/>
      <w:lvlJc w:val="left"/>
      <w:pPr>
        <w:ind w:left="2529" w:hanging="360"/>
      </w:pPr>
    </w:lvl>
    <w:lvl w:ilvl="5" w:tplc="0813001B" w:tentative="1">
      <w:start w:val="1"/>
      <w:numFmt w:val="lowerRoman"/>
      <w:lvlText w:val="%6."/>
      <w:lvlJc w:val="right"/>
      <w:pPr>
        <w:ind w:left="3249" w:hanging="180"/>
      </w:pPr>
    </w:lvl>
    <w:lvl w:ilvl="6" w:tplc="0813000F" w:tentative="1">
      <w:start w:val="1"/>
      <w:numFmt w:val="decimal"/>
      <w:lvlText w:val="%7."/>
      <w:lvlJc w:val="left"/>
      <w:pPr>
        <w:ind w:left="3969" w:hanging="360"/>
      </w:pPr>
    </w:lvl>
    <w:lvl w:ilvl="7" w:tplc="08130019" w:tentative="1">
      <w:start w:val="1"/>
      <w:numFmt w:val="lowerLetter"/>
      <w:lvlText w:val="%8."/>
      <w:lvlJc w:val="left"/>
      <w:pPr>
        <w:ind w:left="4689" w:hanging="360"/>
      </w:pPr>
    </w:lvl>
    <w:lvl w:ilvl="8" w:tplc="0813001B" w:tentative="1">
      <w:start w:val="1"/>
      <w:numFmt w:val="lowerRoman"/>
      <w:lvlText w:val="%9."/>
      <w:lvlJc w:val="right"/>
      <w:pPr>
        <w:ind w:left="5409" w:hanging="180"/>
      </w:pPr>
    </w:lvl>
  </w:abstractNum>
  <w:abstractNum w:abstractNumId="13">
    <w:nsid w:val="4E2403CC"/>
    <w:multiLevelType w:val="hybridMultilevel"/>
    <w:tmpl w:val="C856166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51032C68"/>
    <w:multiLevelType w:val="hybridMultilevel"/>
    <w:tmpl w:val="4692B2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55624B64"/>
    <w:multiLevelType w:val="hybridMultilevel"/>
    <w:tmpl w:val="18EC961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7">
    <w:nsid w:val="768517A5"/>
    <w:multiLevelType w:val="hybridMultilevel"/>
    <w:tmpl w:val="1A929ADC"/>
    <w:lvl w:ilvl="0" w:tplc="3CE4875A">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6"/>
  </w:num>
  <w:num w:numId="3">
    <w:abstractNumId w:val="7"/>
  </w:num>
  <w:num w:numId="4">
    <w:abstractNumId w:val="14"/>
  </w:num>
  <w:num w:numId="5">
    <w:abstractNumId w:val="18"/>
  </w:num>
  <w:num w:numId="6">
    <w:abstractNumId w:val="0"/>
  </w:num>
  <w:num w:numId="7">
    <w:abstractNumId w:val="5"/>
  </w:num>
  <w:num w:numId="8">
    <w:abstractNumId w:val="15"/>
  </w:num>
  <w:num w:numId="9">
    <w:abstractNumId w:val="11"/>
  </w:num>
  <w:num w:numId="10">
    <w:abstractNumId w:val="2"/>
  </w:num>
  <w:num w:numId="11">
    <w:abstractNumId w:val="8"/>
  </w:num>
  <w:num w:numId="12">
    <w:abstractNumId w:val="13"/>
  </w:num>
  <w:num w:numId="13">
    <w:abstractNumId w:val="6"/>
  </w:num>
  <w:num w:numId="14">
    <w:abstractNumId w:val="10"/>
  </w:num>
  <w:num w:numId="15">
    <w:abstractNumId w:val="3"/>
  </w:num>
  <w:num w:numId="16">
    <w:abstractNumId w:val="17"/>
  </w:num>
  <w:num w:numId="17">
    <w:abstractNumId w:val="1"/>
  </w:num>
  <w:num w:numId="18">
    <w:abstractNumId w:val="4"/>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85"/>
    <w:rsid w:val="0008172E"/>
    <w:rsid w:val="000976E9"/>
    <w:rsid w:val="000C4E8C"/>
    <w:rsid w:val="000F3532"/>
    <w:rsid w:val="00162ECB"/>
    <w:rsid w:val="00174464"/>
    <w:rsid w:val="001764EC"/>
    <w:rsid w:val="00210C07"/>
    <w:rsid w:val="00245FFD"/>
    <w:rsid w:val="00266E3B"/>
    <w:rsid w:val="002D5F4F"/>
    <w:rsid w:val="00326A58"/>
    <w:rsid w:val="00336BBF"/>
    <w:rsid w:val="003F5916"/>
    <w:rsid w:val="005208D5"/>
    <w:rsid w:val="00583902"/>
    <w:rsid w:val="005D62A5"/>
    <w:rsid w:val="005E38CA"/>
    <w:rsid w:val="005E54AF"/>
    <w:rsid w:val="006548DD"/>
    <w:rsid w:val="0071248C"/>
    <w:rsid w:val="007252C7"/>
    <w:rsid w:val="00735E21"/>
    <w:rsid w:val="00787964"/>
    <w:rsid w:val="007A1490"/>
    <w:rsid w:val="00865DBF"/>
    <w:rsid w:val="008A713D"/>
    <w:rsid w:val="008C1CC5"/>
    <w:rsid w:val="008D5DB4"/>
    <w:rsid w:val="00924D85"/>
    <w:rsid w:val="009347E0"/>
    <w:rsid w:val="0095102E"/>
    <w:rsid w:val="009A210F"/>
    <w:rsid w:val="009B3E13"/>
    <w:rsid w:val="009D7043"/>
    <w:rsid w:val="009E72BD"/>
    <w:rsid w:val="00AF64E1"/>
    <w:rsid w:val="00B45EB2"/>
    <w:rsid w:val="00B73A55"/>
    <w:rsid w:val="00BB7612"/>
    <w:rsid w:val="00BE425A"/>
    <w:rsid w:val="00C15BA8"/>
    <w:rsid w:val="00CE1141"/>
    <w:rsid w:val="00D45DC3"/>
    <w:rsid w:val="00D71D99"/>
    <w:rsid w:val="00D754F2"/>
    <w:rsid w:val="00DB41C0"/>
    <w:rsid w:val="00DC00E1"/>
    <w:rsid w:val="00DC4DB6"/>
    <w:rsid w:val="00E55200"/>
    <w:rsid w:val="00F10CD5"/>
    <w:rsid w:val="00F31EBD"/>
    <w:rsid w:val="00F349A5"/>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styleId="Lijstalinea">
    <w:name w:val="List Paragraph"/>
    <w:basedOn w:val="Standaard"/>
    <w:uiPriority w:val="34"/>
    <w:qFormat/>
    <w:rsid w:val="002D5F4F"/>
    <w:pPr>
      <w:ind w:left="708"/>
    </w:pPr>
  </w:style>
  <w:style w:type="paragraph" w:styleId="Ballontekst">
    <w:name w:val="Balloon Text"/>
    <w:basedOn w:val="Standaard"/>
    <w:link w:val="BallontekstChar"/>
    <w:rsid w:val="003F5916"/>
    <w:rPr>
      <w:rFonts w:ascii="Tahoma" w:hAnsi="Tahoma" w:cs="Tahoma"/>
      <w:sz w:val="16"/>
      <w:szCs w:val="16"/>
    </w:rPr>
  </w:style>
  <w:style w:type="character" w:customStyle="1" w:styleId="BallontekstChar">
    <w:name w:val="Ballontekst Char"/>
    <w:basedOn w:val="Standaardalinea-lettertype"/>
    <w:link w:val="Ballontekst"/>
    <w:rsid w:val="003F5916"/>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styleId="Lijstalinea">
    <w:name w:val="List Paragraph"/>
    <w:basedOn w:val="Standaard"/>
    <w:uiPriority w:val="34"/>
    <w:qFormat/>
    <w:rsid w:val="002D5F4F"/>
    <w:pPr>
      <w:ind w:left="708"/>
    </w:pPr>
  </w:style>
  <w:style w:type="paragraph" w:styleId="Ballontekst">
    <w:name w:val="Balloon Text"/>
    <w:basedOn w:val="Standaard"/>
    <w:link w:val="BallontekstChar"/>
    <w:rsid w:val="003F5916"/>
    <w:rPr>
      <w:rFonts w:ascii="Tahoma" w:hAnsi="Tahoma" w:cs="Tahoma"/>
      <w:sz w:val="16"/>
      <w:szCs w:val="16"/>
    </w:rPr>
  </w:style>
  <w:style w:type="character" w:customStyle="1" w:styleId="BallontekstChar">
    <w:name w:val="Ballontekst Char"/>
    <w:basedOn w:val="Standaardalinea-lettertype"/>
    <w:link w:val="Ballontekst"/>
    <w:rsid w:val="003F5916"/>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wo.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WO Document" ma:contentTypeID="0x0101009488E854BFFCF9489C88BFB59DE882FD01005D08B5C483971F4F9CF225EAB5221446" ma:contentTypeVersion="0" ma:contentTypeDescription="" ma:contentTypeScope="" ma:versionID="4152974fc31f26a6a7d5e9c5cdbb99c9">
  <xsd:schema xmlns:xsd="http://www.w3.org/2001/XMLSchema" xmlns:xs="http://www.w3.org/2001/XMLSchema" xmlns:p="http://schemas.microsoft.com/office/2006/metadata/properties" xmlns:ns2="2810934c-bd81-4475-9a9d-49f5b40418c8" targetNamespace="http://schemas.microsoft.com/office/2006/metadata/properties" ma:root="true" ma:fieldsID="6305c23a1fea5ecaea8de2509d60daf7" ns2:_="">
    <xsd:import namespace="2810934c-bd81-4475-9a9d-49f5b40418c8"/>
    <xsd:element name="properties">
      <xsd:complexType>
        <xsd:sequence>
          <xsd:element name="documentManagement">
            <xsd:complexType>
              <xsd:all>
                <xsd:element ref="ns2:Datum" minOccurs="0"/>
                <xsd:element ref="ns2:Kenmerk" minOccurs="0"/>
                <xsd:element ref="ns2:NaamAfzender" minOccurs="0"/>
                <xsd:element ref="ns2:AanduidenVanInstantie" minOccurs="0"/>
                <xsd:element ref="ns2:AardVanVerzoek" minOccurs="0"/>
                <xsd:element ref="ns2:AntwoordBinnenDertigDagen" minOccurs="0"/>
                <xsd:element ref="ns2:UiterlijkVoor" minOccurs="0"/>
                <xsd:element ref="ns2:ReferentienummerExtern" minOccurs="0"/>
                <xsd:element ref="ns2:FinaalAntwoord" minOccurs="0"/>
                <xsd:element ref="ns2:Extra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0934c-bd81-4475-9a9d-49f5b40418c8" elementFormDefault="qualified">
    <xsd:import namespace="http://schemas.microsoft.com/office/2006/documentManagement/types"/>
    <xsd:import namespace="http://schemas.microsoft.com/office/infopath/2007/PartnerControls"/>
    <xsd:element name="Datum" ma:index="1" nillable="true" ma:displayName="Datum" ma:format="DateOnly" ma:internalName="Datum">
      <xsd:simpleType>
        <xsd:restriction base="dms:DateTime"/>
      </xsd:simpleType>
    </xsd:element>
    <xsd:element name="Kenmerk" ma:index="2" nillable="true" ma:displayName="Kenmerk" ma:internalName="Kenmerk">
      <xsd:simpleType>
        <xsd:restriction base="dms:Text">
          <xsd:maxLength value="255"/>
        </xsd:restriction>
      </xsd:simpleType>
    </xsd:element>
    <xsd:element name="NaamAfzender" ma:index="3" nillable="true" ma:displayName="Naam Afzender" ma:internalName="NaamAfzender">
      <xsd:simpleType>
        <xsd:restriction base="dms:Note">
          <xsd:maxLength value="255"/>
        </xsd:restriction>
      </xsd:simpleType>
    </xsd:element>
    <xsd:element name="AanduidenVanInstantie" ma:index="4" nillable="true" ma:displayName="Aanduiden Van Instantie" ma:format="Dropdown" ma:internalName="AanduidenVanInstantie" ma:readOnly="false">
      <xsd:simpleType>
        <xsd:restriction base="dms:Choice">
          <xsd:enumeration value="Departement RWO"/>
          <xsd:enumeration value="HRH"/>
          <xsd:enumeration value="Inspectie RWO"/>
          <xsd:enumeration value="R-O Vlaanderen"/>
          <xsd:enumeration value="Raad voor Vergunningsbetwistingen"/>
          <xsd:enumeration value="SARO"/>
          <xsd:enumeration value="VIOE"/>
          <xsd:enumeration value="Vlaamse Woonraad"/>
          <xsd:enumeration value="VLACORO"/>
          <xsd:enumeration value="VMSW"/>
          <xsd:enumeration value="Wonen-Vlaanderen"/>
          <xsd:enumeration value="Andere"/>
        </xsd:restriction>
      </xsd:simpleType>
    </xsd:element>
    <xsd:element name="AardVanVerzoek" ma:index="5" nillable="true" ma:displayName="Aard Van Verzoek" ma:internalName="AardVanVerzoek" ma:readOnly="false">
      <xsd:complexType>
        <xsd:complexContent>
          <xsd:extension base="dms:MultiChoice">
            <xsd:sequence>
              <xsd:element name="Value" maxOccurs="unbounded" minOccurs="0" nillable="true">
                <xsd:simpleType>
                  <xsd:restriction base="dms:Choice">
                    <xsd:enumeration value="Gelieve bijgaande vraag te onderzoeken"/>
                    <xsd:enumeration value="Voor dringende informatie"/>
                    <xsd:enumeration value="Voor verder gevolg"/>
                    <xsd:enumeration value="Voor verdere afhandeling"/>
                    <xsd:enumeration value="Ter kennisgeving"/>
                    <xsd:enumeration value="Dringende uitbetaling"/>
                    <xsd:enumeration value="De minister wenst ter zake voorstellen te ontvangen"/>
                    <xsd:enumeration value="Voor ontwerp van antwoord (op papier en per elektronische drager) door de minister te ondertekenen"/>
                    <xsd:enumeration value="Herinnering"/>
                    <xsd:enumeration value="Voor rechtstreeks antwoord aan betrokkene met kopie voor het kabinet"/>
                    <xsd:enumeration value="Voor ontwerp van antwoord door AG te ondertekenen"/>
                  </xsd:restriction>
                </xsd:simpleType>
              </xsd:element>
            </xsd:sequence>
          </xsd:extension>
        </xsd:complexContent>
      </xsd:complexType>
    </xsd:element>
    <xsd:element name="AntwoordBinnenDertigDagen" ma:index="6" nillable="true" ma:displayName="Antwoord Binnen 30 Dagen?" ma:default="0" ma:internalName="AntwoordBinnenDertigDagen" ma:readOnly="false">
      <xsd:simpleType>
        <xsd:restriction base="dms:Boolean"/>
      </xsd:simpleType>
    </xsd:element>
    <xsd:element name="UiterlijkVoor" ma:index="7" nillable="true" ma:displayName="Uiterlijk Vóór" ma:format="DateOnly" ma:internalName="UiterlijkVoor" ma:readOnly="false">
      <xsd:simpleType>
        <xsd:restriction base="dms:DateTime"/>
      </xsd:simpleType>
    </xsd:element>
    <xsd:element name="ReferentienummerExtern" ma:index="8" nillable="true" ma:displayName="Referentienummer Extern" ma:internalName="ReferentienummerExtern">
      <xsd:simpleType>
        <xsd:restriction base="dms:Text">
          <xsd:maxLength value="255"/>
        </xsd:restriction>
      </xsd:simpleType>
    </xsd:element>
    <xsd:element name="FinaalAntwoord" ma:index="9" nillable="true" ma:displayName="Finaal Antwoord" ma:default="0" ma:internalName="FinaalAntwoord">
      <xsd:simpleType>
        <xsd:restriction base="dms:Boolean"/>
      </xsd:simpleType>
    </xsd:element>
    <xsd:element name="ExtraOpmerkingen" ma:index="10" nillable="true" ma:displayName="Extra Opmerkingen" ma:internalName="ExtraOpmerkinge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oudstype"/>
        <xsd:element ref="dc:title" minOccurs="0" maxOccurs="1" ma:index="1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nmerk xmlns="2810934c-bd81-4475-9a9d-49f5b40418c8" xsi:nil="true"/>
    <NaamAfzender xmlns="2810934c-bd81-4475-9a9d-49f5b40418c8">&lt;div&gt;&lt;/div&gt;</NaamAfzender>
    <FinaalAntwoord xmlns="2810934c-bd81-4475-9a9d-49f5b40418c8">true</FinaalAntwoord>
    <ExtraOpmerkingen xmlns="2810934c-bd81-4475-9a9d-49f5b40418c8">&lt;div&gt;&lt;/div&gt;</ExtraOpmerkingen>
    <UiterlijkVoor xmlns="2810934c-bd81-4475-9a9d-49f5b40418c8" xsi:nil="true"/>
    <AntwoordBinnenDertigDagen xmlns="2810934c-bd81-4475-9a9d-49f5b40418c8">false</AntwoordBinnenDertigDagen>
    <Datum xmlns="2810934c-bd81-4475-9a9d-49f5b40418c8" xsi:nil="true"/>
    <AardVanVerzoek xmlns="2810934c-bd81-4475-9a9d-49f5b40418c8"/>
    <ReferentienummerExtern xmlns="2810934c-bd81-4475-9a9d-49f5b40418c8" xsi:nil="true"/>
    <AanduidenVanInstantie xmlns="2810934c-bd81-4475-9a9d-49f5b40418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13FAB-3E90-49C7-A7BB-006922543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0934c-bd81-4475-9a9d-49f5b4041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50D3B-08F6-424F-9238-4C7A3B1922F9}">
  <ds:schemaRefs>
    <ds:schemaRef ds:uri="http://purl.org/dc/elements/1.1/"/>
    <ds:schemaRef ds:uri="http://schemas.microsoft.com/office/2006/documentManagement/types"/>
    <ds:schemaRef ds:uri="http://purl.org/dc/dcmitype/"/>
    <ds:schemaRef ds:uri="http://purl.org/dc/terms/"/>
    <ds:schemaRef ds:uri="2810934c-bd81-4475-9a9d-49f5b40418c8"/>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9DA15B7-B740-46C8-9806-D4C2374447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3997</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bullaebi</dc:creator>
  <cp:lastModifiedBy>Sandra Quaethoven</cp:lastModifiedBy>
  <cp:revision>2</cp:revision>
  <cp:lastPrinted>2013-09-10T08:54:00Z</cp:lastPrinted>
  <dcterms:created xsi:type="dcterms:W3CDTF">2013-09-10T08:55:00Z</dcterms:created>
  <dcterms:modified xsi:type="dcterms:W3CDTF">2013-09-10T08:55:00Z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Antwoord schriftelijke vraag - Muyters</vt:lpwstr>
  </property>
  <property fmtid="{D5CDD505-2E9C-101B-9397-08002B2CF9AE}" pid="3" name="ContentTypeId">
    <vt:lpwstr>0x0101009488E854BFFCF9489C88BFB59DE882FD01005D08B5C483971F4F9CF225EAB5221446</vt:lpwstr>
  </property>
  <property fmtid="{D5CDD505-2E9C-101B-9397-08002B2CF9AE}" pid="4" name="kenmerk">
    <vt:lpwstr>225;#HHP|cbc9b48b-5617-4e47-a092-c312c1d83a91</vt:lpwstr>
  </property>
  <property fmtid="{D5CDD505-2E9C-101B-9397-08002B2CF9AE}" pid="5" name="trefwoorden">
    <vt:lpwstr>115;#handhaving|05386748-a368-4eca-adfb-f4cea80ec4a4</vt:lpwstr>
  </property>
</Properties>
</file>