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CE" w:rsidRPr="00693743" w:rsidRDefault="009864CE" w:rsidP="007E2BBA">
      <w:pPr>
        <w:jc w:val="both"/>
        <w:rPr>
          <w:rFonts w:ascii="Times New Roman Vet" w:hAnsi="Times New Roman Vet"/>
          <w:smallCaps/>
          <w:sz w:val="22"/>
          <w:szCs w:val="22"/>
          <w:lang w:val="nl-BE"/>
        </w:rPr>
      </w:pPr>
      <w:proofErr w:type="spellStart"/>
      <w:r w:rsidRPr="00693743">
        <w:rPr>
          <w:rFonts w:ascii="Times New Roman Vet" w:hAnsi="Times New Roman Vet"/>
          <w:b/>
          <w:smallCaps/>
          <w:sz w:val="22"/>
          <w:szCs w:val="22"/>
          <w:lang w:val="nl-BE"/>
        </w:rPr>
        <w:t>ingrid</w:t>
      </w:r>
      <w:proofErr w:type="spellEnd"/>
      <w:r w:rsidRPr="00693743">
        <w:rPr>
          <w:rFonts w:ascii="Times New Roman Vet" w:hAnsi="Times New Roman Vet"/>
          <w:b/>
          <w:smallCaps/>
          <w:sz w:val="22"/>
          <w:szCs w:val="22"/>
          <w:lang w:val="nl-BE"/>
        </w:rPr>
        <w:t xml:space="preserve"> lieten</w:t>
      </w:r>
    </w:p>
    <w:p w:rsidR="00941198" w:rsidRPr="00693743" w:rsidRDefault="009864CE" w:rsidP="007E2BBA">
      <w:pPr>
        <w:pStyle w:val="StandaardSV"/>
        <w:pBdr>
          <w:bottom w:val="single" w:sz="4" w:space="1" w:color="auto"/>
        </w:pBdr>
        <w:rPr>
          <w:smallCaps/>
          <w:szCs w:val="22"/>
          <w:lang w:val="nl-BE"/>
        </w:rPr>
      </w:pPr>
      <w:r w:rsidRPr="00693743">
        <w:rPr>
          <w:smallCaps/>
          <w:szCs w:val="22"/>
          <w:lang w:val="nl-BE"/>
        </w:rPr>
        <w:t>viceminister-president van de vlaamse regering, vlaams minister van innovatie, overheidsinvesteringen, media en armoedebestrijding</w:t>
      </w:r>
    </w:p>
    <w:p w:rsidR="009864CE" w:rsidRDefault="009864CE" w:rsidP="007E2BBA">
      <w:pPr>
        <w:pStyle w:val="StandaardSV"/>
        <w:pBdr>
          <w:bottom w:val="single" w:sz="4" w:space="1" w:color="auto"/>
        </w:pBdr>
      </w:pPr>
    </w:p>
    <w:p w:rsidR="009F10A6" w:rsidRDefault="009F10A6" w:rsidP="007E2BBA">
      <w:pPr>
        <w:jc w:val="both"/>
        <w:rPr>
          <w:sz w:val="22"/>
        </w:rPr>
      </w:pPr>
    </w:p>
    <w:p w:rsidR="00C35B6E" w:rsidRPr="00C35B6E" w:rsidRDefault="00C35B6E" w:rsidP="007E2BBA">
      <w:pPr>
        <w:jc w:val="both"/>
        <w:rPr>
          <w:b/>
          <w:smallCaps/>
          <w:sz w:val="22"/>
          <w:szCs w:val="22"/>
        </w:rPr>
      </w:pPr>
      <w:r w:rsidRPr="00C35B6E">
        <w:rPr>
          <w:b/>
          <w:smallCaps/>
          <w:sz w:val="22"/>
          <w:szCs w:val="22"/>
        </w:rPr>
        <w:t>antwoord</w:t>
      </w:r>
    </w:p>
    <w:p w:rsidR="009F10A6" w:rsidRDefault="00C35B6E" w:rsidP="007E2BBA">
      <w:pPr>
        <w:jc w:val="both"/>
        <w:rPr>
          <w:sz w:val="22"/>
        </w:rPr>
      </w:pPr>
      <w:r>
        <w:rPr>
          <w:sz w:val="22"/>
        </w:rPr>
        <w:t xml:space="preserve">op vraag </w:t>
      </w:r>
      <w:r w:rsidR="009F10A6">
        <w:rPr>
          <w:sz w:val="22"/>
        </w:rPr>
        <w:t>nr</w:t>
      </w:r>
      <w:r w:rsidR="007A7738">
        <w:rPr>
          <w:sz w:val="22"/>
        </w:rPr>
        <w:t xml:space="preserve">. </w:t>
      </w:r>
      <w:r w:rsidR="00B25315">
        <w:rPr>
          <w:sz w:val="22"/>
        </w:rPr>
        <w:t>475</w:t>
      </w:r>
      <w:r>
        <w:rPr>
          <w:sz w:val="22"/>
        </w:rPr>
        <w:t xml:space="preserve"> </w:t>
      </w:r>
      <w:r w:rsidR="009F10A6">
        <w:rPr>
          <w:sz w:val="22"/>
        </w:rPr>
        <w:t xml:space="preserve">van </w:t>
      </w:r>
      <w:r w:rsidR="00B25315">
        <w:rPr>
          <w:sz w:val="22"/>
        </w:rPr>
        <w:t>18 juni 2013</w:t>
      </w:r>
    </w:p>
    <w:p w:rsidR="009F10A6" w:rsidRDefault="009F10A6" w:rsidP="007E2BBA">
      <w:pPr>
        <w:pStyle w:val="StandaardSV"/>
        <w:rPr>
          <w:b/>
        </w:rPr>
      </w:pPr>
      <w:r>
        <w:t xml:space="preserve">van </w:t>
      </w:r>
      <w:r w:rsidR="00B25315">
        <w:rPr>
          <w:b/>
          <w:smallCaps/>
        </w:rPr>
        <w:t>matthias diependaele</w:t>
      </w:r>
    </w:p>
    <w:p w:rsidR="009F10A6" w:rsidRDefault="009F10A6" w:rsidP="007E2BBA">
      <w:pPr>
        <w:pBdr>
          <w:bottom w:val="single" w:sz="4" w:space="1" w:color="auto"/>
        </w:pBdr>
        <w:jc w:val="both"/>
        <w:rPr>
          <w:sz w:val="22"/>
        </w:rPr>
      </w:pPr>
    </w:p>
    <w:p w:rsidR="00080040" w:rsidRDefault="00080040" w:rsidP="007E2BBA">
      <w:pPr>
        <w:pStyle w:val="StandaardSV"/>
      </w:pPr>
      <w:bookmarkStart w:id="0" w:name="_GoBack"/>
      <w:bookmarkEnd w:id="0"/>
    </w:p>
    <w:p w:rsidR="00B25315" w:rsidRPr="00B25315" w:rsidRDefault="00B25315" w:rsidP="00B25315">
      <w:pPr>
        <w:pStyle w:val="StandaardSV"/>
      </w:pPr>
    </w:p>
    <w:p w:rsidR="002B719A" w:rsidRDefault="002B719A" w:rsidP="002B719A">
      <w:pPr>
        <w:pStyle w:val="StandaardSV"/>
        <w:numPr>
          <w:ilvl w:val="0"/>
          <w:numId w:val="16"/>
        </w:numPr>
        <w:ind w:left="426"/>
      </w:pPr>
      <w:r>
        <w:t xml:space="preserve">De vraagsteller verwijst naar het plan van eurocommissaris </w:t>
      </w:r>
      <w:proofErr w:type="spellStart"/>
      <w:r>
        <w:t>Neelie</w:t>
      </w:r>
      <w:proofErr w:type="spellEnd"/>
      <w:r>
        <w:t xml:space="preserve"> Kroes  “N</w:t>
      </w:r>
      <w:proofErr w:type="spellStart"/>
      <w:r w:rsidRPr="002B719A">
        <w:rPr>
          <w:lang w:val="nl-BE"/>
        </w:rPr>
        <w:t>ieuwe</w:t>
      </w:r>
      <w:proofErr w:type="spellEnd"/>
      <w:r w:rsidRPr="002B719A">
        <w:rPr>
          <w:lang w:val="nl-BE"/>
        </w:rPr>
        <w:t xml:space="preserve"> Europese strategie voor de elektronicasector – 100 miljard euro aan particuliere investeringen vrijmaken door gerichtere steun”</w:t>
      </w:r>
      <w:r w:rsidRPr="002B719A">
        <w:t xml:space="preserve"> </w:t>
      </w:r>
      <w:r>
        <w:t>(zie EC persbericht IP/13/455</w:t>
      </w:r>
      <w:r>
        <w:rPr>
          <w:rStyle w:val="Voetnootmarkering"/>
        </w:rPr>
        <w:footnoteReference w:id="1"/>
      </w:r>
      <w:r>
        <w:t xml:space="preserve"> van 23 mei 2013). </w:t>
      </w:r>
    </w:p>
    <w:p w:rsidR="002B719A" w:rsidRDefault="002B719A" w:rsidP="002B719A">
      <w:pPr>
        <w:pStyle w:val="StandaardSV"/>
        <w:ind w:left="426"/>
      </w:pPr>
    </w:p>
    <w:p w:rsidR="00566B8A" w:rsidRDefault="002B719A" w:rsidP="002B719A">
      <w:pPr>
        <w:pStyle w:val="StandaardSV"/>
        <w:ind w:left="426"/>
      </w:pPr>
      <w:r>
        <w:t>D</w:t>
      </w:r>
      <w:r w:rsidR="00E51A35">
        <w:t xml:space="preserve">e </w:t>
      </w:r>
      <w:r w:rsidR="00566B8A">
        <w:t xml:space="preserve">micro-elektronica </w:t>
      </w:r>
      <w:r w:rsidR="00250E2A">
        <w:t xml:space="preserve">sector </w:t>
      </w:r>
      <w:r>
        <w:t xml:space="preserve">zal </w:t>
      </w:r>
      <w:r w:rsidR="009E6ECE">
        <w:t xml:space="preserve">op Europees niveau </w:t>
      </w:r>
      <w:r w:rsidR="00566B8A">
        <w:t xml:space="preserve">via verschillende kanalen </w:t>
      </w:r>
      <w:r w:rsidR="00D164D5">
        <w:t>ondersteund worden</w:t>
      </w:r>
      <w:r w:rsidR="00E51A35">
        <w:t xml:space="preserve"> </w:t>
      </w:r>
      <w:r w:rsidR="009E6ECE">
        <w:t>binnen</w:t>
      </w:r>
      <w:r w:rsidR="00E51A35">
        <w:t xml:space="preserve"> Horizon 2020</w:t>
      </w:r>
      <w:r w:rsidR="00566B8A">
        <w:t xml:space="preserve">. De belangrijkste kanalen </w:t>
      </w:r>
      <w:r w:rsidR="00805803">
        <w:t xml:space="preserve">zijn </w:t>
      </w:r>
      <w:r w:rsidR="00566B8A">
        <w:t xml:space="preserve">de nieuwe Joint </w:t>
      </w:r>
      <w:proofErr w:type="spellStart"/>
      <w:r w:rsidR="00566B8A">
        <w:t>Undertaking</w:t>
      </w:r>
      <w:proofErr w:type="spellEnd"/>
      <w:r w:rsidR="00B94AE1">
        <w:t xml:space="preserve"> (JU)</w:t>
      </w:r>
      <w:r w:rsidR="00566B8A">
        <w:t xml:space="preserve"> </w:t>
      </w:r>
      <w:r w:rsidR="00805803">
        <w:t>“</w:t>
      </w:r>
      <w:r w:rsidR="00566B8A">
        <w:t xml:space="preserve">Electronic </w:t>
      </w:r>
      <w:proofErr w:type="spellStart"/>
      <w:r w:rsidR="00566B8A">
        <w:t>Components</w:t>
      </w:r>
      <w:proofErr w:type="spellEnd"/>
      <w:r w:rsidR="00566B8A">
        <w:t xml:space="preserve"> an</w:t>
      </w:r>
      <w:r w:rsidR="00805803">
        <w:t>d</w:t>
      </w:r>
      <w:r w:rsidR="00566B8A">
        <w:t xml:space="preserve"> Systems </w:t>
      </w:r>
      <w:proofErr w:type="spellStart"/>
      <w:r w:rsidR="00566B8A">
        <w:t>for</w:t>
      </w:r>
      <w:proofErr w:type="spellEnd"/>
      <w:r w:rsidR="00566B8A">
        <w:t xml:space="preserve"> European </w:t>
      </w:r>
      <w:proofErr w:type="spellStart"/>
      <w:r w:rsidR="00566B8A">
        <w:t>Leadership</w:t>
      </w:r>
      <w:proofErr w:type="spellEnd"/>
      <w:r w:rsidR="00805803">
        <w:t>”</w:t>
      </w:r>
      <w:r w:rsidR="00566B8A">
        <w:t xml:space="preserve"> </w:t>
      </w:r>
      <w:r w:rsidR="00805803">
        <w:t>(</w:t>
      </w:r>
      <w:r w:rsidR="00566B8A">
        <w:t>ECSEL</w:t>
      </w:r>
      <w:r w:rsidR="00805803">
        <w:t>)</w:t>
      </w:r>
      <w:r w:rsidR="00566B8A">
        <w:t xml:space="preserve"> en de </w:t>
      </w:r>
      <w:r w:rsidR="00805803">
        <w:t>“</w:t>
      </w:r>
      <w:proofErr w:type="spellStart"/>
      <w:r w:rsidR="00566B8A">
        <w:t>Key</w:t>
      </w:r>
      <w:proofErr w:type="spellEnd"/>
      <w:r w:rsidR="00566B8A">
        <w:t xml:space="preserve"> </w:t>
      </w:r>
      <w:proofErr w:type="spellStart"/>
      <w:r w:rsidR="00566B8A">
        <w:t>Enabling</w:t>
      </w:r>
      <w:proofErr w:type="spellEnd"/>
      <w:r w:rsidR="00566B8A">
        <w:t xml:space="preserve"> Technologies</w:t>
      </w:r>
      <w:r w:rsidR="00805803">
        <w:t>”</w:t>
      </w:r>
      <w:r w:rsidR="00566B8A">
        <w:t xml:space="preserve"> (</w:t>
      </w:r>
      <w:proofErr w:type="spellStart"/>
      <w:r w:rsidR="00566B8A">
        <w:t>KETs</w:t>
      </w:r>
      <w:proofErr w:type="spellEnd"/>
      <w:r w:rsidR="00566B8A">
        <w:t>)</w:t>
      </w:r>
      <w:r w:rsidR="00805803">
        <w:t>.</w:t>
      </w:r>
      <w:r w:rsidR="00E51A35">
        <w:t xml:space="preserve"> </w:t>
      </w:r>
    </w:p>
    <w:p w:rsidR="00566B8A" w:rsidRDefault="00566B8A" w:rsidP="00401708">
      <w:pPr>
        <w:pStyle w:val="StandaardSV"/>
        <w:ind w:left="426"/>
      </w:pPr>
    </w:p>
    <w:p w:rsidR="00DB3D38" w:rsidRDefault="00566B8A" w:rsidP="00401708">
      <w:pPr>
        <w:pStyle w:val="StandaardSV"/>
        <w:ind w:left="426"/>
      </w:pPr>
      <w:r>
        <w:t>De</w:t>
      </w:r>
      <w:r w:rsidR="008C02EF">
        <w:t xml:space="preserve"> Europese Commissie heeft </w:t>
      </w:r>
      <w:r w:rsidR="00805803">
        <w:t>de intentie</w:t>
      </w:r>
      <w:r w:rsidR="00401708">
        <w:t>,</w:t>
      </w:r>
      <w:r w:rsidR="00805803">
        <w:t xml:space="preserve"> </w:t>
      </w:r>
      <w:r w:rsidR="008C02EF">
        <w:t xml:space="preserve">in het kader van artikel 187 van het Europees verdrag, </w:t>
      </w:r>
      <w:r w:rsidR="00DB3D38">
        <w:t xml:space="preserve">om </w:t>
      </w:r>
      <w:r w:rsidR="008C02EF">
        <w:t xml:space="preserve">de huidige </w:t>
      </w:r>
      <w:r w:rsidR="00805803">
        <w:t xml:space="preserve">Joint Technologies </w:t>
      </w:r>
      <w:proofErr w:type="spellStart"/>
      <w:r w:rsidR="00805803">
        <w:t>Initiative</w:t>
      </w:r>
      <w:r w:rsidR="00D164D5">
        <w:t>s</w:t>
      </w:r>
      <w:proofErr w:type="spellEnd"/>
      <w:r w:rsidR="00805803">
        <w:t xml:space="preserve"> (</w:t>
      </w:r>
      <w:proofErr w:type="spellStart"/>
      <w:r w:rsidR="00805803">
        <w:t>JTI</w:t>
      </w:r>
      <w:r w:rsidR="00D164D5">
        <w:t>s</w:t>
      </w:r>
      <w:proofErr w:type="spellEnd"/>
      <w:r w:rsidR="00805803">
        <w:t>)</w:t>
      </w:r>
      <w:r w:rsidR="008C02EF">
        <w:t xml:space="preserve"> </w:t>
      </w:r>
      <w:proofErr w:type="spellStart"/>
      <w:r w:rsidR="008C02EF">
        <w:t>Eniac</w:t>
      </w:r>
      <w:proofErr w:type="spellEnd"/>
      <w:r w:rsidR="00B94AE1">
        <w:t xml:space="preserve"> </w:t>
      </w:r>
      <w:r>
        <w:t>(micro-elektronica)</w:t>
      </w:r>
      <w:r w:rsidR="008C02EF">
        <w:t xml:space="preserve"> en Artemis</w:t>
      </w:r>
      <w:r>
        <w:t xml:space="preserve"> (</w:t>
      </w:r>
      <w:proofErr w:type="spellStart"/>
      <w:r>
        <w:t>embedded</w:t>
      </w:r>
      <w:proofErr w:type="spellEnd"/>
      <w:r>
        <w:t xml:space="preserve"> systems)</w:t>
      </w:r>
      <w:r w:rsidR="008C02EF">
        <w:t xml:space="preserve"> samen te voegen</w:t>
      </w:r>
      <w:r>
        <w:t xml:space="preserve">. Verder is er een uitbreiding voorzien </w:t>
      </w:r>
      <w:r w:rsidR="00B94AE1">
        <w:t>door de integratie van</w:t>
      </w:r>
      <w:r w:rsidR="00A01BF0">
        <w:t xml:space="preserve"> </w:t>
      </w:r>
      <w:r w:rsidR="00D164D5">
        <w:t xml:space="preserve">het </w:t>
      </w:r>
      <w:proofErr w:type="spellStart"/>
      <w:r w:rsidR="00A01BF0">
        <w:t>EPoSS</w:t>
      </w:r>
      <w:proofErr w:type="spellEnd"/>
      <w:r w:rsidR="00D164D5">
        <w:t xml:space="preserve"> initiatief</w:t>
      </w:r>
      <w:r w:rsidR="00A01BF0">
        <w:t xml:space="preserve"> (Smart Systems). </w:t>
      </w:r>
      <w:r>
        <w:t xml:space="preserve"> </w:t>
      </w:r>
      <w:r w:rsidR="00D164D5">
        <w:t>Deze</w:t>
      </w:r>
      <w:r w:rsidR="00A01BF0">
        <w:t xml:space="preserve"> </w:t>
      </w:r>
      <w:r w:rsidR="00802311">
        <w:t xml:space="preserve">drie </w:t>
      </w:r>
      <w:r w:rsidR="00A01BF0">
        <w:t>activiteiten</w:t>
      </w:r>
      <w:r w:rsidR="00E51A35">
        <w:t xml:space="preserve"> (micro-elektronica, </w:t>
      </w:r>
      <w:proofErr w:type="spellStart"/>
      <w:r w:rsidR="00E51A35">
        <w:t>embedded</w:t>
      </w:r>
      <w:proofErr w:type="spellEnd"/>
      <w:r w:rsidR="00E51A35">
        <w:t xml:space="preserve"> systems en smart systems)</w:t>
      </w:r>
      <w:r w:rsidR="00A01BF0">
        <w:t xml:space="preserve"> worden </w:t>
      </w:r>
      <w:r w:rsidR="006126D8">
        <w:t xml:space="preserve">in de toekomst </w:t>
      </w:r>
      <w:r w:rsidR="00DB3D38">
        <w:t xml:space="preserve">dus </w:t>
      </w:r>
      <w:r w:rsidR="00A01BF0">
        <w:t xml:space="preserve">samengevoegd in </w:t>
      </w:r>
      <w:r w:rsidR="00DB3D38">
        <w:t xml:space="preserve">het PPP - </w:t>
      </w:r>
      <w:r w:rsidR="00802311">
        <w:t xml:space="preserve">ECSEL </w:t>
      </w:r>
    </w:p>
    <w:p w:rsidR="00DB3D38" w:rsidRDefault="00DB3D38" w:rsidP="00401708">
      <w:pPr>
        <w:pStyle w:val="StandaardSV"/>
        <w:ind w:left="426"/>
      </w:pPr>
    </w:p>
    <w:p w:rsidR="008C02EF" w:rsidRDefault="00802311" w:rsidP="00401708">
      <w:pPr>
        <w:pStyle w:val="StandaardSV"/>
        <w:ind w:left="426"/>
      </w:pPr>
      <w:r>
        <w:t xml:space="preserve">ECSEL </w:t>
      </w:r>
      <w:r w:rsidR="00AC26D0">
        <w:t xml:space="preserve">zou </w:t>
      </w:r>
      <w:r w:rsidR="001C02E4">
        <w:t>in het voorstel van</w:t>
      </w:r>
      <w:r w:rsidR="00AC26D0">
        <w:t xml:space="preserve"> de Europese Commissie</w:t>
      </w:r>
      <w:r w:rsidR="00250E2A">
        <w:rPr>
          <w:rStyle w:val="Voetnootmarkering"/>
        </w:rPr>
        <w:footnoteReference w:id="2"/>
      </w:r>
      <w:r w:rsidR="00AC26D0">
        <w:t xml:space="preserve"> over</w:t>
      </w:r>
      <w:r w:rsidR="008C02EF">
        <w:t xml:space="preserve"> 4,8 miljard</w:t>
      </w:r>
      <w:r w:rsidR="00AC26D0">
        <w:t xml:space="preserve"> euro</w:t>
      </w:r>
      <w:r w:rsidR="008C02EF">
        <w:t xml:space="preserve"> kunnen beschikken</w:t>
      </w:r>
      <w:r w:rsidR="00A01BF0">
        <w:t xml:space="preserve"> </w:t>
      </w:r>
      <w:r w:rsidR="00D164D5">
        <w:t>in</w:t>
      </w:r>
      <w:r w:rsidR="00A01BF0">
        <w:t xml:space="preserve"> de periode 2014-2020</w:t>
      </w:r>
      <w:r>
        <w:t>.</w:t>
      </w:r>
      <w:r w:rsidR="00D164D5">
        <w:t xml:space="preserve"> </w:t>
      </w:r>
      <w:r>
        <w:t>Hierbij dient wel opgemerkt dat dit</w:t>
      </w:r>
      <w:r w:rsidR="00D164D5">
        <w:t xml:space="preserve"> bedrag niet </w:t>
      </w:r>
      <w:r w:rsidR="00250E2A">
        <w:t xml:space="preserve">volledig </w:t>
      </w:r>
      <w:r w:rsidR="00D164D5">
        <w:t xml:space="preserve">voorzien </w:t>
      </w:r>
      <w:r>
        <w:t xml:space="preserve">wordt </w:t>
      </w:r>
      <w:r w:rsidR="00D164D5">
        <w:t>vanuit Horizon 2020. Het is een</w:t>
      </w:r>
      <w:r w:rsidR="001C02E4">
        <w:t xml:space="preserve"> zogenaamde</w:t>
      </w:r>
      <w:r w:rsidR="00D1519B">
        <w:t xml:space="preserve"> “tri</w:t>
      </w:r>
      <w:r w:rsidR="00D164D5">
        <w:t>partite” inspanning</w:t>
      </w:r>
      <w:r w:rsidR="00DB3D38">
        <w:t xml:space="preserve"> (PPP</w:t>
      </w:r>
      <w:r w:rsidR="00250E2A">
        <w:t>) en</w:t>
      </w:r>
      <w:r w:rsidR="006126D8">
        <w:t xml:space="preserve"> het </w:t>
      </w:r>
      <w:r w:rsidR="001C02E4">
        <w:t>voorziene</w:t>
      </w:r>
      <w:r w:rsidR="00D164D5">
        <w:t xml:space="preserve"> budget</w:t>
      </w:r>
      <w:r w:rsidR="00A41929">
        <w:t xml:space="preserve"> van 4,8 miljard euro</w:t>
      </w:r>
      <w:r w:rsidR="00D164D5">
        <w:t xml:space="preserve"> </w:t>
      </w:r>
      <w:r w:rsidR="00250E2A">
        <w:t xml:space="preserve">zou </w:t>
      </w:r>
      <w:r w:rsidR="00401708">
        <w:t xml:space="preserve">volgens het voorstel van de </w:t>
      </w:r>
      <w:r w:rsidR="00DB3D38">
        <w:t>Europese</w:t>
      </w:r>
      <w:r w:rsidR="00401708">
        <w:t xml:space="preserve"> Commissie </w:t>
      </w:r>
      <w:r w:rsidR="001C02E4">
        <w:t>ingebracht worden</w:t>
      </w:r>
      <w:r w:rsidR="00401708">
        <w:t xml:space="preserve"> door de </w:t>
      </w:r>
      <w:r w:rsidR="00DB3D38">
        <w:t>PPP-</w:t>
      </w:r>
      <w:r w:rsidR="00401708">
        <w:t>partners</w:t>
      </w:r>
      <w:r w:rsidR="00D164D5">
        <w:t>:</w:t>
      </w:r>
      <w:r w:rsidR="00DB3D38">
        <w:t xml:space="preserve"> </w:t>
      </w:r>
    </w:p>
    <w:p w:rsidR="00D164D5" w:rsidRDefault="00D164D5" w:rsidP="00401708">
      <w:pPr>
        <w:pStyle w:val="StandaardSV"/>
        <w:ind w:left="426"/>
      </w:pPr>
    </w:p>
    <w:p w:rsidR="008C02EF" w:rsidRDefault="008C02EF" w:rsidP="00250E2A">
      <w:pPr>
        <w:pStyle w:val="StandaardSV"/>
        <w:numPr>
          <w:ilvl w:val="0"/>
          <w:numId w:val="20"/>
        </w:numPr>
      </w:pPr>
      <w:r>
        <w:t xml:space="preserve">1,2 miljard euro van </w:t>
      </w:r>
      <w:r w:rsidR="00C83B18">
        <w:t>Horizon 2020</w:t>
      </w:r>
      <w:r w:rsidR="00AC26D0">
        <w:t>;</w:t>
      </w:r>
    </w:p>
    <w:p w:rsidR="008C02EF" w:rsidRDefault="008C02EF" w:rsidP="00250E2A">
      <w:pPr>
        <w:pStyle w:val="StandaardSV"/>
        <w:numPr>
          <w:ilvl w:val="0"/>
          <w:numId w:val="20"/>
        </w:numPr>
      </w:pPr>
      <w:r>
        <w:t>1,2 miljard euro van de deelnemende landen</w:t>
      </w:r>
      <w:r w:rsidR="00AC26D0">
        <w:t>;</w:t>
      </w:r>
    </w:p>
    <w:p w:rsidR="002B6D9C" w:rsidRDefault="008C02EF" w:rsidP="00250E2A">
      <w:pPr>
        <w:pStyle w:val="StandaardSV"/>
        <w:numPr>
          <w:ilvl w:val="0"/>
          <w:numId w:val="20"/>
        </w:numPr>
      </w:pPr>
      <w:r>
        <w:t xml:space="preserve">2,4 miljard euro van de industrie.  </w:t>
      </w:r>
    </w:p>
    <w:p w:rsidR="00AC26D0" w:rsidRDefault="00AC26D0" w:rsidP="00401708">
      <w:pPr>
        <w:pStyle w:val="StandaardSV"/>
        <w:ind w:left="426"/>
      </w:pPr>
    </w:p>
    <w:p w:rsidR="00A01BF0" w:rsidRPr="00C83B18" w:rsidRDefault="00CC7FA3" w:rsidP="00401708">
      <w:pPr>
        <w:pStyle w:val="StandaardSV"/>
        <w:ind w:left="426"/>
        <w:rPr>
          <w:szCs w:val="22"/>
        </w:rPr>
      </w:pPr>
      <w:r>
        <w:t xml:space="preserve">Het beheer van </w:t>
      </w:r>
      <w:r w:rsidR="00B94AE1">
        <w:t xml:space="preserve">een </w:t>
      </w:r>
      <w:r w:rsidR="00802311">
        <w:t>PPP-</w:t>
      </w:r>
      <w:r w:rsidR="00B94AE1">
        <w:t xml:space="preserve">structuur zoals </w:t>
      </w:r>
      <w:r>
        <w:t>ECSEL</w:t>
      </w:r>
      <w:r w:rsidR="00D164D5">
        <w:t xml:space="preserve"> </w:t>
      </w:r>
      <w:r w:rsidR="00802311">
        <w:t>is</w:t>
      </w:r>
      <w:r w:rsidR="00D164D5">
        <w:t xml:space="preserve"> </w:t>
      </w:r>
      <w:r>
        <w:t>in handen van de private partners en de deelnemende overheden (EU</w:t>
      </w:r>
      <w:r w:rsidR="00566B8A">
        <w:t xml:space="preserve"> en de lidstaten). </w:t>
      </w:r>
      <w:r w:rsidR="00802311">
        <w:t>Dergelijke s</w:t>
      </w:r>
      <w:r w:rsidR="00D164D5">
        <w:t xml:space="preserve">tructuren </w:t>
      </w:r>
      <w:r w:rsidR="00B94AE1">
        <w:t xml:space="preserve">hebben hun eigen reglementering en </w:t>
      </w:r>
      <w:r w:rsidR="00B94AE1" w:rsidRPr="00C83B18">
        <w:rPr>
          <w:szCs w:val="22"/>
        </w:rPr>
        <w:t xml:space="preserve">volgen hun eigen systeem m.b.t. het bepalen van de prioriteiten en de oproepen. </w:t>
      </w:r>
      <w:r w:rsidR="00566B8A" w:rsidRPr="00C83B18">
        <w:rPr>
          <w:szCs w:val="22"/>
        </w:rPr>
        <w:t>Voor Vlaanderen is het</w:t>
      </w:r>
      <w:r w:rsidR="00A01BF0" w:rsidRPr="00C83B18">
        <w:rPr>
          <w:szCs w:val="22"/>
        </w:rPr>
        <w:t xml:space="preserve"> momenteel</w:t>
      </w:r>
      <w:r w:rsidR="00B94AE1" w:rsidRPr="00C83B18">
        <w:rPr>
          <w:szCs w:val="22"/>
        </w:rPr>
        <w:t xml:space="preserve"> het</w:t>
      </w:r>
      <w:r w:rsidR="00D164D5">
        <w:rPr>
          <w:szCs w:val="22"/>
        </w:rPr>
        <w:t xml:space="preserve"> agentschap</w:t>
      </w:r>
      <w:r w:rsidR="00802311">
        <w:rPr>
          <w:szCs w:val="22"/>
        </w:rPr>
        <w:t xml:space="preserve"> IWT</w:t>
      </w:r>
      <w:r w:rsidR="00A01BF0" w:rsidRPr="00C83B18">
        <w:rPr>
          <w:szCs w:val="22"/>
        </w:rPr>
        <w:t xml:space="preserve"> </w:t>
      </w:r>
      <w:r w:rsidR="00DB3D38">
        <w:rPr>
          <w:szCs w:val="22"/>
        </w:rPr>
        <w:t xml:space="preserve">dat instaat </w:t>
      </w:r>
      <w:r w:rsidR="00C83B18" w:rsidRPr="00C83B18">
        <w:rPr>
          <w:szCs w:val="22"/>
        </w:rPr>
        <w:t xml:space="preserve">voor </w:t>
      </w:r>
      <w:r w:rsidR="00B94AE1" w:rsidRPr="00C83B18">
        <w:rPr>
          <w:szCs w:val="22"/>
        </w:rPr>
        <w:t xml:space="preserve">de </w:t>
      </w:r>
      <w:r w:rsidR="00401708" w:rsidRPr="00C83B18">
        <w:rPr>
          <w:szCs w:val="22"/>
        </w:rPr>
        <w:t xml:space="preserve">implementatie </w:t>
      </w:r>
      <w:r w:rsidR="00401708">
        <w:rPr>
          <w:szCs w:val="22"/>
        </w:rPr>
        <w:t xml:space="preserve">en </w:t>
      </w:r>
      <w:r w:rsidR="00B94AE1" w:rsidRPr="00C83B18">
        <w:rPr>
          <w:szCs w:val="22"/>
        </w:rPr>
        <w:t>opvolging van</w:t>
      </w:r>
      <w:r w:rsidR="00566B8A" w:rsidRPr="00C83B18">
        <w:rPr>
          <w:szCs w:val="22"/>
        </w:rPr>
        <w:t xml:space="preserve"> </w:t>
      </w:r>
      <w:r w:rsidR="001C02E4">
        <w:rPr>
          <w:szCs w:val="22"/>
        </w:rPr>
        <w:t xml:space="preserve">onze bijdrage in de </w:t>
      </w:r>
      <w:r w:rsidR="00401708">
        <w:rPr>
          <w:szCs w:val="22"/>
        </w:rPr>
        <w:t>lopende</w:t>
      </w:r>
      <w:r w:rsidR="00A41929">
        <w:rPr>
          <w:szCs w:val="22"/>
        </w:rPr>
        <w:t xml:space="preserve"> </w:t>
      </w:r>
      <w:proofErr w:type="spellStart"/>
      <w:r w:rsidR="00C83B18" w:rsidRPr="00C83B18">
        <w:rPr>
          <w:szCs w:val="22"/>
        </w:rPr>
        <w:t>JTIs</w:t>
      </w:r>
      <w:proofErr w:type="spellEnd"/>
      <w:r w:rsidR="00C83B18" w:rsidRPr="00C83B18">
        <w:rPr>
          <w:szCs w:val="22"/>
        </w:rPr>
        <w:t xml:space="preserve"> zoals </w:t>
      </w:r>
      <w:proofErr w:type="spellStart"/>
      <w:r w:rsidR="00566B8A" w:rsidRPr="00C83B18">
        <w:rPr>
          <w:szCs w:val="22"/>
        </w:rPr>
        <w:t>Eniac</w:t>
      </w:r>
      <w:proofErr w:type="spellEnd"/>
      <w:r w:rsidR="00566B8A" w:rsidRPr="00C83B18">
        <w:rPr>
          <w:szCs w:val="22"/>
        </w:rPr>
        <w:t xml:space="preserve"> en Artemis.</w:t>
      </w:r>
      <w:r w:rsidR="00673DE2" w:rsidRPr="00C83B18">
        <w:rPr>
          <w:szCs w:val="22"/>
        </w:rPr>
        <w:t xml:space="preserve"> </w:t>
      </w:r>
    </w:p>
    <w:p w:rsidR="00B94AE1" w:rsidRPr="00C83B18" w:rsidRDefault="00B94AE1" w:rsidP="00401708">
      <w:pPr>
        <w:pStyle w:val="StandaardSV"/>
        <w:ind w:left="426"/>
        <w:rPr>
          <w:szCs w:val="22"/>
        </w:rPr>
      </w:pPr>
    </w:p>
    <w:p w:rsidR="00A01BF0" w:rsidRPr="00D1519B" w:rsidRDefault="00250E2A" w:rsidP="00401708">
      <w:pPr>
        <w:pStyle w:val="StandaardSV"/>
        <w:ind w:left="426"/>
        <w:rPr>
          <w:szCs w:val="22"/>
        </w:rPr>
      </w:pPr>
      <w:r>
        <w:rPr>
          <w:szCs w:val="22"/>
        </w:rPr>
        <w:t>De</w:t>
      </w:r>
      <w:r w:rsidR="00C83B18" w:rsidRPr="00D1519B">
        <w:rPr>
          <w:szCs w:val="22"/>
        </w:rPr>
        <w:t xml:space="preserve"> “</w:t>
      </w:r>
      <w:proofErr w:type="spellStart"/>
      <w:r w:rsidR="00A01BF0" w:rsidRPr="00D1519B">
        <w:rPr>
          <w:szCs w:val="22"/>
        </w:rPr>
        <w:t>Key</w:t>
      </w:r>
      <w:proofErr w:type="spellEnd"/>
      <w:r w:rsidR="00A01BF0" w:rsidRPr="00D1519B">
        <w:rPr>
          <w:szCs w:val="22"/>
        </w:rPr>
        <w:t xml:space="preserve"> </w:t>
      </w:r>
      <w:proofErr w:type="spellStart"/>
      <w:r w:rsidR="00A01BF0" w:rsidRPr="00D1519B">
        <w:rPr>
          <w:szCs w:val="22"/>
        </w:rPr>
        <w:t>Enabling</w:t>
      </w:r>
      <w:proofErr w:type="spellEnd"/>
      <w:r w:rsidR="00A01BF0" w:rsidRPr="00D1519B">
        <w:rPr>
          <w:szCs w:val="22"/>
        </w:rPr>
        <w:t xml:space="preserve"> Technologies</w:t>
      </w:r>
      <w:r w:rsidR="00C83B18" w:rsidRPr="00D1519B">
        <w:rPr>
          <w:szCs w:val="22"/>
        </w:rPr>
        <w:t>”</w:t>
      </w:r>
      <w:r w:rsidR="00B94AE1" w:rsidRPr="00D1519B">
        <w:rPr>
          <w:szCs w:val="22"/>
        </w:rPr>
        <w:t xml:space="preserve"> situeren</w:t>
      </w:r>
      <w:r>
        <w:rPr>
          <w:szCs w:val="22"/>
        </w:rPr>
        <w:t xml:space="preserve"> zich</w:t>
      </w:r>
      <w:r w:rsidR="00B94AE1" w:rsidRPr="00D1519B">
        <w:rPr>
          <w:szCs w:val="22"/>
        </w:rPr>
        <w:t xml:space="preserve"> in de tweede pijler van Horizon 2020 (Industrieel </w:t>
      </w:r>
      <w:r w:rsidR="00C83B18" w:rsidRPr="00D1519B">
        <w:rPr>
          <w:szCs w:val="22"/>
        </w:rPr>
        <w:t>l</w:t>
      </w:r>
      <w:r w:rsidR="00B94AE1" w:rsidRPr="00D1519B">
        <w:rPr>
          <w:szCs w:val="22"/>
        </w:rPr>
        <w:t>eiderschap). De</w:t>
      </w:r>
      <w:r w:rsidR="00673DE2" w:rsidRPr="00D1519B">
        <w:rPr>
          <w:szCs w:val="22"/>
        </w:rPr>
        <w:t xml:space="preserve"> micro-elektronica </w:t>
      </w:r>
      <w:r w:rsidR="00B94AE1" w:rsidRPr="00D1519B">
        <w:rPr>
          <w:szCs w:val="22"/>
        </w:rPr>
        <w:t>werd door de Europese Commissie aangeduid als een KET</w:t>
      </w:r>
      <w:r w:rsidR="00673DE2" w:rsidRPr="00D1519B">
        <w:rPr>
          <w:szCs w:val="22"/>
        </w:rPr>
        <w:t xml:space="preserve">. </w:t>
      </w:r>
      <w:r w:rsidR="00702EC4" w:rsidRPr="00D1519B">
        <w:rPr>
          <w:szCs w:val="22"/>
        </w:rPr>
        <w:t xml:space="preserve">De cijfers zijn indicatief maar </w:t>
      </w:r>
      <w:r w:rsidR="00194ADB">
        <w:rPr>
          <w:szCs w:val="22"/>
        </w:rPr>
        <w:t>voor</w:t>
      </w:r>
      <w:r w:rsidR="00702EC4" w:rsidRPr="00D1519B">
        <w:rPr>
          <w:szCs w:val="22"/>
        </w:rPr>
        <w:t xml:space="preserve"> zover </w:t>
      </w:r>
      <w:r w:rsidR="00802311" w:rsidRPr="00D1519B">
        <w:rPr>
          <w:szCs w:val="22"/>
        </w:rPr>
        <w:t xml:space="preserve">mij </w:t>
      </w:r>
      <w:r w:rsidR="00702EC4" w:rsidRPr="00D1519B">
        <w:rPr>
          <w:szCs w:val="22"/>
        </w:rPr>
        <w:t>bekend zou er ongeveer</w:t>
      </w:r>
      <w:r w:rsidR="00673DE2" w:rsidRPr="00D1519B">
        <w:rPr>
          <w:szCs w:val="22"/>
        </w:rPr>
        <w:t xml:space="preserve"> 1,5 miljard euro voor</w:t>
      </w:r>
      <w:r w:rsidR="00702EC4" w:rsidRPr="00D1519B">
        <w:rPr>
          <w:szCs w:val="22"/>
        </w:rPr>
        <w:t>zien worden voor de KET</w:t>
      </w:r>
      <w:r w:rsidR="00673DE2" w:rsidRPr="00D1519B">
        <w:rPr>
          <w:szCs w:val="22"/>
        </w:rPr>
        <w:t xml:space="preserve"> micro-elektronica</w:t>
      </w:r>
      <w:r w:rsidR="00C83B18" w:rsidRPr="00D1519B">
        <w:rPr>
          <w:szCs w:val="22"/>
        </w:rPr>
        <w:t xml:space="preserve"> voor de periode 2014-2020</w:t>
      </w:r>
      <w:r w:rsidR="00D1519B">
        <w:rPr>
          <w:szCs w:val="22"/>
        </w:rPr>
        <w:t xml:space="preserve">. </w:t>
      </w:r>
      <w:r w:rsidR="00702EC4" w:rsidRPr="00D1519B">
        <w:rPr>
          <w:szCs w:val="22"/>
        </w:rPr>
        <w:t xml:space="preserve">Volgens de huidige status van de onderhandelingen op federaal niveau </w:t>
      </w:r>
      <w:r w:rsidR="00C83B18" w:rsidRPr="00D1519B">
        <w:rPr>
          <w:szCs w:val="22"/>
        </w:rPr>
        <w:t xml:space="preserve">(CIS-CFS) </w:t>
      </w:r>
      <w:r w:rsidR="00702EC4" w:rsidRPr="00D1519B">
        <w:rPr>
          <w:szCs w:val="22"/>
        </w:rPr>
        <w:t>werd het</w:t>
      </w:r>
      <w:r w:rsidR="0034638C" w:rsidRPr="00D1519B">
        <w:rPr>
          <w:szCs w:val="22"/>
        </w:rPr>
        <w:t xml:space="preserve"> departement EWI </w:t>
      </w:r>
      <w:r w:rsidR="00401708" w:rsidRPr="00D1519B">
        <w:rPr>
          <w:szCs w:val="22"/>
        </w:rPr>
        <w:t xml:space="preserve">aangeduid </w:t>
      </w:r>
      <w:r w:rsidR="0034638C" w:rsidRPr="00D1519B">
        <w:rPr>
          <w:szCs w:val="22"/>
        </w:rPr>
        <w:t xml:space="preserve">als vertegenwoordiger voor België. </w:t>
      </w:r>
    </w:p>
    <w:p w:rsidR="0034638C" w:rsidRDefault="0034638C" w:rsidP="00401708">
      <w:pPr>
        <w:pStyle w:val="StandaardSV"/>
        <w:ind w:left="426"/>
      </w:pPr>
    </w:p>
    <w:p w:rsidR="001C02E4" w:rsidRDefault="0034638C" w:rsidP="00401708">
      <w:pPr>
        <w:pStyle w:val="StandaardSV"/>
        <w:ind w:left="426"/>
      </w:pPr>
      <w:r>
        <w:t xml:space="preserve">Zoals u kan merken zijn </w:t>
      </w:r>
      <w:r w:rsidR="00401708">
        <w:t xml:space="preserve">in dit stadium </w:t>
      </w:r>
      <w:r w:rsidR="009E6ECE">
        <w:t xml:space="preserve">nog een aantal </w:t>
      </w:r>
      <w:r w:rsidR="00250E2A">
        <w:t>zaken in voorbereiding (als voorbeel</w:t>
      </w:r>
      <w:r w:rsidR="00194ADB">
        <w:t>d</w:t>
      </w:r>
      <w:r w:rsidR="00250E2A">
        <w:t>: het voorstel voor verordening i.v.m. ECSEL, zie voetnoot 2,  dateert van 10 juli 2013)</w:t>
      </w:r>
      <w:r>
        <w:t xml:space="preserve">. </w:t>
      </w:r>
      <w:r w:rsidR="00250E2A">
        <w:t xml:space="preserve">Verder zal </w:t>
      </w:r>
      <w:r w:rsidR="00D164D5">
        <w:lastRenderedPageBreak/>
        <w:t xml:space="preserve">Horizon 2020 </w:t>
      </w:r>
      <w:r w:rsidR="00250E2A">
        <w:t xml:space="preserve">werken </w:t>
      </w:r>
      <w:r w:rsidR="00D164D5">
        <w:t xml:space="preserve">met werkprogramma’s van twee jaar zodat het onmogelijk is om nu al </w:t>
      </w:r>
      <w:r w:rsidR="005708BC">
        <w:t xml:space="preserve">relevante </w:t>
      </w:r>
      <w:r w:rsidR="00D164D5">
        <w:t xml:space="preserve">uitspraken te doen </w:t>
      </w:r>
      <w:r w:rsidR="00A41929">
        <w:t xml:space="preserve">over de </w:t>
      </w:r>
      <w:r w:rsidR="001C02E4">
        <w:t xml:space="preserve">budgetten en </w:t>
      </w:r>
      <w:r w:rsidR="00A41929">
        <w:t xml:space="preserve">onderwerpen </w:t>
      </w:r>
      <w:r w:rsidR="00D164D5">
        <w:t>voor de volgende zeven jaar.</w:t>
      </w:r>
      <w:r w:rsidR="00A41929">
        <w:t xml:space="preserve"> </w:t>
      </w:r>
      <w:r w:rsidR="00250E2A">
        <w:t>Er</w:t>
      </w:r>
      <w:r w:rsidR="009E6ECE">
        <w:t xml:space="preserve"> dient ook opgemerkt te worden dat deze middelen worden toegekend via </w:t>
      </w:r>
      <w:r w:rsidR="00250E2A">
        <w:t>(</w:t>
      </w:r>
      <w:r w:rsidR="009E6ECE">
        <w:t>competitieve</w:t>
      </w:r>
      <w:r w:rsidR="00250E2A">
        <w:t>)</w:t>
      </w:r>
      <w:r w:rsidR="009E6ECE">
        <w:t xml:space="preserve"> projectoproepen, en het op voorhand dus niet vastligt hoeveel van deze middelen naar </w:t>
      </w:r>
      <w:proofErr w:type="spellStart"/>
      <w:r w:rsidR="00E6765C">
        <w:t>i</w:t>
      </w:r>
      <w:r w:rsidR="005A6E64">
        <w:t>mec</w:t>
      </w:r>
      <w:proofErr w:type="spellEnd"/>
      <w:r w:rsidR="009E6ECE">
        <w:t xml:space="preserve"> zullen gaan. </w:t>
      </w:r>
    </w:p>
    <w:p w:rsidR="00B25315" w:rsidRPr="00B25315" w:rsidRDefault="00B25315" w:rsidP="00B25315">
      <w:pPr>
        <w:pStyle w:val="StandaardSV"/>
      </w:pPr>
    </w:p>
    <w:p w:rsidR="006126D8" w:rsidRPr="00D7781A" w:rsidRDefault="006126D8" w:rsidP="00D1519B">
      <w:pPr>
        <w:pStyle w:val="StandaardSV"/>
        <w:numPr>
          <w:ilvl w:val="0"/>
          <w:numId w:val="16"/>
        </w:numPr>
        <w:ind w:left="426"/>
      </w:pPr>
      <w:r w:rsidRPr="00D7781A">
        <w:t>Zoals</w:t>
      </w:r>
      <w:r w:rsidR="00194ADB">
        <w:t xml:space="preserve"> hoger</w:t>
      </w:r>
      <w:r w:rsidRPr="00D7781A">
        <w:t xml:space="preserve"> toegelicht zijn er verschillende kanalen langs waar Vlaanderen betrokken is bij de onderhandelingen, de implementatie en opvolging van de Horizon 2020. </w:t>
      </w:r>
      <w:r w:rsidR="00B33F5C" w:rsidRPr="00D7781A">
        <w:t xml:space="preserve">Globaal gezien kan men stellen dat de </w:t>
      </w:r>
      <w:r w:rsidRPr="00D7781A">
        <w:t xml:space="preserve">betrokkenheid </w:t>
      </w:r>
      <w:r w:rsidR="00D7781A">
        <w:t xml:space="preserve">van Vlaanderen </w:t>
      </w:r>
      <w:r w:rsidRPr="00D7781A">
        <w:t xml:space="preserve">kan gaan via de permanente vertegenwoordiging bij de EU (werkgroepen van de Raad) of via het departement EWI (beleidslijnen en de vertegenwoordiging van de lidstaten in de programmacomités) of via het IWT wanneer het gaat over de praktische implementatie en </w:t>
      </w:r>
      <w:r w:rsidR="00D7781A" w:rsidRPr="00D7781A">
        <w:t>cofinanciering</w:t>
      </w:r>
      <w:r w:rsidRPr="00D7781A">
        <w:t xml:space="preserve"> van de Vlaamse actoren die deelnemen aan </w:t>
      </w:r>
      <w:r w:rsidR="00D7781A">
        <w:t xml:space="preserve">bepaalde </w:t>
      </w:r>
      <w:r w:rsidRPr="00D7781A">
        <w:t>oproepen</w:t>
      </w:r>
      <w:r w:rsidR="00B33F5C" w:rsidRPr="00D7781A">
        <w:t xml:space="preserve">. </w:t>
      </w:r>
    </w:p>
    <w:p w:rsidR="006126D8" w:rsidRPr="00D7781A" w:rsidRDefault="006126D8" w:rsidP="00D7781A">
      <w:pPr>
        <w:pStyle w:val="StandaardSV"/>
        <w:ind w:left="426"/>
      </w:pPr>
    </w:p>
    <w:p w:rsidR="006722C8" w:rsidRPr="00E6765C" w:rsidRDefault="00D1519B" w:rsidP="006722C8">
      <w:pPr>
        <w:pStyle w:val="StandaardSV"/>
        <w:ind w:left="426"/>
        <w:rPr>
          <w:szCs w:val="22"/>
        </w:rPr>
      </w:pPr>
      <w:r w:rsidRPr="005708BC">
        <w:t xml:space="preserve">Het is duidelijk dat de realisatie van O&amp;O pilootlijn voor </w:t>
      </w:r>
      <w:smartTag w:uri="urn:schemas-microsoft-com:office:smarttags" w:element="metricconverter">
        <w:smartTagPr>
          <w:attr w:name="ProductID" w:val="450 mm"/>
        </w:smartTagPr>
        <w:r w:rsidRPr="005708BC">
          <w:t>450 mm</w:t>
        </w:r>
      </w:smartTag>
      <w:r w:rsidRPr="005708BC">
        <w:t xml:space="preserve"> wafer procesonderzoek en ontwikkeling centraal staat bij onze ambities in het domein van de micro-elektronica.  </w:t>
      </w:r>
      <w:r w:rsidR="006722C8" w:rsidRPr="005708BC">
        <w:t xml:space="preserve">De transitie van </w:t>
      </w:r>
      <w:smartTag w:uri="urn:schemas-microsoft-com:office:smarttags" w:element="metricconverter">
        <w:smartTagPr>
          <w:attr w:name="ProductID" w:val="300 mm"/>
        </w:smartTagPr>
        <w:r w:rsidR="006722C8" w:rsidRPr="005708BC">
          <w:t>300 mm</w:t>
        </w:r>
      </w:smartTag>
      <w:r w:rsidR="006722C8" w:rsidRPr="005708BC">
        <w:t xml:space="preserve"> naar </w:t>
      </w:r>
      <w:smartTag w:uri="urn:schemas-microsoft-com:office:smarttags" w:element="metricconverter">
        <w:smartTagPr>
          <w:attr w:name="ProductID" w:val="450 mm"/>
        </w:smartTagPr>
        <w:r w:rsidR="006722C8" w:rsidRPr="005708BC">
          <w:t>450 mm</w:t>
        </w:r>
      </w:smartTag>
      <w:r w:rsidR="006722C8" w:rsidRPr="005708BC">
        <w:t xml:space="preserve"> wafers is enorm belangrijk voor </w:t>
      </w:r>
      <w:proofErr w:type="spellStart"/>
      <w:r w:rsidR="00E6765C">
        <w:t>i</w:t>
      </w:r>
      <w:r w:rsidR="005A6E64">
        <w:t>mec</w:t>
      </w:r>
      <w:proofErr w:type="spellEnd"/>
      <w:r w:rsidR="006722C8" w:rsidRPr="005708BC">
        <w:t xml:space="preserve"> om zijn positie als onderzoekscentrum te bestendigen. </w:t>
      </w:r>
      <w:r w:rsidRPr="005708BC">
        <w:t xml:space="preserve">Voor de pilootlijn is </w:t>
      </w:r>
      <w:r w:rsidR="006722C8" w:rsidRPr="005708BC">
        <w:t xml:space="preserve">er </w:t>
      </w:r>
      <w:r w:rsidR="00A41929" w:rsidRPr="005708BC">
        <w:t xml:space="preserve">een financieel plan opgemaakt in 2012. </w:t>
      </w:r>
      <w:r w:rsidR="006722C8" w:rsidRPr="005708BC">
        <w:t xml:space="preserve">Het betreft een project met een totale kostprijs van 1 miljard euro. </w:t>
      </w:r>
      <w:r w:rsidR="005708BC" w:rsidRPr="005708BC">
        <w:t>De Vlaamse regering heeft al de prin</w:t>
      </w:r>
      <w:r w:rsidR="00250E2A">
        <w:t>cipië</w:t>
      </w:r>
      <w:r w:rsidR="005708BC" w:rsidRPr="005708BC">
        <w:t xml:space="preserve">le beslissing genomen om het initiatief te steunen en eind </w:t>
      </w:r>
      <w:r w:rsidR="00E6765C">
        <w:t>2012</w:t>
      </w:r>
      <w:r w:rsidR="005708BC" w:rsidRPr="005708BC">
        <w:t xml:space="preserve"> werd een eerste schijf van 20 miljoen toegekend.</w:t>
      </w:r>
      <w:r w:rsidR="00250E2A">
        <w:t xml:space="preserve"> </w:t>
      </w:r>
      <w:r w:rsidR="006722C8" w:rsidRPr="005708BC">
        <w:t xml:space="preserve">Het plan voorziet dat </w:t>
      </w:r>
      <w:r w:rsidR="006722C8" w:rsidRPr="00E6765C">
        <w:rPr>
          <w:color w:val="000000"/>
          <w:szCs w:val="22"/>
          <w:lang w:val="nl-BE"/>
        </w:rPr>
        <w:t xml:space="preserve">ongeveer  25% van het budget (250 miljoen) kan gerealiseerd worden via de Horizon 2020 kanalen ECSEL en </w:t>
      </w:r>
      <w:r w:rsidR="005708BC" w:rsidRPr="00E6765C">
        <w:rPr>
          <w:color w:val="000000"/>
          <w:szCs w:val="22"/>
          <w:lang w:val="nl-BE"/>
        </w:rPr>
        <w:t>KET</w:t>
      </w:r>
      <w:r w:rsidR="006722C8" w:rsidRPr="00E6765C">
        <w:rPr>
          <w:color w:val="000000"/>
          <w:szCs w:val="22"/>
          <w:lang w:val="nl-BE"/>
        </w:rPr>
        <w:t>.</w:t>
      </w:r>
    </w:p>
    <w:p w:rsidR="006722C8" w:rsidRDefault="006722C8" w:rsidP="006722C8">
      <w:pPr>
        <w:pStyle w:val="StandaardSV"/>
        <w:ind w:left="426"/>
      </w:pPr>
    </w:p>
    <w:p w:rsidR="00D222DC" w:rsidRPr="00B25315" w:rsidRDefault="005708BC" w:rsidP="00930BC0">
      <w:pPr>
        <w:pStyle w:val="StandaardSV"/>
        <w:numPr>
          <w:ilvl w:val="0"/>
          <w:numId w:val="16"/>
        </w:numPr>
        <w:ind w:left="360"/>
      </w:pPr>
      <w:r w:rsidRPr="009E6ECE">
        <w:rPr>
          <w:szCs w:val="22"/>
          <w:lang w:val="nl-BE"/>
        </w:rPr>
        <w:t xml:space="preserve">In 2012 </w:t>
      </w:r>
      <w:r w:rsidR="00E6765C">
        <w:rPr>
          <w:szCs w:val="22"/>
          <w:lang w:val="nl-BE"/>
        </w:rPr>
        <w:t>ontving</w:t>
      </w:r>
      <w:r w:rsidRPr="009E6ECE">
        <w:rPr>
          <w:szCs w:val="22"/>
          <w:lang w:val="nl-BE"/>
        </w:rPr>
        <w:t xml:space="preserve"> </w:t>
      </w:r>
      <w:proofErr w:type="spellStart"/>
      <w:r w:rsidR="00E6765C">
        <w:rPr>
          <w:szCs w:val="22"/>
          <w:lang w:val="nl-BE"/>
        </w:rPr>
        <w:t>i</w:t>
      </w:r>
      <w:r w:rsidR="005A6E64">
        <w:rPr>
          <w:szCs w:val="22"/>
          <w:lang w:val="nl-BE"/>
        </w:rPr>
        <w:t>mec</w:t>
      </w:r>
      <w:proofErr w:type="spellEnd"/>
      <w:r w:rsidRPr="009E6ECE">
        <w:rPr>
          <w:szCs w:val="22"/>
          <w:lang w:val="nl-BE"/>
        </w:rPr>
        <w:t xml:space="preserve"> 14,28 miljoen</w:t>
      </w:r>
      <w:r w:rsidR="00194ADB">
        <w:rPr>
          <w:szCs w:val="22"/>
          <w:lang w:val="nl-BE"/>
        </w:rPr>
        <w:t xml:space="preserve"> €</w:t>
      </w:r>
      <w:r w:rsidRPr="009E6ECE">
        <w:rPr>
          <w:szCs w:val="22"/>
          <w:lang w:val="nl-BE"/>
        </w:rPr>
        <w:t xml:space="preserve"> uit het Kaderprogramma voor Onderzoek en Technologische Ontwikkeling.</w:t>
      </w:r>
      <w:r w:rsidR="00D222DC" w:rsidRPr="009E6ECE">
        <w:rPr>
          <w:szCs w:val="22"/>
          <w:lang w:val="nl-BE"/>
        </w:rPr>
        <w:t xml:space="preserve"> </w:t>
      </w:r>
    </w:p>
    <w:p w:rsidR="00B25315" w:rsidRPr="00B25315" w:rsidRDefault="00B25315" w:rsidP="00B25315">
      <w:pPr>
        <w:pStyle w:val="StandaardSV"/>
      </w:pPr>
    </w:p>
    <w:p w:rsidR="00B25315" w:rsidRPr="00B25315" w:rsidRDefault="00B25315" w:rsidP="00B25315">
      <w:pPr>
        <w:pStyle w:val="StandaardSV"/>
      </w:pPr>
    </w:p>
    <w:p w:rsidR="00080040" w:rsidRPr="00B25315" w:rsidRDefault="00080040" w:rsidP="00B25315">
      <w:pPr>
        <w:pStyle w:val="StandaardSV"/>
      </w:pPr>
    </w:p>
    <w:p w:rsidR="00B25315" w:rsidRDefault="00B25315" w:rsidP="002874D4">
      <w:pPr>
        <w:pStyle w:val="SVVlaamsParlement"/>
        <w:rPr>
          <w:smallCaps w:val="0"/>
        </w:rPr>
      </w:pPr>
    </w:p>
    <w:p w:rsidR="00B25315" w:rsidRDefault="00B25315" w:rsidP="00B25315">
      <w:pPr>
        <w:jc w:val="both"/>
        <w:rPr>
          <w:sz w:val="22"/>
        </w:rPr>
      </w:pPr>
    </w:p>
    <w:sectPr w:rsidR="00B253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7E" w:rsidRDefault="00774B7E" w:rsidP="002B719A">
      <w:r>
        <w:separator/>
      </w:r>
    </w:p>
  </w:endnote>
  <w:endnote w:type="continuationSeparator" w:id="0">
    <w:p w:rsidR="00774B7E" w:rsidRDefault="00774B7E" w:rsidP="002B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7E" w:rsidRDefault="00774B7E" w:rsidP="002B719A">
      <w:r>
        <w:separator/>
      </w:r>
    </w:p>
  </w:footnote>
  <w:footnote w:type="continuationSeparator" w:id="0">
    <w:p w:rsidR="00774B7E" w:rsidRDefault="00774B7E" w:rsidP="002B719A">
      <w:r>
        <w:continuationSeparator/>
      </w:r>
    </w:p>
  </w:footnote>
  <w:footnote w:id="1">
    <w:p w:rsidR="002B719A" w:rsidRPr="002B719A" w:rsidRDefault="002B719A">
      <w:pPr>
        <w:pStyle w:val="Voetnoottekst"/>
      </w:pPr>
      <w:r>
        <w:rPr>
          <w:rStyle w:val="Voetnootmarkering"/>
        </w:rPr>
        <w:footnoteRef/>
      </w:r>
      <w:r>
        <w:t xml:space="preserve"> </w:t>
      </w:r>
      <w:hyperlink r:id="rId1" w:history="1">
        <w:r w:rsidRPr="00AC2BE2">
          <w:rPr>
            <w:rStyle w:val="Hyperlink"/>
          </w:rPr>
          <w:t>http://europa.eu/rapid/press-release_IP-13-455_nl.htm</w:t>
        </w:r>
      </w:hyperlink>
    </w:p>
  </w:footnote>
  <w:footnote w:id="2">
    <w:p w:rsidR="00250E2A" w:rsidRDefault="00250E2A">
      <w:pPr>
        <w:pStyle w:val="Voetnoottekst"/>
      </w:pPr>
      <w:r>
        <w:rPr>
          <w:rStyle w:val="Voetnootmarkering"/>
        </w:rPr>
        <w:footnoteRef/>
      </w:r>
      <w:r>
        <w:t xml:space="preserve"> </w:t>
      </w:r>
      <w:hyperlink r:id="rId2" w:history="1">
        <w:r w:rsidRPr="00AC2BE2">
          <w:rPr>
            <w:rStyle w:val="Hyperlink"/>
          </w:rPr>
          <w:t>http://eur-lex.europa.eu/LexUriServ/LexUriServ.do?uri=COM:2013:0501:FIN:nl:PDF</w:t>
        </w:r>
      </w:hyperlink>
    </w:p>
    <w:p w:rsidR="00250E2A" w:rsidRPr="00250E2A" w:rsidRDefault="00250E2A">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2150BFF"/>
    <w:multiLevelType w:val="hybridMultilevel"/>
    <w:tmpl w:val="C2F2557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2FE46AB8"/>
    <w:multiLevelType w:val="hybridMultilevel"/>
    <w:tmpl w:val="CDFE3D0A"/>
    <w:lvl w:ilvl="0" w:tplc="8B6E8D60">
      <w:numFmt w:val="bullet"/>
      <w:lvlText w:val="-"/>
      <w:lvlJc w:val="left"/>
      <w:pPr>
        <w:ind w:left="1146" w:hanging="360"/>
      </w:pPr>
      <w:rPr>
        <w:rFonts w:ascii="Times New Roman" w:eastAsia="Times New Roman" w:hAnsi="Times New Roman"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6FB50B6"/>
    <w:multiLevelType w:val="hybridMultilevel"/>
    <w:tmpl w:val="46FEF7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65623F4A"/>
    <w:multiLevelType w:val="hybridMultilevel"/>
    <w:tmpl w:val="905235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71372747"/>
    <w:multiLevelType w:val="hybridMultilevel"/>
    <w:tmpl w:val="FCD29B4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nsid w:val="715100B2"/>
    <w:multiLevelType w:val="hybridMultilevel"/>
    <w:tmpl w:val="A566AC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6"/>
  </w:num>
  <w:num w:numId="3">
    <w:abstractNumId w:val="1"/>
  </w:num>
  <w:num w:numId="4">
    <w:abstractNumId w:val="13"/>
  </w:num>
  <w:num w:numId="5">
    <w:abstractNumId w:val="10"/>
  </w:num>
  <w:num w:numId="6">
    <w:abstractNumId w:val="5"/>
  </w:num>
  <w:num w:numId="7">
    <w:abstractNumId w:val="4"/>
  </w:num>
  <w:num w:numId="8">
    <w:abstractNumId w:val="12"/>
  </w:num>
  <w:num w:numId="9">
    <w:abstractNumId w:val="7"/>
  </w:num>
  <w:num w:numId="10">
    <w:abstractNumId w:val="0"/>
  </w:num>
  <w:num w:numId="11">
    <w:abstractNumId w:val="15"/>
  </w:num>
  <w:num w:numId="12">
    <w:abstractNumId w:val="2"/>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464A2"/>
    <w:rsid w:val="00070064"/>
    <w:rsid w:val="00071DA4"/>
    <w:rsid w:val="00080040"/>
    <w:rsid w:val="00131B92"/>
    <w:rsid w:val="00171F2E"/>
    <w:rsid w:val="00187BFC"/>
    <w:rsid w:val="00194ADB"/>
    <w:rsid w:val="001C02E4"/>
    <w:rsid w:val="001E4BBA"/>
    <w:rsid w:val="00250E2A"/>
    <w:rsid w:val="002874D4"/>
    <w:rsid w:val="002B6D9C"/>
    <w:rsid w:val="002B719A"/>
    <w:rsid w:val="002C76BF"/>
    <w:rsid w:val="00343A8F"/>
    <w:rsid w:val="0034638C"/>
    <w:rsid w:val="00401708"/>
    <w:rsid w:val="00426257"/>
    <w:rsid w:val="00427E2D"/>
    <w:rsid w:val="00457166"/>
    <w:rsid w:val="004D7979"/>
    <w:rsid w:val="005051B9"/>
    <w:rsid w:val="00554421"/>
    <w:rsid w:val="005653B7"/>
    <w:rsid w:val="00566B8A"/>
    <w:rsid w:val="005708BC"/>
    <w:rsid w:val="00583A9F"/>
    <w:rsid w:val="005A0D53"/>
    <w:rsid w:val="005A6E64"/>
    <w:rsid w:val="006126D8"/>
    <w:rsid w:val="00667CE6"/>
    <w:rsid w:val="006722C8"/>
    <w:rsid w:val="00673DE2"/>
    <w:rsid w:val="00693743"/>
    <w:rsid w:val="006F29F5"/>
    <w:rsid w:val="006F49EA"/>
    <w:rsid w:val="00702EC4"/>
    <w:rsid w:val="00774B7E"/>
    <w:rsid w:val="0078435B"/>
    <w:rsid w:val="00784C2B"/>
    <w:rsid w:val="007A7738"/>
    <w:rsid w:val="007E2BBA"/>
    <w:rsid w:val="00801262"/>
    <w:rsid w:val="00802311"/>
    <w:rsid w:val="00805803"/>
    <w:rsid w:val="008269C6"/>
    <w:rsid w:val="0083747B"/>
    <w:rsid w:val="00842F2E"/>
    <w:rsid w:val="00844521"/>
    <w:rsid w:val="008C02EF"/>
    <w:rsid w:val="00921619"/>
    <w:rsid w:val="00930BC0"/>
    <w:rsid w:val="00941198"/>
    <w:rsid w:val="00945558"/>
    <w:rsid w:val="009864CE"/>
    <w:rsid w:val="009C170D"/>
    <w:rsid w:val="009E6ECE"/>
    <w:rsid w:val="009F10A6"/>
    <w:rsid w:val="009F26A1"/>
    <w:rsid w:val="00A01BF0"/>
    <w:rsid w:val="00A41929"/>
    <w:rsid w:val="00AC26D0"/>
    <w:rsid w:val="00AD325D"/>
    <w:rsid w:val="00AD78E8"/>
    <w:rsid w:val="00B25315"/>
    <w:rsid w:val="00B33F5C"/>
    <w:rsid w:val="00B6547D"/>
    <w:rsid w:val="00B94AE1"/>
    <w:rsid w:val="00BD07FB"/>
    <w:rsid w:val="00BF2F21"/>
    <w:rsid w:val="00BF7DD1"/>
    <w:rsid w:val="00C35B6E"/>
    <w:rsid w:val="00C75C7E"/>
    <w:rsid w:val="00C83B18"/>
    <w:rsid w:val="00CB2006"/>
    <w:rsid w:val="00CC63C8"/>
    <w:rsid w:val="00CC7FA3"/>
    <w:rsid w:val="00CF4E65"/>
    <w:rsid w:val="00D1519B"/>
    <w:rsid w:val="00D164D5"/>
    <w:rsid w:val="00D222DC"/>
    <w:rsid w:val="00D7781A"/>
    <w:rsid w:val="00DB3D38"/>
    <w:rsid w:val="00DD24FF"/>
    <w:rsid w:val="00DF36D8"/>
    <w:rsid w:val="00DF6517"/>
    <w:rsid w:val="00E51A35"/>
    <w:rsid w:val="00E6765C"/>
    <w:rsid w:val="00EF296F"/>
    <w:rsid w:val="00F52CAF"/>
    <w:rsid w:val="00FC1093"/>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Geenafstand">
    <w:name w:val="No Spacing"/>
    <w:uiPriority w:val="1"/>
    <w:qFormat/>
    <w:rsid w:val="00B25315"/>
    <w:rPr>
      <w:rFonts w:ascii="Calibri" w:eastAsia="Calibri" w:hAnsi="Calibri"/>
      <w:sz w:val="22"/>
      <w:szCs w:val="22"/>
      <w:lang w:eastAsia="en-US"/>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B25315"/>
    <w:pPr>
      <w:ind w:left="708"/>
    </w:pPr>
    <w:rPr>
      <w:szCs w:val="24"/>
    </w:rPr>
  </w:style>
  <w:style w:type="paragraph" w:customStyle="1" w:styleId="Default">
    <w:name w:val="Default"/>
    <w:rsid w:val="00930BC0"/>
    <w:pPr>
      <w:autoSpaceDE w:val="0"/>
      <w:autoSpaceDN w:val="0"/>
      <w:adjustRightInd w:val="0"/>
    </w:pPr>
    <w:rPr>
      <w:color w:val="000000"/>
      <w:sz w:val="24"/>
      <w:szCs w:val="24"/>
      <w:lang w:val="en-GB" w:eastAsia="en-GB"/>
    </w:rPr>
  </w:style>
  <w:style w:type="character" w:styleId="Hyperlink">
    <w:name w:val="Hyperlink"/>
    <w:rsid w:val="00D222DC"/>
    <w:rPr>
      <w:color w:val="0000FF"/>
      <w:u w:val="single"/>
    </w:rPr>
  </w:style>
  <w:style w:type="character" w:styleId="GevolgdeHyperlink">
    <w:name w:val="FollowedHyperlink"/>
    <w:basedOn w:val="Standaardalinea-lettertype"/>
    <w:rsid w:val="002B719A"/>
    <w:rPr>
      <w:color w:val="800080" w:themeColor="followedHyperlink"/>
      <w:u w:val="single"/>
    </w:rPr>
  </w:style>
  <w:style w:type="paragraph" w:styleId="Voetnoottekst">
    <w:name w:val="footnote text"/>
    <w:basedOn w:val="Standaard"/>
    <w:link w:val="VoetnoottekstChar"/>
    <w:rsid w:val="002B719A"/>
    <w:rPr>
      <w:sz w:val="20"/>
    </w:rPr>
  </w:style>
  <w:style w:type="character" w:customStyle="1" w:styleId="VoetnoottekstChar">
    <w:name w:val="Voetnoottekst Char"/>
    <w:basedOn w:val="Standaardalinea-lettertype"/>
    <w:link w:val="Voetnoottekst"/>
    <w:rsid w:val="002B719A"/>
    <w:rPr>
      <w:lang w:val="nl-NL" w:eastAsia="nl-NL"/>
    </w:rPr>
  </w:style>
  <w:style w:type="character" w:styleId="Voetnootmarkering">
    <w:name w:val="footnote reference"/>
    <w:basedOn w:val="Standaardalinea-lettertype"/>
    <w:rsid w:val="002B71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Geenafstand">
    <w:name w:val="No Spacing"/>
    <w:uiPriority w:val="1"/>
    <w:qFormat/>
    <w:rsid w:val="00B25315"/>
    <w:rPr>
      <w:rFonts w:ascii="Calibri" w:eastAsia="Calibri" w:hAnsi="Calibri"/>
      <w:sz w:val="22"/>
      <w:szCs w:val="22"/>
      <w:lang w:eastAsia="en-US"/>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B25315"/>
    <w:pPr>
      <w:ind w:left="708"/>
    </w:pPr>
    <w:rPr>
      <w:szCs w:val="24"/>
    </w:rPr>
  </w:style>
  <w:style w:type="paragraph" w:customStyle="1" w:styleId="Default">
    <w:name w:val="Default"/>
    <w:rsid w:val="00930BC0"/>
    <w:pPr>
      <w:autoSpaceDE w:val="0"/>
      <w:autoSpaceDN w:val="0"/>
      <w:adjustRightInd w:val="0"/>
    </w:pPr>
    <w:rPr>
      <w:color w:val="000000"/>
      <w:sz w:val="24"/>
      <w:szCs w:val="24"/>
      <w:lang w:val="en-GB" w:eastAsia="en-GB"/>
    </w:rPr>
  </w:style>
  <w:style w:type="character" w:styleId="Hyperlink">
    <w:name w:val="Hyperlink"/>
    <w:rsid w:val="00D222DC"/>
    <w:rPr>
      <w:color w:val="0000FF"/>
      <w:u w:val="single"/>
    </w:rPr>
  </w:style>
  <w:style w:type="character" w:styleId="GevolgdeHyperlink">
    <w:name w:val="FollowedHyperlink"/>
    <w:basedOn w:val="Standaardalinea-lettertype"/>
    <w:rsid w:val="002B719A"/>
    <w:rPr>
      <w:color w:val="800080" w:themeColor="followedHyperlink"/>
      <w:u w:val="single"/>
    </w:rPr>
  </w:style>
  <w:style w:type="paragraph" w:styleId="Voetnoottekst">
    <w:name w:val="footnote text"/>
    <w:basedOn w:val="Standaard"/>
    <w:link w:val="VoetnoottekstChar"/>
    <w:rsid w:val="002B719A"/>
    <w:rPr>
      <w:sz w:val="20"/>
    </w:rPr>
  </w:style>
  <w:style w:type="character" w:customStyle="1" w:styleId="VoetnoottekstChar">
    <w:name w:val="Voetnoottekst Char"/>
    <w:basedOn w:val="Standaardalinea-lettertype"/>
    <w:link w:val="Voetnoottekst"/>
    <w:rsid w:val="002B719A"/>
    <w:rPr>
      <w:lang w:val="nl-NL" w:eastAsia="nl-NL"/>
    </w:rPr>
  </w:style>
  <w:style w:type="character" w:styleId="Voetnootmarkering">
    <w:name w:val="footnote reference"/>
    <w:basedOn w:val="Standaardalinea-lettertype"/>
    <w:rsid w:val="002B7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496">
      <w:bodyDiv w:val="1"/>
      <w:marLeft w:val="0"/>
      <w:marRight w:val="0"/>
      <w:marTop w:val="0"/>
      <w:marBottom w:val="0"/>
      <w:divBdr>
        <w:top w:val="none" w:sz="0" w:space="0" w:color="auto"/>
        <w:left w:val="none" w:sz="0" w:space="0" w:color="auto"/>
        <w:bottom w:val="none" w:sz="0" w:space="0" w:color="auto"/>
        <w:right w:val="none" w:sz="0" w:space="0" w:color="auto"/>
      </w:divBdr>
      <w:divsChild>
        <w:div w:id="1632397330">
          <w:marLeft w:val="0"/>
          <w:marRight w:val="0"/>
          <w:marTop w:val="0"/>
          <w:marBottom w:val="0"/>
          <w:divBdr>
            <w:top w:val="none" w:sz="0" w:space="0" w:color="auto"/>
            <w:left w:val="single" w:sz="12" w:space="0" w:color="003399"/>
            <w:bottom w:val="none" w:sz="0" w:space="0" w:color="auto"/>
            <w:right w:val="single" w:sz="12" w:space="0" w:color="003399"/>
          </w:divBdr>
          <w:divsChild>
            <w:div w:id="760370992">
              <w:marLeft w:val="0"/>
              <w:marRight w:val="0"/>
              <w:marTop w:val="0"/>
              <w:marBottom w:val="0"/>
              <w:divBdr>
                <w:top w:val="single" w:sz="12" w:space="0" w:color="C2D5E5"/>
                <w:left w:val="none" w:sz="0" w:space="0" w:color="auto"/>
                <w:bottom w:val="none" w:sz="0" w:space="0" w:color="auto"/>
                <w:right w:val="none" w:sz="0" w:space="0" w:color="auto"/>
              </w:divBdr>
              <w:divsChild>
                <w:div w:id="864027746">
                  <w:marLeft w:val="0"/>
                  <w:marRight w:val="0"/>
                  <w:marTop w:val="0"/>
                  <w:marBottom w:val="0"/>
                  <w:divBdr>
                    <w:top w:val="none" w:sz="0" w:space="0" w:color="auto"/>
                    <w:left w:val="none" w:sz="0" w:space="0" w:color="auto"/>
                    <w:bottom w:val="none" w:sz="0" w:space="0" w:color="auto"/>
                    <w:right w:val="none" w:sz="0" w:space="0" w:color="auto"/>
                  </w:divBdr>
                  <w:divsChild>
                    <w:div w:id="1020549227">
                      <w:marLeft w:val="75"/>
                      <w:marRight w:val="75"/>
                      <w:marTop w:val="75"/>
                      <w:marBottom w:val="75"/>
                      <w:divBdr>
                        <w:top w:val="none" w:sz="0" w:space="0" w:color="auto"/>
                        <w:left w:val="none" w:sz="0" w:space="0" w:color="auto"/>
                        <w:bottom w:val="none" w:sz="0" w:space="0" w:color="auto"/>
                        <w:right w:val="none" w:sz="0" w:space="0" w:color="auto"/>
                      </w:divBdr>
                      <w:divsChild>
                        <w:div w:id="1479347839">
                          <w:marLeft w:val="0"/>
                          <w:marRight w:val="0"/>
                          <w:marTop w:val="0"/>
                          <w:marBottom w:val="0"/>
                          <w:divBdr>
                            <w:top w:val="none" w:sz="0" w:space="0" w:color="auto"/>
                            <w:left w:val="none" w:sz="0" w:space="0" w:color="auto"/>
                            <w:bottom w:val="none" w:sz="0" w:space="0" w:color="auto"/>
                            <w:right w:val="none" w:sz="0" w:space="0" w:color="auto"/>
                          </w:divBdr>
                          <w:divsChild>
                            <w:div w:id="788472136">
                              <w:marLeft w:val="0"/>
                              <w:marRight w:val="0"/>
                              <w:marTop w:val="0"/>
                              <w:marBottom w:val="0"/>
                              <w:divBdr>
                                <w:top w:val="none" w:sz="0" w:space="0" w:color="auto"/>
                                <w:left w:val="none" w:sz="0" w:space="0" w:color="auto"/>
                                <w:bottom w:val="none" w:sz="0" w:space="0" w:color="auto"/>
                                <w:right w:val="none" w:sz="0" w:space="0" w:color="auto"/>
                              </w:divBdr>
                              <w:divsChild>
                                <w:div w:id="764307514">
                                  <w:marLeft w:val="0"/>
                                  <w:marRight w:val="0"/>
                                  <w:marTop w:val="75"/>
                                  <w:marBottom w:val="150"/>
                                  <w:divBdr>
                                    <w:top w:val="single" w:sz="6" w:space="0" w:color="E3EBF2"/>
                                    <w:left w:val="none" w:sz="0" w:space="0" w:color="auto"/>
                                    <w:bottom w:val="single" w:sz="6" w:space="0" w:color="E3EBF2"/>
                                    <w:right w:val="none" w:sz="0" w:space="0" w:color="auto"/>
                                  </w:divBdr>
                                </w:div>
                              </w:divsChild>
                            </w:div>
                          </w:divsChild>
                        </w:div>
                      </w:divsChild>
                    </w:div>
                  </w:divsChild>
                </w:div>
              </w:divsChild>
            </w:div>
          </w:divsChild>
        </w:div>
      </w:divsChild>
    </w:div>
    <w:div w:id="1023287686">
      <w:bodyDiv w:val="1"/>
      <w:marLeft w:val="0"/>
      <w:marRight w:val="0"/>
      <w:marTop w:val="0"/>
      <w:marBottom w:val="0"/>
      <w:divBdr>
        <w:top w:val="none" w:sz="0" w:space="0" w:color="auto"/>
        <w:left w:val="none" w:sz="0" w:space="0" w:color="auto"/>
        <w:bottom w:val="none" w:sz="0" w:space="0" w:color="auto"/>
        <w:right w:val="none" w:sz="0" w:space="0" w:color="auto"/>
      </w:divBdr>
    </w:div>
    <w:div w:id="1501237740">
      <w:bodyDiv w:val="1"/>
      <w:marLeft w:val="0"/>
      <w:marRight w:val="0"/>
      <w:marTop w:val="0"/>
      <w:marBottom w:val="0"/>
      <w:divBdr>
        <w:top w:val="none" w:sz="0" w:space="0" w:color="auto"/>
        <w:left w:val="none" w:sz="0" w:space="0" w:color="auto"/>
        <w:bottom w:val="none" w:sz="0" w:space="0" w:color="auto"/>
        <w:right w:val="none" w:sz="0" w:space="0" w:color="auto"/>
      </w:divBdr>
      <w:divsChild>
        <w:div w:id="671030980">
          <w:marLeft w:val="0"/>
          <w:marRight w:val="0"/>
          <w:marTop w:val="0"/>
          <w:marBottom w:val="0"/>
          <w:divBdr>
            <w:top w:val="none" w:sz="0" w:space="0" w:color="auto"/>
            <w:left w:val="single" w:sz="12" w:space="0" w:color="003399"/>
            <w:bottom w:val="none" w:sz="0" w:space="0" w:color="auto"/>
            <w:right w:val="single" w:sz="12" w:space="0" w:color="003399"/>
          </w:divBdr>
          <w:divsChild>
            <w:div w:id="1772967142">
              <w:marLeft w:val="0"/>
              <w:marRight w:val="0"/>
              <w:marTop w:val="0"/>
              <w:marBottom w:val="0"/>
              <w:divBdr>
                <w:top w:val="single" w:sz="12" w:space="0" w:color="C2D5E5"/>
                <w:left w:val="none" w:sz="0" w:space="0" w:color="auto"/>
                <w:bottom w:val="none" w:sz="0" w:space="0" w:color="auto"/>
                <w:right w:val="none" w:sz="0" w:space="0" w:color="auto"/>
              </w:divBdr>
              <w:divsChild>
                <w:div w:id="2110614428">
                  <w:marLeft w:val="0"/>
                  <w:marRight w:val="0"/>
                  <w:marTop w:val="0"/>
                  <w:marBottom w:val="0"/>
                  <w:divBdr>
                    <w:top w:val="none" w:sz="0" w:space="0" w:color="auto"/>
                    <w:left w:val="none" w:sz="0" w:space="0" w:color="auto"/>
                    <w:bottom w:val="none" w:sz="0" w:space="0" w:color="auto"/>
                    <w:right w:val="none" w:sz="0" w:space="0" w:color="auto"/>
                  </w:divBdr>
                  <w:divsChild>
                    <w:div w:id="897936932">
                      <w:marLeft w:val="75"/>
                      <w:marRight w:val="75"/>
                      <w:marTop w:val="75"/>
                      <w:marBottom w:val="75"/>
                      <w:divBdr>
                        <w:top w:val="none" w:sz="0" w:space="0" w:color="auto"/>
                        <w:left w:val="none" w:sz="0" w:space="0" w:color="auto"/>
                        <w:bottom w:val="none" w:sz="0" w:space="0" w:color="auto"/>
                        <w:right w:val="none" w:sz="0" w:space="0" w:color="auto"/>
                      </w:divBdr>
                      <w:divsChild>
                        <w:div w:id="1196116898">
                          <w:marLeft w:val="0"/>
                          <w:marRight w:val="0"/>
                          <w:marTop w:val="0"/>
                          <w:marBottom w:val="0"/>
                          <w:divBdr>
                            <w:top w:val="none" w:sz="0" w:space="0" w:color="auto"/>
                            <w:left w:val="none" w:sz="0" w:space="0" w:color="auto"/>
                            <w:bottom w:val="none" w:sz="0" w:space="0" w:color="auto"/>
                            <w:right w:val="none" w:sz="0" w:space="0" w:color="auto"/>
                          </w:divBdr>
                          <w:divsChild>
                            <w:div w:id="799952797">
                              <w:marLeft w:val="0"/>
                              <w:marRight w:val="0"/>
                              <w:marTop w:val="0"/>
                              <w:marBottom w:val="0"/>
                              <w:divBdr>
                                <w:top w:val="none" w:sz="0" w:space="0" w:color="auto"/>
                                <w:left w:val="none" w:sz="0" w:space="0" w:color="auto"/>
                                <w:bottom w:val="none" w:sz="0" w:space="0" w:color="auto"/>
                                <w:right w:val="none" w:sz="0" w:space="0" w:color="auto"/>
                              </w:divBdr>
                              <w:divsChild>
                                <w:div w:id="486022341">
                                  <w:marLeft w:val="0"/>
                                  <w:marRight w:val="0"/>
                                  <w:marTop w:val="75"/>
                                  <w:marBottom w:val="150"/>
                                  <w:divBdr>
                                    <w:top w:val="single" w:sz="6" w:space="0" w:color="E3EBF2"/>
                                    <w:left w:val="none" w:sz="0" w:space="0" w:color="auto"/>
                                    <w:bottom w:val="single" w:sz="6" w:space="0" w:color="E3EBF2"/>
                                    <w:right w:val="none" w:sz="0" w:space="0" w:color="auto"/>
                                  </w:divBdr>
                                </w:div>
                              </w:divsChild>
                            </w:div>
                          </w:divsChild>
                        </w:div>
                      </w:divsChild>
                    </w:div>
                  </w:divsChild>
                </w:div>
              </w:divsChild>
            </w:div>
          </w:divsChild>
        </w:div>
      </w:divsChild>
    </w:div>
    <w:div w:id="20779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COM:2013:0501:FIN:nl:PDF" TargetMode="External"/><Relationship Id="rId1" Type="http://schemas.openxmlformats.org/officeDocument/2006/relationships/hyperlink" Target="http://europa.eu/rapid/press-release_IP-13-455_nl.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F698-58F3-4569-A4A8-14D35307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4630</CharactersWithSpaces>
  <SharedDoc>false</SharedDoc>
  <HLinks>
    <vt:vector size="6" baseType="variant">
      <vt:variant>
        <vt:i4>4653134</vt:i4>
      </vt:variant>
      <vt:variant>
        <vt:i4>0</vt:i4>
      </vt:variant>
      <vt:variant>
        <vt:i4>0</vt:i4>
      </vt:variant>
      <vt:variant>
        <vt:i4>5</vt:i4>
      </vt:variant>
      <vt:variant>
        <vt:lpwstr>https://ec.europa.eu/digital-agenda/en/download-data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Paula Mortelmans</cp:lastModifiedBy>
  <cp:revision>3</cp:revision>
  <cp:lastPrinted>2013-06-20T18:24:00Z</cp:lastPrinted>
  <dcterms:created xsi:type="dcterms:W3CDTF">2013-09-09T12:21:00Z</dcterms:created>
  <dcterms:modified xsi:type="dcterms:W3CDTF">2013-09-09T12:21:00Z</dcterms:modified>
</cp:coreProperties>
</file>