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B" w:rsidRPr="00693743" w:rsidRDefault="001643DB" w:rsidP="001643DB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693743">
        <w:rPr>
          <w:rFonts w:ascii="Times New Roman Vet" w:hAnsi="Times New Roman Vet"/>
          <w:b/>
          <w:smallCaps/>
          <w:sz w:val="22"/>
          <w:szCs w:val="22"/>
          <w:lang w:val="nl-BE"/>
        </w:rPr>
        <w:t>ingrid</w:t>
      </w:r>
      <w:proofErr w:type="spellEnd"/>
      <w:r w:rsidRPr="00693743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lieten</w:t>
      </w:r>
    </w:p>
    <w:p w:rsidR="001643DB" w:rsidRPr="00693743" w:rsidRDefault="001643DB" w:rsidP="001643DB">
      <w:pPr>
        <w:pStyle w:val="StandaardSV"/>
        <w:pBdr>
          <w:bottom w:val="single" w:sz="4" w:space="1" w:color="auto"/>
        </w:pBdr>
        <w:rPr>
          <w:smallCaps/>
          <w:szCs w:val="22"/>
          <w:lang w:val="nl-BE"/>
        </w:rPr>
      </w:pPr>
      <w:r w:rsidRPr="00693743">
        <w:rPr>
          <w:smallCaps/>
          <w:szCs w:val="22"/>
          <w:lang w:val="nl-BE"/>
        </w:rPr>
        <w:t xml:space="preserve">viceminister-president van de </w:t>
      </w:r>
      <w:proofErr w:type="spellStart"/>
      <w:r w:rsidRPr="00693743">
        <w:rPr>
          <w:smallCaps/>
          <w:szCs w:val="22"/>
          <w:lang w:val="nl-BE"/>
        </w:rPr>
        <w:t>vlaamse</w:t>
      </w:r>
      <w:proofErr w:type="spellEnd"/>
      <w:r w:rsidRPr="00693743">
        <w:rPr>
          <w:smallCaps/>
          <w:szCs w:val="22"/>
          <w:lang w:val="nl-BE"/>
        </w:rPr>
        <w:t xml:space="preserve"> regering, </w:t>
      </w:r>
      <w:proofErr w:type="spellStart"/>
      <w:r w:rsidRPr="00693743">
        <w:rPr>
          <w:smallCaps/>
          <w:szCs w:val="22"/>
          <w:lang w:val="nl-BE"/>
        </w:rPr>
        <w:t>vlaams</w:t>
      </w:r>
      <w:proofErr w:type="spellEnd"/>
      <w:r w:rsidRPr="00693743">
        <w:rPr>
          <w:smallCaps/>
          <w:szCs w:val="22"/>
          <w:lang w:val="nl-BE"/>
        </w:rPr>
        <w:t xml:space="preserve"> minister van innovatie, ove</w:t>
      </w:r>
      <w:r w:rsidRPr="00693743">
        <w:rPr>
          <w:smallCaps/>
          <w:szCs w:val="22"/>
          <w:lang w:val="nl-BE"/>
        </w:rPr>
        <w:t>r</w:t>
      </w:r>
      <w:r w:rsidRPr="00693743">
        <w:rPr>
          <w:smallCaps/>
          <w:szCs w:val="22"/>
          <w:lang w:val="nl-BE"/>
        </w:rPr>
        <w:t>heidsinvesteringen, media en armoedebestrijding</w:t>
      </w:r>
    </w:p>
    <w:p w:rsidR="001643DB" w:rsidRDefault="001643DB" w:rsidP="001643DB">
      <w:pPr>
        <w:pStyle w:val="StandaardSV"/>
        <w:pBdr>
          <w:bottom w:val="single" w:sz="4" w:space="1" w:color="auto"/>
        </w:pBdr>
      </w:pPr>
    </w:p>
    <w:p w:rsidR="001643DB" w:rsidRDefault="001643DB" w:rsidP="001643DB">
      <w:pPr>
        <w:jc w:val="both"/>
        <w:rPr>
          <w:sz w:val="22"/>
        </w:rPr>
      </w:pPr>
    </w:p>
    <w:p w:rsidR="00833C83" w:rsidRDefault="00833C83" w:rsidP="001643DB">
      <w:pPr>
        <w:jc w:val="both"/>
        <w:rPr>
          <w:b/>
          <w:smallCaps/>
        </w:rPr>
      </w:pPr>
      <w:r>
        <w:rPr>
          <w:b/>
          <w:smallCaps/>
        </w:rPr>
        <w:t xml:space="preserve">antwoord </w:t>
      </w:r>
    </w:p>
    <w:p w:rsidR="001643DB" w:rsidRDefault="00833C83" w:rsidP="001643DB">
      <w:pPr>
        <w:jc w:val="both"/>
        <w:rPr>
          <w:sz w:val="22"/>
        </w:rPr>
      </w:pPr>
      <w:r>
        <w:rPr>
          <w:sz w:val="22"/>
        </w:rPr>
        <w:t>op v</w:t>
      </w:r>
      <w:r w:rsidR="001643DB">
        <w:rPr>
          <w:sz w:val="22"/>
        </w:rPr>
        <w:t>raag nr. 471van 17 juni 2013</w:t>
      </w:r>
    </w:p>
    <w:p w:rsidR="001643DB" w:rsidRDefault="001643DB" w:rsidP="001643DB">
      <w:pPr>
        <w:pStyle w:val="StandaardSV"/>
        <w:rPr>
          <w:b/>
        </w:rPr>
      </w:pPr>
      <w:r>
        <w:t xml:space="preserve">van </w:t>
      </w:r>
      <w:proofErr w:type="spellStart"/>
      <w:r>
        <w:rPr>
          <w:b/>
          <w:smallCaps/>
        </w:rPr>
        <w:t>matthias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diependaele</w:t>
      </w:r>
      <w:proofErr w:type="spellEnd"/>
    </w:p>
    <w:p w:rsidR="001643DB" w:rsidRDefault="001643DB" w:rsidP="001643DB">
      <w:pPr>
        <w:pBdr>
          <w:bottom w:val="single" w:sz="4" w:space="1" w:color="auto"/>
        </w:pBdr>
        <w:jc w:val="both"/>
        <w:rPr>
          <w:sz w:val="22"/>
        </w:rPr>
      </w:pPr>
    </w:p>
    <w:p w:rsidR="001643DB" w:rsidRDefault="001643DB" w:rsidP="001643DB">
      <w:pPr>
        <w:pStyle w:val="StandaardSV"/>
      </w:pPr>
    </w:p>
    <w:p w:rsidR="00896B19" w:rsidRPr="00833C83" w:rsidRDefault="00896B19" w:rsidP="001643DB">
      <w:pPr>
        <w:pStyle w:val="StandaardSV"/>
        <w:rPr>
          <w:szCs w:val="22"/>
        </w:rPr>
      </w:pPr>
      <w:bookmarkStart w:id="0" w:name="_GoBack"/>
      <w:bookmarkEnd w:id="0"/>
    </w:p>
    <w:p w:rsidR="00610ACD" w:rsidRPr="00833C83" w:rsidRDefault="00610ACD" w:rsidP="001643DB">
      <w:pPr>
        <w:pStyle w:val="StandaardSV"/>
        <w:numPr>
          <w:ilvl w:val="0"/>
          <w:numId w:val="19"/>
        </w:numPr>
        <w:rPr>
          <w:szCs w:val="22"/>
        </w:rPr>
      </w:pPr>
    </w:p>
    <w:p w:rsidR="001643DB" w:rsidRPr="00833C83" w:rsidRDefault="001D74D0" w:rsidP="00833C83">
      <w:pPr>
        <w:pStyle w:val="StandaardSV"/>
        <w:numPr>
          <w:ilvl w:val="0"/>
          <w:numId w:val="28"/>
        </w:numPr>
        <w:rPr>
          <w:szCs w:val="22"/>
        </w:rPr>
      </w:pPr>
      <w:hyperlink r:id="rId6" w:history="1">
        <w:r w:rsidR="00F63F9F" w:rsidRPr="00833C83">
          <w:rPr>
            <w:rStyle w:val="Hyperlink"/>
            <w:szCs w:val="22"/>
          </w:rPr>
          <w:t>http://www.vib.be/en/business-opportunities/spinoffs/Pages/default.aspx</w:t>
        </w:r>
      </w:hyperlink>
      <w:r w:rsidR="00F63F9F" w:rsidRPr="00833C83">
        <w:rPr>
          <w:szCs w:val="22"/>
        </w:rPr>
        <w:t xml:space="preserve"> Op deze link staan de VIB spin-offs opgesomd, met links naar de respectievelijke bedrijven, waar alle gegevens over de activiteiten worden uitgelegd. </w:t>
      </w:r>
    </w:p>
    <w:p w:rsidR="00F63F9F" w:rsidRPr="00833C83" w:rsidRDefault="00F63F9F" w:rsidP="001643DB">
      <w:pPr>
        <w:pStyle w:val="StandaardSV"/>
        <w:rPr>
          <w:szCs w:val="22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2"/>
        <w:gridCol w:w="1451"/>
        <w:gridCol w:w="1559"/>
        <w:gridCol w:w="1005"/>
        <w:gridCol w:w="1688"/>
        <w:gridCol w:w="2552"/>
      </w:tblGrid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>Naam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 xml:space="preserve">Oprichting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>Aard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>Locatie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>Huidige T</w:t>
            </w:r>
            <w:r w:rsidRPr="00833C83">
              <w:rPr>
                <w:b/>
                <w:bCs/>
                <w:szCs w:val="22"/>
                <w:lang w:val="nl-BE"/>
              </w:rPr>
              <w:t>e</w:t>
            </w:r>
            <w:r w:rsidRPr="00833C83">
              <w:rPr>
                <w:b/>
                <w:bCs/>
                <w:szCs w:val="22"/>
                <w:lang w:val="nl-BE"/>
              </w:rPr>
              <w:t>werkstelling (afgerond)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b/>
                <w:bCs/>
                <w:szCs w:val="22"/>
                <w:lang w:val="nl-BE"/>
              </w:rPr>
              <w:t>Status/overname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Devgen</w:t>
            </w:r>
            <w:proofErr w:type="spellEnd"/>
          </w:p>
        </w:tc>
        <w:tc>
          <w:tcPr>
            <w:tcW w:w="14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1997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Agbio</w:t>
            </w:r>
            <w:proofErr w:type="spellEnd"/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280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 xml:space="preserve">Overname door </w:t>
            </w:r>
            <w:proofErr w:type="spellStart"/>
            <w:r w:rsidRPr="00833C83">
              <w:rPr>
                <w:szCs w:val="22"/>
                <w:lang w:val="nl-BE"/>
              </w:rPr>
              <w:t>Syngenta</w:t>
            </w:r>
            <w:proofErr w:type="spellEnd"/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Cropdesign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1998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Agbio</w:t>
            </w:r>
            <w:proofErr w:type="spellEnd"/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160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Overname door BASF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Ablynx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Therapeutica</w:t>
            </w:r>
            <w:proofErr w:type="spellEnd"/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260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Publiek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Pronota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Diagnostica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Bio-incubator Leuven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Infrastructuur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Leuven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963B22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Solucel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--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Liquidatie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Actogenix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Therapeutica</w:t>
            </w:r>
            <w:proofErr w:type="spellEnd"/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Bio-accelerator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2008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Infrastructuur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Multiplicom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Diagnostica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Niel</w:t>
            </w:r>
            <w:proofErr w:type="spellEnd"/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10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Q-</w:t>
            </w:r>
            <w:proofErr w:type="spellStart"/>
            <w:r w:rsidRPr="00833C83">
              <w:rPr>
                <w:szCs w:val="22"/>
                <w:lang w:val="nl-BE"/>
              </w:rPr>
              <w:t>Biologicals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Service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Agrosavfe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proofErr w:type="spellStart"/>
            <w:r w:rsidRPr="00833C83">
              <w:rPr>
                <w:szCs w:val="22"/>
                <w:lang w:val="nl-BE"/>
              </w:rPr>
              <w:t>Agbio</w:t>
            </w:r>
            <w:proofErr w:type="spellEnd"/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nl-BE"/>
              </w:rPr>
              <w:t>Privé</w:t>
            </w:r>
          </w:p>
        </w:tc>
      </w:tr>
      <w:tr w:rsidR="004E4BB4" w:rsidRPr="00833C83" w:rsidTr="008637CE">
        <w:trPr>
          <w:trHeight w:val="33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8637CE">
            <w:pPr>
              <w:pStyle w:val="StandaardSV"/>
              <w:rPr>
                <w:szCs w:val="22"/>
                <w:lang w:val="nl-BE"/>
              </w:rPr>
            </w:pPr>
            <w:proofErr w:type="spellStart"/>
            <w:r w:rsidRPr="00833C83">
              <w:rPr>
                <w:szCs w:val="22"/>
              </w:rPr>
              <w:t>FlandersBio</w:t>
            </w:r>
            <w:proofErr w:type="spellEnd"/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8637CE">
            <w:pPr>
              <w:pStyle w:val="StandaardSV"/>
              <w:rPr>
                <w:szCs w:val="22"/>
                <w:lang w:val="nl-BE"/>
              </w:rPr>
            </w:pPr>
            <w:r w:rsidRPr="00833C83">
              <w:rPr>
                <w:szCs w:val="22"/>
                <w:lang w:val="nl-BE"/>
              </w:rPr>
              <w:t>2004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8637CE">
            <w:pPr>
              <w:pStyle w:val="StandaardSV"/>
              <w:rPr>
                <w:szCs w:val="22"/>
                <w:lang w:val="nl-BE"/>
              </w:rPr>
            </w:pPr>
            <w:r w:rsidRPr="00833C83">
              <w:rPr>
                <w:szCs w:val="22"/>
                <w:lang w:val="nl-BE"/>
              </w:rPr>
              <w:t>Service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8637CE">
            <w:pPr>
              <w:pStyle w:val="StandaardSV"/>
              <w:rPr>
                <w:szCs w:val="22"/>
                <w:lang w:val="nl-BE"/>
              </w:rPr>
            </w:pPr>
            <w:r w:rsidRPr="00833C83">
              <w:rPr>
                <w:szCs w:val="22"/>
                <w:lang w:val="nl-BE"/>
              </w:rPr>
              <w:t>Gent</w:t>
            </w:r>
          </w:p>
        </w:tc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8637CE">
            <w:pPr>
              <w:pStyle w:val="StandaardSV"/>
              <w:rPr>
                <w:szCs w:val="22"/>
                <w:lang w:val="en-US"/>
              </w:rPr>
            </w:pPr>
            <w:r w:rsidRPr="00833C83">
              <w:rPr>
                <w:szCs w:val="22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4BB4" w:rsidRPr="00833C83" w:rsidRDefault="004E4BB4" w:rsidP="004E4BB4">
            <w:pPr>
              <w:pStyle w:val="StandaardSV"/>
              <w:rPr>
                <w:szCs w:val="22"/>
                <w:lang w:val="nl-BE"/>
              </w:rPr>
            </w:pPr>
            <w:r w:rsidRPr="00833C83">
              <w:rPr>
                <w:szCs w:val="22"/>
                <w:lang w:val="nl-BE"/>
              </w:rPr>
              <w:t>VZW</w:t>
            </w:r>
          </w:p>
        </w:tc>
      </w:tr>
    </w:tbl>
    <w:p w:rsidR="004E4BB4" w:rsidRPr="00833C83" w:rsidRDefault="004E4BB4" w:rsidP="001643DB">
      <w:pPr>
        <w:pStyle w:val="StandaardSV"/>
        <w:rPr>
          <w:szCs w:val="22"/>
        </w:rPr>
      </w:pPr>
    </w:p>
    <w:p w:rsidR="00610ACD" w:rsidRPr="00833C83" w:rsidRDefault="00FC0F5A" w:rsidP="00833C83">
      <w:pPr>
        <w:pStyle w:val="StandaardSV"/>
        <w:numPr>
          <w:ilvl w:val="0"/>
          <w:numId w:val="28"/>
        </w:numPr>
        <w:rPr>
          <w:szCs w:val="22"/>
        </w:rPr>
      </w:pPr>
      <w:r w:rsidRPr="00833C83">
        <w:rPr>
          <w:szCs w:val="22"/>
        </w:rPr>
        <w:t>D</w:t>
      </w:r>
      <w:r w:rsidR="000768A3" w:rsidRPr="00833C83">
        <w:rPr>
          <w:szCs w:val="22"/>
        </w:rPr>
        <w:t xml:space="preserve">e financiële jaarverslagen </w:t>
      </w:r>
      <w:r w:rsidRPr="00833C83">
        <w:rPr>
          <w:szCs w:val="22"/>
        </w:rPr>
        <w:t xml:space="preserve">zijn </w:t>
      </w:r>
      <w:r w:rsidR="000768A3" w:rsidRPr="00833C83">
        <w:rPr>
          <w:szCs w:val="22"/>
        </w:rPr>
        <w:t>publiek toegankelijk op de website van de betrokken bedri</w:t>
      </w:r>
      <w:r w:rsidR="000768A3" w:rsidRPr="00833C83">
        <w:rPr>
          <w:szCs w:val="22"/>
        </w:rPr>
        <w:t>j</w:t>
      </w:r>
      <w:r w:rsidR="000768A3" w:rsidRPr="00833C83">
        <w:rPr>
          <w:szCs w:val="22"/>
        </w:rPr>
        <w:t xml:space="preserve">ven of </w:t>
      </w:r>
      <w:r w:rsidRPr="00833C83">
        <w:rPr>
          <w:szCs w:val="22"/>
        </w:rPr>
        <w:t xml:space="preserve">kunnen geraadpleegd worden </w:t>
      </w:r>
      <w:r w:rsidR="000768A3" w:rsidRPr="00833C83">
        <w:rPr>
          <w:szCs w:val="22"/>
        </w:rPr>
        <w:t>bij de Nationale Bank België</w:t>
      </w:r>
      <w:r w:rsidR="00F211FC" w:rsidRPr="00833C83">
        <w:rPr>
          <w:szCs w:val="22"/>
        </w:rPr>
        <w:t xml:space="preserve">: </w:t>
      </w:r>
      <w:hyperlink r:id="rId7" w:history="1">
        <w:r w:rsidR="00F211FC" w:rsidRPr="00833C83">
          <w:rPr>
            <w:rStyle w:val="Hyperlink"/>
            <w:szCs w:val="22"/>
          </w:rPr>
          <w:t>http://www.nbb.be/pub/03_00_00_00_00/03_01_01_00_00.htm?l=nl</w:t>
        </w:r>
      </w:hyperlink>
    </w:p>
    <w:p w:rsidR="00F63F9F" w:rsidRPr="00833C83" w:rsidRDefault="00F63F9F" w:rsidP="001643DB">
      <w:pPr>
        <w:pStyle w:val="StandaardSV"/>
        <w:rPr>
          <w:szCs w:val="22"/>
        </w:rPr>
      </w:pPr>
    </w:p>
    <w:p w:rsidR="00331D43" w:rsidRPr="00833C83" w:rsidRDefault="00331D43" w:rsidP="001643DB">
      <w:pPr>
        <w:pStyle w:val="StandaardSV"/>
        <w:rPr>
          <w:szCs w:val="22"/>
        </w:rPr>
      </w:pPr>
    </w:p>
    <w:p w:rsidR="00610ACD" w:rsidRPr="00833C83" w:rsidRDefault="00F63F9F" w:rsidP="00833C83">
      <w:pPr>
        <w:pStyle w:val="StandaardSV"/>
        <w:numPr>
          <w:ilvl w:val="0"/>
          <w:numId w:val="28"/>
        </w:numPr>
        <w:rPr>
          <w:szCs w:val="22"/>
        </w:rPr>
      </w:pPr>
      <w:r w:rsidRPr="00833C83">
        <w:rPr>
          <w:szCs w:val="22"/>
        </w:rPr>
        <w:t>te raadplegen in de jaarverslagen bij de NBB</w:t>
      </w:r>
      <w:r w:rsidR="00E85FD1">
        <w:rPr>
          <w:szCs w:val="22"/>
        </w:rPr>
        <w:t>,</w:t>
      </w:r>
      <w:r w:rsidR="004E4BB4" w:rsidRPr="00833C83">
        <w:rPr>
          <w:szCs w:val="22"/>
        </w:rPr>
        <w:t xml:space="preserve"> </w:t>
      </w:r>
      <w:r w:rsidR="00E85FD1">
        <w:rPr>
          <w:szCs w:val="22"/>
        </w:rPr>
        <w:t>z</w:t>
      </w:r>
      <w:r w:rsidR="004E4BB4" w:rsidRPr="00833C83">
        <w:rPr>
          <w:szCs w:val="22"/>
        </w:rPr>
        <w:t>ie tabel boven</w:t>
      </w:r>
      <w:r w:rsidR="00E85FD1">
        <w:rPr>
          <w:szCs w:val="22"/>
        </w:rPr>
        <w:t>.</w:t>
      </w:r>
    </w:p>
    <w:p w:rsidR="00331D43" w:rsidRPr="00833C83" w:rsidRDefault="00331D43" w:rsidP="001643DB">
      <w:pPr>
        <w:pStyle w:val="StandaardSV"/>
        <w:rPr>
          <w:szCs w:val="22"/>
        </w:rPr>
      </w:pPr>
    </w:p>
    <w:p w:rsidR="00833C83" w:rsidRDefault="00F63F9F" w:rsidP="001643DB">
      <w:pPr>
        <w:pStyle w:val="StandaardSV"/>
        <w:numPr>
          <w:ilvl w:val="0"/>
          <w:numId w:val="28"/>
        </w:numPr>
        <w:rPr>
          <w:szCs w:val="22"/>
        </w:rPr>
      </w:pPr>
      <w:proofErr w:type="spellStart"/>
      <w:r w:rsidRPr="00833C83">
        <w:rPr>
          <w:szCs w:val="22"/>
        </w:rPr>
        <w:t>Cropdesign</w:t>
      </w:r>
      <w:proofErr w:type="spellEnd"/>
      <w:r w:rsidRPr="00833C83">
        <w:rPr>
          <w:szCs w:val="22"/>
        </w:rPr>
        <w:t xml:space="preserve"> werd overgenomen </w:t>
      </w:r>
      <w:r w:rsidR="00833C83" w:rsidRPr="00833C83">
        <w:rPr>
          <w:szCs w:val="22"/>
        </w:rPr>
        <w:t>door BASF Plant Science in 2006;</w:t>
      </w:r>
    </w:p>
    <w:p w:rsidR="00833C83" w:rsidRDefault="00833C83" w:rsidP="00833C83">
      <w:pPr>
        <w:pStyle w:val="Lijstalinea"/>
      </w:pPr>
    </w:p>
    <w:p w:rsidR="00833C83" w:rsidRDefault="00F63F9F" w:rsidP="00833C83">
      <w:pPr>
        <w:pStyle w:val="StandaardSV"/>
        <w:ind w:left="720"/>
        <w:rPr>
          <w:szCs w:val="22"/>
        </w:rPr>
      </w:pPr>
      <w:proofErr w:type="spellStart"/>
      <w:r w:rsidRPr="00833C83">
        <w:rPr>
          <w:szCs w:val="22"/>
        </w:rPr>
        <w:lastRenderedPageBreak/>
        <w:t>Devgen</w:t>
      </w:r>
      <w:proofErr w:type="spellEnd"/>
      <w:r w:rsidRPr="00833C83">
        <w:rPr>
          <w:szCs w:val="22"/>
        </w:rPr>
        <w:t xml:space="preserve"> werd overgenomen </w:t>
      </w:r>
      <w:r w:rsidR="00833C83">
        <w:rPr>
          <w:szCs w:val="22"/>
        </w:rPr>
        <w:t xml:space="preserve">door </w:t>
      </w:r>
      <w:proofErr w:type="spellStart"/>
      <w:r w:rsidR="00833C83">
        <w:rPr>
          <w:szCs w:val="22"/>
        </w:rPr>
        <w:t>Syngenta</w:t>
      </w:r>
      <w:proofErr w:type="spellEnd"/>
      <w:r w:rsidR="00833C83">
        <w:rPr>
          <w:szCs w:val="22"/>
        </w:rPr>
        <w:t xml:space="preserve"> in december 2012;</w:t>
      </w:r>
    </w:p>
    <w:p w:rsidR="000768A3" w:rsidRPr="00833C83" w:rsidRDefault="004E4BB4" w:rsidP="00833C83">
      <w:pPr>
        <w:pStyle w:val="StandaardSV"/>
        <w:ind w:left="720"/>
        <w:rPr>
          <w:szCs w:val="22"/>
        </w:rPr>
      </w:pPr>
      <w:proofErr w:type="spellStart"/>
      <w:r w:rsidRPr="00833C83">
        <w:rPr>
          <w:szCs w:val="22"/>
        </w:rPr>
        <w:t>Solucel</w:t>
      </w:r>
      <w:proofErr w:type="spellEnd"/>
      <w:r w:rsidRPr="00833C83">
        <w:rPr>
          <w:szCs w:val="22"/>
        </w:rPr>
        <w:t xml:space="preserve"> </w:t>
      </w:r>
      <w:r w:rsidR="0010364E">
        <w:rPr>
          <w:szCs w:val="22"/>
        </w:rPr>
        <w:t>ging in</w:t>
      </w:r>
      <w:r w:rsidRPr="00833C83">
        <w:rPr>
          <w:szCs w:val="22"/>
        </w:rPr>
        <w:t xml:space="preserve"> </w:t>
      </w:r>
      <w:proofErr w:type="spellStart"/>
      <w:r w:rsidRPr="00833C83">
        <w:rPr>
          <w:szCs w:val="22"/>
        </w:rPr>
        <w:t>vereffing</w:t>
      </w:r>
      <w:proofErr w:type="spellEnd"/>
      <w:r w:rsidR="000768A3" w:rsidRPr="00833C83">
        <w:rPr>
          <w:szCs w:val="22"/>
        </w:rPr>
        <w:t xml:space="preserve">. </w:t>
      </w:r>
    </w:p>
    <w:p w:rsidR="00F63F9F" w:rsidRPr="00833C83" w:rsidRDefault="00F63F9F" w:rsidP="001643DB">
      <w:pPr>
        <w:pStyle w:val="StandaardSV"/>
        <w:rPr>
          <w:szCs w:val="22"/>
        </w:rPr>
      </w:pPr>
    </w:p>
    <w:p w:rsidR="003F06FB" w:rsidRPr="00833C83" w:rsidRDefault="005511C3" w:rsidP="003F06FB">
      <w:pPr>
        <w:pStyle w:val="StandaardSV"/>
        <w:numPr>
          <w:ilvl w:val="0"/>
          <w:numId w:val="28"/>
        </w:numPr>
        <w:rPr>
          <w:szCs w:val="22"/>
          <w:lang w:val="nl-BE"/>
        </w:rPr>
      </w:pPr>
      <w:r w:rsidRPr="00833C83">
        <w:rPr>
          <w:szCs w:val="22"/>
        </w:rPr>
        <w:t xml:space="preserve">IWT steun wordt soms ook in de publieke jaarverslagen vermeld. </w:t>
      </w:r>
      <w:r w:rsidR="003F06FB" w:rsidRPr="00833C83">
        <w:rPr>
          <w:szCs w:val="22"/>
          <w:lang w:val="nl-BE"/>
        </w:rPr>
        <w:t>De steun die door IWT als bedrijfssteun toegekend werd aan VIB spin-offs sinds hun oprichting wordt weergegeven als engagementen van de raad van bestuur van IWT (vastleggingen) tussen oprichting van de spin off en datum van vandaag:</w:t>
      </w:r>
    </w:p>
    <w:p w:rsidR="003F06FB" w:rsidRPr="00833C83" w:rsidRDefault="003F06FB" w:rsidP="003F06FB">
      <w:pPr>
        <w:pStyle w:val="StandaardSV"/>
        <w:rPr>
          <w:szCs w:val="22"/>
          <w:lang w:val="nl-BE"/>
        </w:rPr>
      </w:pP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Ablynx</w:t>
      </w:r>
      <w:proofErr w:type="spellEnd"/>
      <w:r w:rsidRPr="00833C83">
        <w:rPr>
          <w:szCs w:val="22"/>
          <w:lang w:val="nl-BE"/>
        </w:rPr>
        <w:t xml:space="preserve"> </w:t>
      </w:r>
      <w:r w:rsidRPr="00833C83">
        <w:rPr>
          <w:szCs w:val="22"/>
          <w:lang w:val="nl-BE"/>
        </w:rPr>
        <w:tab/>
        <w:t>13,2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ActoGenix</w:t>
      </w:r>
      <w:proofErr w:type="spellEnd"/>
      <w:r w:rsidRPr="00833C83">
        <w:rPr>
          <w:szCs w:val="22"/>
          <w:lang w:val="nl-BE"/>
        </w:rPr>
        <w:t xml:space="preserve"> </w:t>
      </w:r>
      <w:r w:rsidRPr="00833C83">
        <w:rPr>
          <w:szCs w:val="22"/>
          <w:lang w:val="nl-BE"/>
        </w:rPr>
        <w:tab/>
        <w:t xml:space="preserve">6,3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AgroSavfe</w:t>
      </w:r>
      <w:proofErr w:type="spellEnd"/>
      <w:r w:rsidRPr="00833C83">
        <w:rPr>
          <w:szCs w:val="22"/>
          <w:lang w:val="nl-BE"/>
        </w:rPr>
        <w:t xml:space="preserve"> </w:t>
      </w:r>
      <w:r w:rsidRPr="00833C83">
        <w:rPr>
          <w:szCs w:val="22"/>
          <w:lang w:val="nl-BE"/>
        </w:rPr>
        <w:tab/>
        <w:t xml:space="preserve">1,9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CropDesign</w:t>
      </w:r>
      <w:proofErr w:type="spellEnd"/>
      <w:r w:rsidRPr="00833C83">
        <w:rPr>
          <w:szCs w:val="22"/>
          <w:lang w:val="nl-BE"/>
        </w:rPr>
        <w:tab/>
        <w:t xml:space="preserve">9,7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DevGen</w:t>
      </w:r>
      <w:proofErr w:type="spellEnd"/>
      <w:r w:rsidRPr="00833C83">
        <w:rPr>
          <w:szCs w:val="22"/>
          <w:lang w:val="nl-BE"/>
        </w:rPr>
        <w:t xml:space="preserve"> </w:t>
      </w:r>
      <w:r w:rsidRPr="00833C83">
        <w:rPr>
          <w:szCs w:val="22"/>
          <w:lang w:val="nl-BE"/>
        </w:rPr>
        <w:tab/>
        <w:t xml:space="preserve">13,5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r w:rsidRPr="00833C83">
        <w:rPr>
          <w:szCs w:val="22"/>
          <w:lang w:val="nl-BE"/>
        </w:rPr>
        <w:t xml:space="preserve">Pronota </w:t>
      </w:r>
      <w:r w:rsidRPr="00833C83">
        <w:rPr>
          <w:szCs w:val="22"/>
          <w:lang w:val="nl-BE"/>
        </w:rPr>
        <w:tab/>
        <w:t xml:space="preserve">2,7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Multiplicom</w:t>
      </w:r>
      <w:proofErr w:type="spellEnd"/>
      <w:r w:rsidRPr="00833C83">
        <w:rPr>
          <w:szCs w:val="22"/>
          <w:lang w:val="nl-BE"/>
        </w:rPr>
        <w:tab/>
        <w:t xml:space="preserve">0,3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r w:rsidRPr="00833C83">
        <w:rPr>
          <w:szCs w:val="22"/>
          <w:lang w:val="nl-BE"/>
        </w:rPr>
        <w:t>Q-</w:t>
      </w:r>
      <w:proofErr w:type="spellStart"/>
      <w:r w:rsidRPr="00833C83">
        <w:rPr>
          <w:szCs w:val="22"/>
          <w:lang w:val="nl-BE"/>
        </w:rPr>
        <w:t>Biologicals</w:t>
      </w:r>
      <w:proofErr w:type="spellEnd"/>
      <w:r w:rsidRPr="00833C83">
        <w:rPr>
          <w:szCs w:val="22"/>
          <w:lang w:val="nl-BE"/>
        </w:rPr>
        <w:tab/>
        <w:t xml:space="preserve">1,4 </w:t>
      </w:r>
      <w:r w:rsidRPr="00833C83">
        <w:rPr>
          <w:szCs w:val="22"/>
          <w:lang w:val="nl-BE"/>
        </w:rPr>
        <w:tab/>
        <w:t>miljoen euro</w:t>
      </w:r>
    </w:p>
    <w:p w:rsidR="003F06FB" w:rsidRPr="00833C83" w:rsidRDefault="003F06FB" w:rsidP="003F06FB">
      <w:pPr>
        <w:pStyle w:val="StandaardSV"/>
        <w:ind w:left="708"/>
        <w:rPr>
          <w:szCs w:val="22"/>
          <w:lang w:val="nl-BE"/>
        </w:rPr>
      </w:pPr>
      <w:proofErr w:type="spellStart"/>
      <w:r w:rsidRPr="00833C83">
        <w:rPr>
          <w:szCs w:val="22"/>
          <w:lang w:val="nl-BE"/>
        </w:rPr>
        <w:t>Biolign</w:t>
      </w:r>
      <w:proofErr w:type="spellEnd"/>
      <w:r w:rsidRPr="00833C83">
        <w:rPr>
          <w:szCs w:val="22"/>
          <w:lang w:val="nl-BE"/>
        </w:rPr>
        <w:t xml:space="preserve"> </w:t>
      </w:r>
      <w:r w:rsidRPr="00833C83">
        <w:rPr>
          <w:szCs w:val="22"/>
          <w:lang w:val="nl-BE"/>
        </w:rPr>
        <w:tab/>
        <w:t xml:space="preserve">65,6 </w:t>
      </w:r>
      <w:r w:rsidRPr="00833C83">
        <w:rPr>
          <w:szCs w:val="22"/>
          <w:lang w:val="nl-BE"/>
        </w:rPr>
        <w:tab/>
        <w:t>duizend euro</w:t>
      </w:r>
    </w:p>
    <w:p w:rsidR="003F06FB" w:rsidRPr="00833C83" w:rsidRDefault="003F06FB" w:rsidP="001643DB">
      <w:pPr>
        <w:pStyle w:val="StandaardSV"/>
        <w:rPr>
          <w:szCs w:val="22"/>
        </w:rPr>
      </w:pPr>
    </w:p>
    <w:p w:rsidR="00331D43" w:rsidRPr="00833C83" w:rsidRDefault="00331D43" w:rsidP="001643DB">
      <w:pPr>
        <w:pStyle w:val="StandaardSV"/>
        <w:rPr>
          <w:szCs w:val="22"/>
        </w:rPr>
      </w:pPr>
    </w:p>
    <w:p w:rsidR="00833C83" w:rsidRDefault="00331D43" w:rsidP="00A50E68">
      <w:pPr>
        <w:pStyle w:val="StandaardSV"/>
        <w:numPr>
          <w:ilvl w:val="0"/>
          <w:numId w:val="19"/>
        </w:numPr>
        <w:rPr>
          <w:szCs w:val="22"/>
        </w:rPr>
      </w:pPr>
      <w:r w:rsidRPr="00833C83">
        <w:rPr>
          <w:szCs w:val="22"/>
        </w:rPr>
        <w:t xml:space="preserve">De ambitie van VIB met betrekking tot het oprichten van spin-offs en creëren van economische meerwaarde wordt gereflecteerd in de KPI’s en andere bepalingen in het convenant en wordt meer algemeen verwoord in de missie en doelstellingen: </w:t>
      </w:r>
      <w:hyperlink r:id="rId8" w:history="1">
        <w:r w:rsidRPr="00833C83">
          <w:rPr>
            <w:rStyle w:val="Hyperlink"/>
            <w:szCs w:val="22"/>
          </w:rPr>
          <w:t>http://www.vib.be/nl/over-vib/organisatie/Paginas/missie-en-doelen.aspx</w:t>
        </w:r>
      </w:hyperlink>
      <w:r w:rsidRPr="00833C83">
        <w:rPr>
          <w:szCs w:val="22"/>
        </w:rPr>
        <w:t xml:space="preserve">. </w:t>
      </w:r>
    </w:p>
    <w:p w:rsidR="00833C83" w:rsidRDefault="00A50E68" w:rsidP="00833C83">
      <w:pPr>
        <w:pStyle w:val="StandaardSV"/>
        <w:ind w:left="360"/>
        <w:rPr>
          <w:szCs w:val="22"/>
        </w:rPr>
      </w:pPr>
      <w:r w:rsidRPr="00833C83">
        <w:rPr>
          <w:szCs w:val="22"/>
        </w:rPr>
        <w:t xml:space="preserve">Het convenant 2012-2016 bepaalt in KPI 5 het aantal opgerichte start-up bedrijven. Het jaarlijks gemiddelde aantal start-ups moet minstens gelijk zijn aan 1. Het gemiddelde wordt bepaald over de laatste 3 jaren van de rapportering. </w:t>
      </w:r>
    </w:p>
    <w:p w:rsidR="00833C83" w:rsidRDefault="00833C83" w:rsidP="00833C83">
      <w:pPr>
        <w:pStyle w:val="StandaardSV"/>
        <w:ind w:left="360"/>
        <w:rPr>
          <w:szCs w:val="22"/>
        </w:rPr>
      </w:pPr>
    </w:p>
    <w:p w:rsidR="00833C83" w:rsidRDefault="00A50E68" w:rsidP="00833C83">
      <w:pPr>
        <w:pStyle w:val="StandaardSV"/>
        <w:ind w:left="360"/>
        <w:rPr>
          <w:szCs w:val="22"/>
        </w:rPr>
      </w:pPr>
      <w:r w:rsidRPr="00833C83">
        <w:rPr>
          <w:szCs w:val="22"/>
        </w:rPr>
        <w:t xml:space="preserve">VIB heeft een actieve en internationaal gereputeerde </w:t>
      </w:r>
      <w:proofErr w:type="spellStart"/>
      <w:r w:rsidR="00331D43" w:rsidRPr="00833C83">
        <w:rPr>
          <w:szCs w:val="22"/>
        </w:rPr>
        <w:t>tech</w:t>
      </w:r>
      <w:proofErr w:type="spellEnd"/>
      <w:r w:rsidR="00331D43" w:rsidRPr="00833C83">
        <w:rPr>
          <w:szCs w:val="22"/>
        </w:rPr>
        <w:t>-</w:t>
      </w:r>
      <w:r w:rsidRPr="00833C83">
        <w:rPr>
          <w:szCs w:val="22"/>
        </w:rPr>
        <w:t xml:space="preserve">transferdienst die aan de basis ligt van de bestaande en toekomstige start-ups. </w:t>
      </w:r>
      <w:r w:rsidR="0062736E" w:rsidRPr="00833C83">
        <w:rPr>
          <w:szCs w:val="22"/>
        </w:rPr>
        <w:t>Tech transfer met of zonder oprichting van start-ups is een</w:t>
      </w:r>
      <w:r w:rsidR="00331D43" w:rsidRPr="00833C83">
        <w:rPr>
          <w:szCs w:val="22"/>
        </w:rPr>
        <w:t xml:space="preserve"> </w:t>
      </w:r>
      <w:r w:rsidR="0062736E" w:rsidRPr="00833C83">
        <w:rPr>
          <w:szCs w:val="22"/>
        </w:rPr>
        <w:t>continue activiteit. In KPI 4 van het convenant wordt ook gepeild naar het aantal reguliere octroo</w:t>
      </w:r>
      <w:r w:rsidR="0062736E" w:rsidRPr="00833C83">
        <w:rPr>
          <w:szCs w:val="22"/>
        </w:rPr>
        <w:t>i</w:t>
      </w:r>
      <w:r w:rsidR="0062736E" w:rsidRPr="00833C83">
        <w:rPr>
          <w:szCs w:val="22"/>
        </w:rPr>
        <w:t xml:space="preserve">aanvragen. Jaarlijks moeten minstens gemiddeld 22 reguliere octrooiaanvragen worden ingediend. Het gemiddelde wordt berekend over de laatste 3 jaren van de rapportering. </w:t>
      </w:r>
    </w:p>
    <w:p w:rsidR="00833C83" w:rsidRDefault="00833C83" w:rsidP="00833C83">
      <w:pPr>
        <w:pStyle w:val="StandaardSV"/>
        <w:ind w:left="360"/>
        <w:rPr>
          <w:szCs w:val="22"/>
        </w:rPr>
      </w:pPr>
    </w:p>
    <w:p w:rsidR="0062736E" w:rsidRPr="00833C83" w:rsidRDefault="0062736E" w:rsidP="00833C83">
      <w:pPr>
        <w:pStyle w:val="StandaardSV"/>
        <w:ind w:left="360"/>
        <w:rPr>
          <w:szCs w:val="22"/>
        </w:rPr>
      </w:pPr>
      <w:r w:rsidRPr="00833C83">
        <w:rPr>
          <w:szCs w:val="22"/>
        </w:rPr>
        <w:t xml:space="preserve">Verder stelt het convenant dat </w:t>
      </w:r>
      <w:r w:rsidR="00331D43" w:rsidRPr="00833C83">
        <w:rPr>
          <w:szCs w:val="22"/>
        </w:rPr>
        <w:t>“</w:t>
      </w:r>
      <w:r w:rsidRPr="00833C83">
        <w:rPr>
          <w:szCs w:val="22"/>
        </w:rPr>
        <w:t>het VIB inspanningen zal leveren om op basis van de VIB activ</w:t>
      </w:r>
      <w:r w:rsidRPr="00833C83">
        <w:rPr>
          <w:szCs w:val="22"/>
        </w:rPr>
        <w:t>i</w:t>
      </w:r>
      <w:r w:rsidRPr="00833C83">
        <w:rPr>
          <w:szCs w:val="22"/>
        </w:rPr>
        <w:t>teiten een hoge economische impact te realiseren. De indicatoren voor de bepaling van de econ</w:t>
      </w:r>
      <w:r w:rsidRPr="00833C83">
        <w:rPr>
          <w:szCs w:val="22"/>
        </w:rPr>
        <w:t>o</w:t>
      </w:r>
      <w:r w:rsidRPr="00833C83">
        <w:rPr>
          <w:szCs w:val="22"/>
        </w:rPr>
        <w:t xml:space="preserve">mische impact voor de periode 2012-2016 zijn: </w:t>
      </w:r>
    </w:p>
    <w:p w:rsidR="0062736E" w:rsidRPr="00833C83" w:rsidRDefault="0062736E" w:rsidP="0062736E">
      <w:pPr>
        <w:pStyle w:val="StandaardSV"/>
        <w:numPr>
          <w:ilvl w:val="0"/>
          <w:numId w:val="27"/>
        </w:numPr>
        <w:rPr>
          <w:szCs w:val="22"/>
        </w:rPr>
      </w:pPr>
      <w:r w:rsidRPr="00833C83">
        <w:rPr>
          <w:szCs w:val="22"/>
        </w:rPr>
        <w:t>De uitbouw van bio-incubatorfaciliteiten in Vlaanderen tot minstens 32.000 m²;</w:t>
      </w:r>
    </w:p>
    <w:p w:rsidR="0062736E" w:rsidRPr="00833C83" w:rsidRDefault="0062736E" w:rsidP="0062736E">
      <w:pPr>
        <w:pStyle w:val="StandaardSV"/>
        <w:numPr>
          <w:ilvl w:val="0"/>
          <w:numId w:val="27"/>
        </w:numPr>
        <w:rPr>
          <w:szCs w:val="22"/>
        </w:rPr>
      </w:pPr>
      <w:r w:rsidRPr="00833C83">
        <w:rPr>
          <w:szCs w:val="22"/>
        </w:rPr>
        <w:t xml:space="preserve">De exploitatie van het VIB-zaaigeldfonds met minstens 5 investeringen in </w:t>
      </w:r>
      <w:proofErr w:type="spellStart"/>
      <w:r w:rsidRPr="00833C83">
        <w:rPr>
          <w:szCs w:val="22"/>
        </w:rPr>
        <w:t>biotechdossiers</w:t>
      </w:r>
      <w:proofErr w:type="spellEnd"/>
      <w:r w:rsidRPr="00833C83">
        <w:rPr>
          <w:szCs w:val="22"/>
        </w:rPr>
        <w:t xml:space="preserve"> vanuit het zaaigeldfonds;</w:t>
      </w:r>
    </w:p>
    <w:p w:rsidR="0062736E" w:rsidRPr="00833C83" w:rsidRDefault="0062736E" w:rsidP="0062736E">
      <w:pPr>
        <w:pStyle w:val="StandaardSV"/>
        <w:numPr>
          <w:ilvl w:val="0"/>
          <w:numId w:val="27"/>
        </w:numPr>
        <w:rPr>
          <w:szCs w:val="22"/>
        </w:rPr>
      </w:pPr>
      <w:r w:rsidRPr="00833C83">
        <w:rPr>
          <w:szCs w:val="22"/>
        </w:rPr>
        <w:t xml:space="preserve">Het organiseren van minstens 100 meetings met buitenlands </w:t>
      </w:r>
      <w:proofErr w:type="spellStart"/>
      <w:r w:rsidRPr="00833C83">
        <w:rPr>
          <w:szCs w:val="22"/>
        </w:rPr>
        <w:t>biotechbedrijven</w:t>
      </w:r>
      <w:proofErr w:type="spellEnd"/>
      <w:r w:rsidRPr="00833C83">
        <w:rPr>
          <w:szCs w:val="22"/>
        </w:rPr>
        <w:t xml:space="preserve"> in de co</w:t>
      </w:r>
      <w:r w:rsidRPr="00833C83">
        <w:rPr>
          <w:szCs w:val="22"/>
        </w:rPr>
        <w:t>n</w:t>
      </w:r>
      <w:r w:rsidRPr="00833C83">
        <w:rPr>
          <w:szCs w:val="22"/>
        </w:rPr>
        <w:t>text van het starten van bedrijfsactiviteit in Vlaanderen en/of een R&amp;D-licentieovereenkomst met VIB;</w:t>
      </w:r>
    </w:p>
    <w:p w:rsidR="0062736E" w:rsidRPr="00833C83" w:rsidRDefault="0062736E" w:rsidP="0062736E">
      <w:pPr>
        <w:pStyle w:val="StandaardSV"/>
        <w:numPr>
          <w:ilvl w:val="0"/>
          <w:numId w:val="27"/>
        </w:numPr>
        <w:rPr>
          <w:szCs w:val="22"/>
        </w:rPr>
      </w:pPr>
      <w:r w:rsidRPr="00833C83">
        <w:rPr>
          <w:szCs w:val="22"/>
        </w:rPr>
        <w:t xml:space="preserve">Het aantrekken van 5 internationale investeringen  (buitenlandse </w:t>
      </w:r>
      <w:proofErr w:type="spellStart"/>
      <w:r w:rsidRPr="00833C83">
        <w:rPr>
          <w:szCs w:val="22"/>
        </w:rPr>
        <w:t>biotechbedrijven</w:t>
      </w:r>
      <w:proofErr w:type="spellEnd"/>
      <w:r w:rsidRPr="00833C83">
        <w:rPr>
          <w:szCs w:val="22"/>
        </w:rPr>
        <w:t>) naar Vlaanderen.</w:t>
      </w:r>
      <w:r w:rsidR="00331D43" w:rsidRPr="00833C83">
        <w:rPr>
          <w:szCs w:val="22"/>
        </w:rPr>
        <w:t>”</w:t>
      </w:r>
      <w:r w:rsidRPr="00833C83">
        <w:rPr>
          <w:szCs w:val="22"/>
        </w:rPr>
        <w:t xml:space="preserve"> </w:t>
      </w:r>
    </w:p>
    <w:p w:rsidR="00331D43" w:rsidRPr="0062736E" w:rsidRDefault="00331D43" w:rsidP="00331D43">
      <w:pPr>
        <w:pStyle w:val="StandaardSV"/>
        <w:rPr>
          <w:rFonts w:ascii="Arial" w:hAnsi="Arial" w:cs="Arial"/>
        </w:rPr>
      </w:pPr>
    </w:p>
    <w:sectPr w:rsidR="00331D43" w:rsidRPr="006273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615C7"/>
    <w:multiLevelType w:val="hybridMultilevel"/>
    <w:tmpl w:val="AC04C3A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7DE66B9"/>
    <w:multiLevelType w:val="hybridMultilevel"/>
    <w:tmpl w:val="E110DD28"/>
    <w:lvl w:ilvl="0" w:tplc="869A62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44E73C2"/>
    <w:multiLevelType w:val="hybridMultilevel"/>
    <w:tmpl w:val="2FFEAD4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26784"/>
    <w:multiLevelType w:val="hybridMultilevel"/>
    <w:tmpl w:val="7D22DEF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AB0CEE"/>
    <w:multiLevelType w:val="hybridMultilevel"/>
    <w:tmpl w:val="ECC4CAA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1A9A"/>
    <w:multiLevelType w:val="hybridMultilevel"/>
    <w:tmpl w:val="72689E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752C"/>
    <w:multiLevelType w:val="hybridMultilevel"/>
    <w:tmpl w:val="6978AF6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6D0805"/>
    <w:multiLevelType w:val="hybridMultilevel"/>
    <w:tmpl w:val="BC56A9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559E3"/>
    <w:multiLevelType w:val="hybridMultilevel"/>
    <w:tmpl w:val="0BD2E7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1B13"/>
    <w:multiLevelType w:val="hybridMultilevel"/>
    <w:tmpl w:val="07E669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B34F2"/>
    <w:multiLevelType w:val="hybridMultilevel"/>
    <w:tmpl w:val="3F90D4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4E52CB"/>
    <w:multiLevelType w:val="hybridMultilevel"/>
    <w:tmpl w:val="817276D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908BA"/>
    <w:multiLevelType w:val="hybridMultilevel"/>
    <w:tmpl w:val="817276D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805842"/>
    <w:multiLevelType w:val="hybridMultilevel"/>
    <w:tmpl w:val="2618CE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A4BC4"/>
    <w:multiLevelType w:val="hybridMultilevel"/>
    <w:tmpl w:val="7938F0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2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0"/>
  </w:num>
  <w:num w:numId="11">
    <w:abstractNumId w:val="24"/>
  </w:num>
  <w:num w:numId="12">
    <w:abstractNumId w:val="2"/>
  </w:num>
  <w:num w:numId="13">
    <w:abstractNumId w:val="11"/>
  </w:num>
  <w:num w:numId="14">
    <w:abstractNumId w:val="26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4"/>
  </w:num>
  <w:num w:numId="20">
    <w:abstractNumId w:val="3"/>
  </w:num>
  <w:num w:numId="21">
    <w:abstractNumId w:val="2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25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464A2"/>
    <w:rsid w:val="00070064"/>
    <w:rsid w:val="00071DA4"/>
    <w:rsid w:val="000768A3"/>
    <w:rsid w:val="00080040"/>
    <w:rsid w:val="000B727F"/>
    <w:rsid w:val="0010364E"/>
    <w:rsid w:val="001643DB"/>
    <w:rsid w:val="00171F2E"/>
    <w:rsid w:val="00187BFC"/>
    <w:rsid w:val="001C6BA5"/>
    <w:rsid w:val="001D74D0"/>
    <w:rsid w:val="001E4BBA"/>
    <w:rsid w:val="002340D2"/>
    <w:rsid w:val="00331D43"/>
    <w:rsid w:val="00343A8F"/>
    <w:rsid w:val="003F06FB"/>
    <w:rsid w:val="00422651"/>
    <w:rsid w:val="00427E2D"/>
    <w:rsid w:val="004D7979"/>
    <w:rsid w:val="004E4BB4"/>
    <w:rsid w:val="005051B9"/>
    <w:rsid w:val="00530E45"/>
    <w:rsid w:val="005511C3"/>
    <w:rsid w:val="005A0D53"/>
    <w:rsid w:val="00600F43"/>
    <w:rsid w:val="00610ACD"/>
    <w:rsid w:val="0062736E"/>
    <w:rsid w:val="00667CE6"/>
    <w:rsid w:val="00693743"/>
    <w:rsid w:val="006B0D57"/>
    <w:rsid w:val="006F29F5"/>
    <w:rsid w:val="006F49EA"/>
    <w:rsid w:val="00702FF6"/>
    <w:rsid w:val="0078435B"/>
    <w:rsid w:val="007A7738"/>
    <w:rsid w:val="007C168B"/>
    <w:rsid w:val="007E2BBA"/>
    <w:rsid w:val="00802EE2"/>
    <w:rsid w:val="00820D93"/>
    <w:rsid w:val="00833C83"/>
    <w:rsid w:val="0083747B"/>
    <w:rsid w:val="00842F2E"/>
    <w:rsid w:val="00844521"/>
    <w:rsid w:val="008637CE"/>
    <w:rsid w:val="00876E19"/>
    <w:rsid w:val="00896B19"/>
    <w:rsid w:val="008E3C7C"/>
    <w:rsid w:val="00941198"/>
    <w:rsid w:val="00963B22"/>
    <w:rsid w:val="009864CE"/>
    <w:rsid w:val="009C170D"/>
    <w:rsid w:val="009F10A6"/>
    <w:rsid w:val="00A0732C"/>
    <w:rsid w:val="00A17D4C"/>
    <w:rsid w:val="00A50E68"/>
    <w:rsid w:val="00A57A39"/>
    <w:rsid w:val="00AD78E8"/>
    <w:rsid w:val="00B6547D"/>
    <w:rsid w:val="00BD07FB"/>
    <w:rsid w:val="00C75C7E"/>
    <w:rsid w:val="00CB2006"/>
    <w:rsid w:val="00CC63C8"/>
    <w:rsid w:val="00CF0947"/>
    <w:rsid w:val="00CF4E65"/>
    <w:rsid w:val="00D60189"/>
    <w:rsid w:val="00DF6517"/>
    <w:rsid w:val="00E85FD1"/>
    <w:rsid w:val="00EF296F"/>
    <w:rsid w:val="00F211FC"/>
    <w:rsid w:val="00F52CAF"/>
    <w:rsid w:val="00F63F9F"/>
    <w:rsid w:val="00F72631"/>
    <w:rsid w:val="00FC0F5A"/>
    <w:rsid w:val="00FC1093"/>
    <w:rsid w:val="00FC18CA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Normaalweb">
    <w:name w:val="Normal (Web)"/>
    <w:basedOn w:val="Standaard"/>
    <w:uiPriority w:val="99"/>
    <w:unhideWhenUsed/>
    <w:rsid w:val="001643DB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Geenafstand">
    <w:name w:val="No Spacing"/>
    <w:uiPriority w:val="1"/>
    <w:qFormat/>
    <w:rsid w:val="001643DB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64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164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3D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F63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Normaalweb">
    <w:name w:val="Normal (Web)"/>
    <w:basedOn w:val="Standaard"/>
    <w:uiPriority w:val="99"/>
    <w:unhideWhenUsed/>
    <w:rsid w:val="001643DB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Geenafstand">
    <w:name w:val="No Spacing"/>
    <w:uiPriority w:val="1"/>
    <w:qFormat/>
    <w:rsid w:val="001643DB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64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164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3D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F6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b.be/nl/over-vib/organisatie/Paginas/missie-en-doele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b.be/pub/03_00_00_00_00/03_01_01_00_00.htm?l=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b.be/en/business-opportunities/spinoff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4010</CharactersWithSpaces>
  <SharedDoc>false</SharedDoc>
  <HLinks>
    <vt:vector size="18" baseType="variant">
      <vt:variant>
        <vt:i4>3080224</vt:i4>
      </vt:variant>
      <vt:variant>
        <vt:i4>6</vt:i4>
      </vt:variant>
      <vt:variant>
        <vt:i4>0</vt:i4>
      </vt:variant>
      <vt:variant>
        <vt:i4>5</vt:i4>
      </vt:variant>
      <vt:variant>
        <vt:lpwstr>http://www.vib.be/nl/over-vib/organisatie/Paginas/missie-en-doelen.aspx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http://www.nbb.be/pub/03_00_00_00_00/03_01_01_00_00.htm?l=nl</vt:lpwstr>
      </vt:variant>
      <vt:variant>
        <vt:lpwstr/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http://www.vib.be/en/business-opportunities/spinoffs/Pages/default.aspx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Paula Mortelmans</cp:lastModifiedBy>
  <cp:revision>3</cp:revision>
  <cp:lastPrinted>2013-06-20T18:17:00Z</cp:lastPrinted>
  <dcterms:created xsi:type="dcterms:W3CDTF">2013-09-09T11:53:00Z</dcterms:created>
  <dcterms:modified xsi:type="dcterms:W3CDTF">2013-09-09T11:53:00Z</dcterms:modified>
</cp:coreProperties>
</file>