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677C7F" w:rsidP="00D60BD3">
      <w:pPr>
        <w:pStyle w:val="A-NaamMinister"/>
      </w:pPr>
      <w:r>
        <w:t>i</w:t>
      </w:r>
      <w:r>
        <w:rPr>
          <w:noProof/>
        </w:rPr>
        <w:t>ngrid lieten</w:t>
      </w:r>
    </w:p>
    <w:p w:rsidR="00DE7C03" w:rsidRDefault="00677C7F" w:rsidP="00C71CC7">
      <w:pPr>
        <w:pStyle w:val="A-TitelMinister"/>
        <w:outlineLvl w:val="0"/>
      </w:pPr>
      <w:r>
        <w:t>viceminister-president van de vlaamse regering, vlaams minister van innovatie, overheidsinvesteringen, media en armoedebestrijding</w:t>
      </w:r>
    </w:p>
    <w:p w:rsidR="00DE7C03" w:rsidRDefault="005A71EE">
      <w:pPr>
        <w:rPr>
          <w:szCs w:val="22"/>
        </w:rPr>
      </w:pPr>
    </w:p>
    <w:p w:rsidR="00DE7C03" w:rsidRDefault="005A71EE">
      <w:pPr>
        <w:pStyle w:val="A-Lijn"/>
      </w:pPr>
    </w:p>
    <w:p w:rsidR="00DE7C03" w:rsidRDefault="005A71EE">
      <w:pPr>
        <w:sectPr w:rsidR="00DE7C03">
          <w:pgSz w:w="11905" w:h="16837"/>
          <w:pgMar w:top="1417" w:right="1417" w:bottom="1417" w:left="1417" w:header="708" w:footer="708" w:gutter="0"/>
          <w:cols w:space="708"/>
          <w:rtlGutter/>
          <w:docGrid w:linePitch="360"/>
        </w:sectPr>
      </w:pPr>
    </w:p>
    <w:p w:rsidR="00DE7C03" w:rsidRDefault="00677C7F"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677C7F">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445</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5</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3"/>
    </w:p>
    <w:p w:rsidR="00DE7C03" w:rsidRDefault="00677C7F">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proofErr w:type="spellStart"/>
      <w:r w:rsidR="005A71EE">
        <w:rPr>
          <w:b/>
          <w:smallCaps/>
        </w:rPr>
        <w:t>v</w:t>
      </w:r>
      <w:r>
        <w:rPr>
          <w:b/>
          <w:smallCaps/>
        </w:rPr>
        <w:t>eli</w:t>
      </w:r>
      <w:proofErr w:type="spellEnd"/>
      <w:r>
        <w:rPr>
          <w:b/>
          <w:smallCaps/>
        </w:rPr>
        <w:t xml:space="preserve"> </w:t>
      </w:r>
      <w:proofErr w:type="spellStart"/>
      <w:r w:rsidR="005A71EE">
        <w:rPr>
          <w:b/>
          <w:smallCaps/>
        </w:rPr>
        <w:t>y</w:t>
      </w:r>
      <w:r>
        <w:rPr>
          <w:b/>
          <w:smallCaps/>
        </w:rPr>
        <w:t>üksel</w:t>
      </w:r>
      <w:proofErr w:type="spellEnd"/>
      <w:r w:rsidRPr="00E441DB">
        <w:rPr>
          <w:b/>
          <w:smallCaps/>
        </w:rPr>
        <w:fldChar w:fldCharType="end"/>
      </w:r>
    </w:p>
    <w:p w:rsidR="00DE7C03" w:rsidRDefault="005A71EE">
      <w:pPr>
        <w:rPr>
          <w:szCs w:val="22"/>
        </w:rPr>
      </w:pPr>
    </w:p>
    <w:p w:rsidR="00DE7C03" w:rsidRDefault="005A71EE" w:rsidP="006A5646">
      <w:pPr>
        <w:pStyle w:val="A-Lijn"/>
        <w:jc w:val="both"/>
      </w:pPr>
    </w:p>
    <w:p w:rsidR="00DE7C03" w:rsidRDefault="005A71EE" w:rsidP="006A5646">
      <w:pPr>
        <w:pStyle w:val="A-Lijn"/>
        <w:jc w:val="both"/>
      </w:pPr>
    </w:p>
    <w:p w:rsidR="00DE7C03" w:rsidRDefault="005A71EE"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677C7F" w:rsidP="00AF1EA4">
      <w:pPr>
        <w:jc w:val="both"/>
        <w:rPr>
          <w:szCs w:val="22"/>
        </w:rPr>
      </w:pPr>
      <w:r>
        <w:rPr>
          <w:szCs w:val="22"/>
        </w:rPr>
        <w:lastRenderedPageBreak/>
        <w:t>Ik heb naar aanleiding van uw vragen de VRT om elementen van antwoord gevraagd.</w:t>
      </w:r>
    </w:p>
    <w:p w:rsidR="000962D4" w:rsidRDefault="005A71EE" w:rsidP="00AF1EA4">
      <w:pPr>
        <w:jc w:val="both"/>
      </w:pPr>
    </w:p>
    <w:p w:rsidR="00677C7F" w:rsidRDefault="00677C7F" w:rsidP="00677C7F">
      <w:pPr>
        <w:pStyle w:val="Lijstnummering"/>
        <w:jc w:val="both"/>
      </w:pPr>
      <w:r>
        <w:t>De VRT maakt in haar jaarverslag elk jaar het bedrag bekend van de uitgezonden sportrechten</w:t>
      </w:r>
    </w:p>
    <w:p w:rsidR="00677C7F" w:rsidRDefault="00677C7F" w:rsidP="00677C7F">
      <w:pPr>
        <w:pStyle w:val="StandaardSV"/>
        <w:ind w:left="360"/>
      </w:pPr>
    </w:p>
    <w:tbl>
      <w:tblPr>
        <w:tblW w:w="43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3518"/>
      </w:tblGrid>
      <w:tr w:rsidR="00677C7F" w:rsidRPr="00377C9D" w:rsidTr="000030B2">
        <w:trPr>
          <w:trHeight w:val="791"/>
        </w:trPr>
        <w:tc>
          <w:tcPr>
            <w:tcW w:w="876" w:type="dxa"/>
            <w:shd w:val="clear" w:color="auto" w:fill="auto"/>
            <w:hideMark/>
          </w:tcPr>
          <w:p w:rsidR="00677C7F" w:rsidRPr="00377C9D" w:rsidRDefault="00677C7F" w:rsidP="000030B2">
            <w:pPr>
              <w:pStyle w:val="StandaardSV"/>
            </w:pPr>
            <w:r w:rsidRPr="00377C9D">
              <w:t>JAAR</w:t>
            </w:r>
          </w:p>
        </w:tc>
        <w:tc>
          <w:tcPr>
            <w:tcW w:w="3518" w:type="dxa"/>
            <w:shd w:val="clear" w:color="auto" w:fill="auto"/>
            <w:hideMark/>
          </w:tcPr>
          <w:p w:rsidR="00677C7F" w:rsidRDefault="00677C7F" w:rsidP="000030B2">
            <w:pPr>
              <w:pStyle w:val="StandaardSV"/>
              <w:jc w:val="left"/>
            </w:pPr>
            <w:r>
              <w:t>T</w:t>
            </w:r>
            <w:r w:rsidRPr="00377C9D">
              <w:t>otaal uitgezonden rechten</w:t>
            </w:r>
          </w:p>
          <w:p w:rsidR="00677C7F" w:rsidRPr="00377C9D" w:rsidRDefault="00677C7F" w:rsidP="000030B2">
            <w:pPr>
              <w:pStyle w:val="StandaardSV"/>
              <w:jc w:val="left"/>
            </w:pPr>
            <w:r>
              <w:t>(bron: VRT-Jaarverslag)</w:t>
            </w:r>
          </w:p>
        </w:tc>
      </w:tr>
      <w:tr w:rsidR="00677C7F" w:rsidRPr="00377C9D" w:rsidTr="000030B2">
        <w:trPr>
          <w:trHeight w:val="315"/>
        </w:trPr>
        <w:tc>
          <w:tcPr>
            <w:tcW w:w="876" w:type="dxa"/>
            <w:shd w:val="clear" w:color="auto" w:fill="auto"/>
            <w:hideMark/>
          </w:tcPr>
          <w:p w:rsidR="00677C7F" w:rsidRPr="00377C9D" w:rsidRDefault="00677C7F" w:rsidP="000030B2">
            <w:pPr>
              <w:pStyle w:val="StandaardSV"/>
            </w:pPr>
            <w:r w:rsidRPr="00377C9D">
              <w:t>2008</w:t>
            </w:r>
          </w:p>
        </w:tc>
        <w:tc>
          <w:tcPr>
            <w:tcW w:w="3518" w:type="dxa"/>
            <w:shd w:val="clear" w:color="auto" w:fill="auto"/>
            <w:noWrap/>
            <w:hideMark/>
          </w:tcPr>
          <w:p w:rsidR="00677C7F" w:rsidRPr="00377C9D" w:rsidRDefault="00677C7F" w:rsidP="000030B2">
            <w:pPr>
              <w:pStyle w:val="StandaardSV"/>
              <w:jc w:val="center"/>
            </w:pPr>
            <w:r w:rsidRPr="00377C9D">
              <w:t>16,5</w:t>
            </w:r>
          </w:p>
        </w:tc>
      </w:tr>
      <w:tr w:rsidR="00677C7F" w:rsidRPr="00377C9D" w:rsidTr="000030B2">
        <w:trPr>
          <w:trHeight w:val="315"/>
        </w:trPr>
        <w:tc>
          <w:tcPr>
            <w:tcW w:w="876" w:type="dxa"/>
            <w:shd w:val="clear" w:color="auto" w:fill="auto"/>
            <w:hideMark/>
          </w:tcPr>
          <w:p w:rsidR="00677C7F" w:rsidRPr="00377C9D" w:rsidRDefault="00677C7F" w:rsidP="000030B2">
            <w:pPr>
              <w:pStyle w:val="StandaardSV"/>
            </w:pPr>
            <w:r w:rsidRPr="00377C9D">
              <w:t>2009</w:t>
            </w:r>
          </w:p>
        </w:tc>
        <w:tc>
          <w:tcPr>
            <w:tcW w:w="3518" w:type="dxa"/>
            <w:shd w:val="clear" w:color="auto" w:fill="auto"/>
            <w:noWrap/>
            <w:hideMark/>
          </w:tcPr>
          <w:p w:rsidR="00677C7F" w:rsidRPr="00377C9D" w:rsidRDefault="00677C7F" w:rsidP="000030B2">
            <w:pPr>
              <w:pStyle w:val="StandaardSV"/>
              <w:jc w:val="center"/>
            </w:pPr>
            <w:r w:rsidRPr="00377C9D">
              <w:t>13,4</w:t>
            </w:r>
          </w:p>
        </w:tc>
      </w:tr>
      <w:tr w:rsidR="00677C7F" w:rsidRPr="00377C9D" w:rsidTr="000030B2">
        <w:trPr>
          <w:trHeight w:val="315"/>
        </w:trPr>
        <w:tc>
          <w:tcPr>
            <w:tcW w:w="876" w:type="dxa"/>
            <w:shd w:val="clear" w:color="auto" w:fill="auto"/>
            <w:hideMark/>
          </w:tcPr>
          <w:p w:rsidR="00677C7F" w:rsidRPr="00377C9D" w:rsidRDefault="00677C7F" w:rsidP="000030B2">
            <w:pPr>
              <w:pStyle w:val="StandaardSV"/>
            </w:pPr>
            <w:r w:rsidRPr="00377C9D">
              <w:t>2010</w:t>
            </w:r>
          </w:p>
        </w:tc>
        <w:tc>
          <w:tcPr>
            <w:tcW w:w="3518" w:type="dxa"/>
            <w:shd w:val="clear" w:color="auto" w:fill="auto"/>
            <w:noWrap/>
            <w:hideMark/>
          </w:tcPr>
          <w:p w:rsidR="00677C7F" w:rsidRPr="00377C9D" w:rsidRDefault="00677C7F" w:rsidP="000030B2">
            <w:pPr>
              <w:pStyle w:val="StandaardSV"/>
              <w:jc w:val="center"/>
            </w:pPr>
            <w:r w:rsidRPr="00377C9D">
              <w:t>21,2</w:t>
            </w:r>
          </w:p>
        </w:tc>
      </w:tr>
      <w:tr w:rsidR="00677C7F" w:rsidRPr="00377C9D" w:rsidTr="000030B2">
        <w:trPr>
          <w:trHeight w:val="315"/>
        </w:trPr>
        <w:tc>
          <w:tcPr>
            <w:tcW w:w="876" w:type="dxa"/>
            <w:shd w:val="clear" w:color="auto" w:fill="auto"/>
            <w:hideMark/>
          </w:tcPr>
          <w:p w:rsidR="00677C7F" w:rsidRPr="00377C9D" w:rsidRDefault="00677C7F" w:rsidP="000030B2">
            <w:pPr>
              <w:pStyle w:val="StandaardSV"/>
            </w:pPr>
            <w:r w:rsidRPr="00377C9D">
              <w:t>2011</w:t>
            </w:r>
          </w:p>
        </w:tc>
        <w:tc>
          <w:tcPr>
            <w:tcW w:w="3518" w:type="dxa"/>
            <w:shd w:val="clear" w:color="auto" w:fill="auto"/>
            <w:noWrap/>
            <w:hideMark/>
          </w:tcPr>
          <w:p w:rsidR="00677C7F" w:rsidRPr="00377C9D" w:rsidRDefault="00677C7F" w:rsidP="000030B2">
            <w:pPr>
              <w:pStyle w:val="StandaardSV"/>
              <w:jc w:val="center"/>
            </w:pPr>
            <w:r w:rsidRPr="00377C9D">
              <w:t>9,8</w:t>
            </w:r>
          </w:p>
        </w:tc>
      </w:tr>
      <w:tr w:rsidR="00677C7F" w:rsidRPr="00377C9D" w:rsidTr="000030B2">
        <w:trPr>
          <w:trHeight w:val="315"/>
        </w:trPr>
        <w:tc>
          <w:tcPr>
            <w:tcW w:w="876" w:type="dxa"/>
            <w:shd w:val="clear" w:color="auto" w:fill="auto"/>
            <w:hideMark/>
          </w:tcPr>
          <w:p w:rsidR="00677C7F" w:rsidRPr="00377C9D" w:rsidRDefault="00677C7F" w:rsidP="000030B2">
            <w:pPr>
              <w:pStyle w:val="StandaardSV"/>
            </w:pPr>
            <w:r w:rsidRPr="00377C9D">
              <w:t>2012</w:t>
            </w:r>
          </w:p>
        </w:tc>
        <w:tc>
          <w:tcPr>
            <w:tcW w:w="3518" w:type="dxa"/>
            <w:shd w:val="clear" w:color="auto" w:fill="auto"/>
            <w:noWrap/>
            <w:hideMark/>
          </w:tcPr>
          <w:p w:rsidR="00677C7F" w:rsidRPr="00377C9D" w:rsidRDefault="00677C7F" w:rsidP="000030B2">
            <w:pPr>
              <w:pStyle w:val="StandaardSV"/>
              <w:jc w:val="center"/>
            </w:pPr>
            <w:r w:rsidRPr="00377C9D">
              <w:t>13,2</w:t>
            </w:r>
          </w:p>
        </w:tc>
      </w:tr>
    </w:tbl>
    <w:p w:rsidR="00677C7F" w:rsidRDefault="00677C7F" w:rsidP="00677C7F">
      <w:pPr>
        <w:pStyle w:val="StandaardSV"/>
        <w:ind w:left="360"/>
      </w:pPr>
    </w:p>
    <w:p w:rsidR="00677C7F" w:rsidRDefault="00677C7F" w:rsidP="00677C7F">
      <w:pPr>
        <w:pStyle w:val="StandaardSV"/>
        <w:ind w:left="426"/>
      </w:pPr>
      <w:r>
        <w:t>In deze bedragen is het bedrag opgenomen van het sportrechtenbudget van de reguliere sportwedstrijden en het bedrag van het sportrechtenbudget van de vierjaarlijkse sportevenementen (Olympische Spelen (zomer &amp; winter), WK voetbal, EK voetbal). Deze vierjaarlijkse sportevenementen (waarvan de VRT de uitzendrechten had) waren in de periode 2008-2012 concreet:</w:t>
      </w:r>
    </w:p>
    <w:p w:rsidR="00677C7F" w:rsidRDefault="00677C7F" w:rsidP="00677C7F">
      <w:pPr>
        <w:pStyle w:val="StandaardSV"/>
        <w:ind w:left="426"/>
      </w:pPr>
      <w:r>
        <w:t>- 2008: Olympische Spelen</w:t>
      </w:r>
    </w:p>
    <w:p w:rsidR="00677C7F" w:rsidRDefault="00677C7F" w:rsidP="00677C7F">
      <w:pPr>
        <w:pStyle w:val="StandaardSV"/>
        <w:ind w:left="426"/>
      </w:pPr>
      <w:r>
        <w:t>- 2010: Olympische Winterspelen + WK voetbal</w:t>
      </w:r>
    </w:p>
    <w:p w:rsidR="00677C7F" w:rsidRDefault="00677C7F" w:rsidP="00677C7F">
      <w:pPr>
        <w:pStyle w:val="StandaardSV"/>
        <w:ind w:left="426"/>
      </w:pPr>
      <w:r>
        <w:t>- 2012: Olympische Spelen + EK voetbal</w:t>
      </w:r>
    </w:p>
    <w:p w:rsidR="00677C7F" w:rsidRDefault="00677C7F" w:rsidP="00677C7F">
      <w:pPr>
        <w:pStyle w:val="StandaardSV"/>
        <w:ind w:left="360"/>
      </w:pPr>
    </w:p>
    <w:p w:rsidR="00CD03AE" w:rsidRDefault="00677C7F" w:rsidP="00677C7F">
      <w:pPr>
        <w:pStyle w:val="StandaardSV"/>
        <w:ind w:left="426"/>
      </w:pPr>
      <w:r>
        <w:t xml:space="preserve">Het sportrechtenbudget dat besteed werd aan de reguliere sportwedstrijden daalde in de periode 2008-2012 met 40% (m.a.w. zonder de </w:t>
      </w:r>
      <w:proofErr w:type="spellStart"/>
      <w:r>
        <w:t>budgetten</w:t>
      </w:r>
      <w:proofErr w:type="spellEnd"/>
      <w:r>
        <w:t xml:space="preserve"> voor de vierjaarlijkse sportevenementen). </w:t>
      </w:r>
    </w:p>
    <w:p w:rsidR="00CD03AE" w:rsidRDefault="00CD03AE" w:rsidP="00677C7F">
      <w:pPr>
        <w:pStyle w:val="StandaardSV"/>
        <w:ind w:left="426"/>
      </w:pPr>
    </w:p>
    <w:p w:rsidR="00AD5066" w:rsidRDefault="000D3FF5" w:rsidP="00677C7F">
      <w:pPr>
        <w:pStyle w:val="StandaardSV"/>
        <w:ind w:left="426"/>
      </w:pPr>
      <w:r>
        <w:t xml:space="preserve">De belangrijkste reden </w:t>
      </w:r>
      <w:r w:rsidR="005D5314">
        <w:t>waar</w:t>
      </w:r>
      <w:r w:rsidR="009A1817" w:rsidRPr="009A1817">
        <w:t xml:space="preserve">om het sportbudget </w:t>
      </w:r>
      <w:r w:rsidR="005D5314">
        <w:t>is</w:t>
      </w:r>
      <w:r w:rsidR="009A1817" w:rsidRPr="009A1817">
        <w:t xml:space="preserve"> verminder</w:t>
      </w:r>
      <w:r w:rsidR="005D5314">
        <w:t>d</w:t>
      </w:r>
      <w:r w:rsidR="009A1817" w:rsidRPr="009A1817">
        <w:t xml:space="preserve"> was de algemene besparingen waarmee de VRT geconfronteerd werd.</w:t>
      </w:r>
      <w:r w:rsidR="009A1817">
        <w:t xml:space="preserve">  </w:t>
      </w:r>
      <w:r w:rsidR="005D5314">
        <w:t>en</w:t>
      </w:r>
      <w:r w:rsidR="00677C7F">
        <w:t xml:space="preserve"> het wegvallen van de rechten op de samenvattingsmagazines voor de </w:t>
      </w:r>
      <w:proofErr w:type="spellStart"/>
      <w:r w:rsidR="00677C7F">
        <w:t>Jupiler</w:t>
      </w:r>
      <w:proofErr w:type="spellEnd"/>
      <w:r w:rsidR="00677C7F">
        <w:t xml:space="preserve"> Pro League</w:t>
      </w:r>
      <w:r w:rsidR="005D5314">
        <w:t xml:space="preserve"> voetbal</w:t>
      </w:r>
      <w:r w:rsidR="00677C7F">
        <w:t>.</w:t>
      </w:r>
      <w:r w:rsidR="00AD5066" w:rsidRPr="00AD5066">
        <w:t xml:space="preserve"> </w:t>
      </w:r>
    </w:p>
    <w:p w:rsidR="00677C7F" w:rsidRDefault="00677C7F" w:rsidP="00677C7F">
      <w:pPr>
        <w:pStyle w:val="StandaardSV"/>
        <w:ind w:left="360"/>
      </w:pPr>
    </w:p>
    <w:p w:rsidR="00677C7F" w:rsidRDefault="00677C7F" w:rsidP="00677C7F">
      <w:pPr>
        <w:pStyle w:val="Lijstnummering"/>
        <w:jc w:val="both"/>
      </w:pPr>
      <w:r>
        <w:t>De belangrijkste veranderingen vonden plaats in de periode 2009-2011. Toen werden diverse rechten geschrapt uit het budget (met structurele uitlopers in 2012 en volgende jaren).</w:t>
      </w:r>
    </w:p>
    <w:p w:rsidR="00677C7F" w:rsidRDefault="00677C7F" w:rsidP="00677C7F">
      <w:pPr>
        <w:pStyle w:val="StandaardSV"/>
        <w:ind w:left="357"/>
      </w:pPr>
      <w:r>
        <w:t xml:space="preserve">Zo had de VRT niet langer de rechten voor </w:t>
      </w:r>
      <w:r w:rsidRPr="00895645">
        <w:rPr>
          <w:i/>
        </w:rPr>
        <w:t>Studio 1</w:t>
      </w:r>
      <w:r>
        <w:t xml:space="preserve"> (wat de noemer was van de samenvattingsmagazines voor de </w:t>
      </w:r>
      <w:proofErr w:type="spellStart"/>
      <w:r>
        <w:t>Jupiler</w:t>
      </w:r>
      <w:proofErr w:type="spellEnd"/>
      <w:r>
        <w:t xml:space="preserve"> Pro League). Van verschillende tennisevenementen zoals </w:t>
      </w:r>
      <w:proofErr w:type="spellStart"/>
      <w:r>
        <w:t>Fed</w:t>
      </w:r>
      <w:proofErr w:type="spellEnd"/>
      <w:r>
        <w:t xml:space="preserve"> Cup, Davis Cup, </w:t>
      </w:r>
      <w:proofErr w:type="spellStart"/>
      <w:r>
        <w:t>Australian</w:t>
      </w:r>
      <w:proofErr w:type="spellEnd"/>
      <w:r>
        <w:t xml:space="preserve"> Open, US Open en Wimbledon en de WTA-toernooien werden de uitzendrechten fors teruggeschroefd. Ook Formule 1 en het WK motorcross werden geschrapt uit het sportaanbod.</w:t>
      </w:r>
    </w:p>
    <w:p w:rsidR="00677C7F" w:rsidRDefault="00677C7F" w:rsidP="00677C7F">
      <w:pPr>
        <w:pStyle w:val="StandaardSV"/>
        <w:ind w:left="357"/>
      </w:pPr>
      <w:r>
        <w:t>Daarnaast zijn er ook productionele besparingen doorgevoerd, zoals minder camera’s bij een reeks captaties of een beperkte delegatie van journalisten bij de Olympische Winterspelen van Vancouver.</w:t>
      </w:r>
    </w:p>
    <w:p w:rsidR="00677C7F" w:rsidRDefault="00677C7F" w:rsidP="00677C7F">
      <w:pPr>
        <w:pStyle w:val="StandaardSV"/>
        <w:ind w:left="360"/>
      </w:pPr>
    </w:p>
    <w:p w:rsidR="00677C7F" w:rsidRDefault="00677C7F" w:rsidP="00677C7F">
      <w:pPr>
        <w:pStyle w:val="Lijstnummering"/>
        <w:jc w:val="both"/>
      </w:pPr>
      <w:r>
        <w:t>Zoals opgenomen in het antwoord op deelvraag 1 was de belangrijkste reden om te “knippen” in het sportbudget de algemene besparingen waarmee de VRT geconfronteerd werd.</w:t>
      </w:r>
    </w:p>
    <w:p w:rsidR="00677C7F" w:rsidRDefault="00677C7F" w:rsidP="00677C7F">
      <w:pPr>
        <w:pStyle w:val="StandaardSV"/>
        <w:ind w:left="360"/>
      </w:pPr>
    </w:p>
    <w:p w:rsidR="00677C7F" w:rsidRDefault="00677C7F" w:rsidP="00677C7F">
      <w:pPr>
        <w:pStyle w:val="Lijstnummering"/>
        <w:jc w:val="both"/>
      </w:pPr>
      <w:r>
        <w:t>De besparing verminderde niet het aantal sporten dat op de openbare omroep aan bod komt.</w:t>
      </w:r>
    </w:p>
    <w:p w:rsidR="00677C7F" w:rsidRDefault="00677C7F" w:rsidP="00677C7F">
      <w:pPr>
        <w:pStyle w:val="StandaardSV"/>
        <w:ind w:left="357"/>
      </w:pPr>
      <w:r>
        <w:t>Wel is het aantal uren live verslaggeving van bepaalde sporten sterk verminderd of stopgezet (zoals tennis, Formule 1, motorcross</w:t>
      </w:r>
      <w:r w:rsidR="00CA6B8A">
        <w:t>)</w:t>
      </w:r>
      <w:r>
        <w:t>. Ook het aantal uren live verslaggeving van basketbal is sterk verminderd, omdat Belgacom daarvan de exc</w:t>
      </w:r>
      <w:r w:rsidR="00CA6B8A">
        <w:t>lusieve rechten heeft verworven</w:t>
      </w:r>
      <w:r>
        <w:t xml:space="preserve">. Door het wegvallen van de samenvattingsprogramma’s van de </w:t>
      </w:r>
      <w:proofErr w:type="spellStart"/>
      <w:r>
        <w:t>Jupiler</w:t>
      </w:r>
      <w:proofErr w:type="spellEnd"/>
      <w:r>
        <w:t xml:space="preserve"> Pro League is er uiteraard ook minder aandacht voor voetbal.</w:t>
      </w:r>
    </w:p>
    <w:p w:rsidR="00677C7F" w:rsidRDefault="00677C7F" w:rsidP="00677C7F">
      <w:pPr>
        <w:pStyle w:val="StandaardSV"/>
        <w:ind w:left="357"/>
      </w:pPr>
      <w:r>
        <w:t>Sporten die live minder aan bod kwamen worden wel nog behandeld in de journaals en in andere, niet-sportprogramma’s, en op de radio en de digitale platformen.</w:t>
      </w:r>
    </w:p>
    <w:p w:rsidR="00677C7F" w:rsidRDefault="00677C7F" w:rsidP="00677C7F">
      <w:pPr>
        <w:pStyle w:val="StandaardSV"/>
        <w:ind w:left="357"/>
      </w:pPr>
      <w:r>
        <w:t xml:space="preserve">Live verslaggeving is niet de enige manier om aandacht voor sport te brengen. De niet-sportprogramma’s op televisie spelen een grote rol in het geven van aandacht voor sport, sporters en sportbeoefening in het algemeen. Zo waren er in de periode januari-mei 2013 ruim 300 items (interviews, reportages, bijdragen) over sport of met sporters in diverse programma’s zoals </w:t>
      </w:r>
      <w:r w:rsidRPr="00A47B0C">
        <w:rPr>
          <w:i/>
        </w:rPr>
        <w:t xml:space="preserve">Café </w:t>
      </w:r>
      <w:proofErr w:type="spellStart"/>
      <w:r w:rsidRPr="00A47B0C">
        <w:rPr>
          <w:i/>
        </w:rPr>
        <w:t>Corsari</w:t>
      </w:r>
      <w:proofErr w:type="spellEnd"/>
      <w:r w:rsidRPr="00A47B0C">
        <w:rPr>
          <w:i/>
        </w:rPr>
        <w:t xml:space="preserve">, </w:t>
      </w:r>
      <w:proofErr w:type="spellStart"/>
      <w:r w:rsidRPr="00A47B0C">
        <w:rPr>
          <w:i/>
        </w:rPr>
        <w:t>Terzake</w:t>
      </w:r>
      <w:proofErr w:type="spellEnd"/>
      <w:r w:rsidRPr="00A47B0C">
        <w:rPr>
          <w:i/>
        </w:rPr>
        <w:t>, De zevende dag, Iedereen beroemd</w:t>
      </w:r>
      <w:r>
        <w:t xml:space="preserve"> en </w:t>
      </w:r>
      <w:r w:rsidRPr="00A47B0C">
        <w:rPr>
          <w:i/>
        </w:rPr>
        <w:t>Vlaanderen Vakantieland</w:t>
      </w:r>
      <w:r>
        <w:t>. Dat betekent dat op de VRT-televisie (naast de eigenlijke sportverslaggeving in de journaals en de live verslaggeving) gemiddeld nog op minstens twee momenten per dag aandacht gaat naar sport in andere programma’s voor een breed publiek.</w:t>
      </w:r>
      <w:bookmarkStart w:id="4" w:name="_GoBack"/>
      <w:bookmarkEnd w:id="4"/>
    </w:p>
    <w:sectPr w:rsidR="00677C7F"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87C74C0"/>
    <w:lvl w:ilvl="0">
      <w:start w:val="1"/>
      <w:numFmt w:val="decimal"/>
      <w:pStyle w:val="Lijstnummering"/>
      <w:lvlText w:val="%1."/>
      <w:lvlJc w:val="left"/>
      <w:pPr>
        <w:tabs>
          <w:tab w:val="num" w:pos="357"/>
        </w:tabs>
        <w:ind w:left="357" w:hanging="357"/>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7F"/>
    <w:rsid w:val="000D3FF5"/>
    <w:rsid w:val="002D470E"/>
    <w:rsid w:val="005A71EE"/>
    <w:rsid w:val="005D5314"/>
    <w:rsid w:val="00677C7F"/>
    <w:rsid w:val="008D11F2"/>
    <w:rsid w:val="009A1817"/>
    <w:rsid w:val="00AD5066"/>
    <w:rsid w:val="00CA6B8A"/>
    <w:rsid w:val="00CD03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customStyle="1" w:styleId="StandaardSV">
    <w:name w:val="Standaard SV"/>
    <w:basedOn w:val="Standaard"/>
    <w:link w:val="StandaardSVChar"/>
    <w:rsid w:val="00677C7F"/>
    <w:pPr>
      <w:suppressAutoHyphens w:val="0"/>
      <w:jc w:val="both"/>
    </w:pPr>
    <w:rPr>
      <w:szCs w:val="20"/>
      <w:lang w:eastAsia="nl-NL"/>
    </w:rPr>
  </w:style>
  <w:style w:type="character" w:customStyle="1" w:styleId="StandaardSVChar">
    <w:name w:val="Standaard SV Char"/>
    <w:link w:val="StandaardSV"/>
    <w:locked/>
    <w:rsid w:val="00677C7F"/>
    <w:rPr>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customStyle="1" w:styleId="StandaardSV">
    <w:name w:val="Standaard SV"/>
    <w:basedOn w:val="Standaard"/>
    <w:link w:val="StandaardSVChar"/>
    <w:rsid w:val="00677C7F"/>
    <w:pPr>
      <w:suppressAutoHyphens w:val="0"/>
      <w:jc w:val="both"/>
    </w:pPr>
    <w:rPr>
      <w:szCs w:val="20"/>
      <w:lang w:eastAsia="nl-NL"/>
    </w:rPr>
  </w:style>
  <w:style w:type="character" w:customStyle="1" w:styleId="StandaardSVChar">
    <w:name w:val="Standaard SV Char"/>
    <w:link w:val="StandaardSV"/>
    <w:locked/>
    <w:rsid w:val="00677C7F"/>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6</TotalTime>
  <Pages>2</Pages>
  <Words>568</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2013-07-01T12:57:00Z</dcterms:created>
  <dcterms:modified xsi:type="dcterms:W3CDTF">2013-07-05T10:56:00Z</dcterms:modified>
</cp:coreProperties>
</file>