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2903AC">
        <w:rPr>
          <w:b w:val="0"/>
          <w:noProof/>
        </w:rPr>
        <w:t>577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2903AC">
        <w:rPr>
          <w:b w:val="0"/>
          <w:noProof/>
        </w:rPr>
        <w:t>28</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890790">
        <w:rPr>
          <w:rStyle w:val="AntwoordNaamMinisterChar"/>
        </w:rPr>
        <w:t>sabine poleyn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6486C" w:rsidRPr="00550143" w:rsidRDefault="00890790" w:rsidP="00B64C87">
      <w:pPr>
        <w:pStyle w:val="Lijstalinea"/>
        <w:numPr>
          <w:ilvl w:val="1"/>
          <w:numId w:val="3"/>
        </w:numPr>
        <w:tabs>
          <w:tab w:val="clear" w:pos="1440"/>
          <w:tab w:val="left" w:pos="426"/>
        </w:tabs>
        <w:ind w:left="709" w:hanging="709"/>
        <w:jc w:val="both"/>
      </w:pPr>
      <w:r>
        <w:lastRenderedPageBreak/>
        <w:t>a)</w:t>
      </w:r>
      <w:r w:rsidR="00B64C87">
        <w:tab/>
      </w:r>
      <w:r w:rsidR="0016486C" w:rsidRPr="00550143">
        <w:t>Het programma een Leven Lang Leren biedt jongeren uit het secundair onderwijs volgende mogelijkheden om een buite</w:t>
      </w:r>
      <w:r w:rsidR="00F33385" w:rsidRPr="00550143">
        <w:t>n</w:t>
      </w:r>
      <w:r w:rsidR="0016486C" w:rsidRPr="00550143">
        <w:t>landse ervaring op te doen</w:t>
      </w:r>
    </w:p>
    <w:p w:rsidR="00EE3740" w:rsidRPr="00550143" w:rsidRDefault="004F0224" w:rsidP="00B64C87">
      <w:pPr>
        <w:pStyle w:val="Lijstalinea"/>
        <w:numPr>
          <w:ilvl w:val="0"/>
          <w:numId w:val="5"/>
        </w:numPr>
        <w:jc w:val="both"/>
      </w:pPr>
      <w:r w:rsidRPr="00550143">
        <w:t>Stage IVT</w:t>
      </w:r>
      <w:r w:rsidR="00EE3740" w:rsidRPr="00550143">
        <w:t xml:space="preserve"> in het Leonardo da Vinci programma</w:t>
      </w:r>
      <w:r w:rsidRPr="00550143">
        <w:t>: s</w:t>
      </w:r>
      <w:r w:rsidR="0016486C" w:rsidRPr="00550143">
        <w:t xml:space="preserve">tage in </w:t>
      </w:r>
      <w:r w:rsidR="00EE3740" w:rsidRPr="00550143">
        <w:t xml:space="preserve">bedrijven in </w:t>
      </w:r>
      <w:r w:rsidR="0016486C" w:rsidRPr="00550143">
        <w:t>het buitenland voor jongeren in</w:t>
      </w:r>
      <w:r w:rsidR="00EE3740" w:rsidRPr="00550143">
        <w:t xml:space="preserve"> “</w:t>
      </w:r>
      <w:proofErr w:type="spellStart"/>
      <w:r w:rsidR="00EE3740" w:rsidRPr="00550143">
        <w:t>initial</w:t>
      </w:r>
      <w:proofErr w:type="spellEnd"/>
      <w:r w:rsidR="00EE3740" w:rsidRPr="00550143">
        <w:t xml:space="preserve"> </w:t>
      </w:r>
      <w:proofErr w:type="spellStart"/>
      <w:r w:rsidR="00EE3740" w:rsidRPr="00550143">
        <w:t>vocational</w:t>
      </w:r>
      <w:proofErr w:type="spellEnd"/>
      <w:r w:rsidR="00EE3740" w:rsidRPr="00550143">
        <w:t xml:space="preserve"> training” (</w:t>
      </w:r>
      <w:r w:rsidR="0016486C" w:rsidRPr="00550143">
        <w:t>leerlingen uit het technisch en beroepsonderwijs</w:t>
      </w:r>
      <w:r w:rsidR="00EE3740" w:rsidRPr="00550143">
        <w:t>)</w:t>
      </w:r>
      <w:r w:rsidRPr="00550143">
        <w:t xml:space="preserve">. </w:t>
      </w:r>
    </w:p>
    <w:p w:rsidR="00CD2445" w:rsidRPr="00550143" w:rsidRDefault="0016486C" w:rsidP="00B64C87">
      <w:pPr>
        <w:pStyle w:val="Lijstalinea"/>
        <w:numPr>
          <w:ilvl w:val="0"/>
          <w:numId w:val="5"/>
        </w:numPr>
        <w:jc w:val="both"/>
      </w:pPr>
      <w:r w:rsidRPr="00550143">
        <w:t xml:space="preserve">Mobiliteiten in het kader van een partnerschap waaraan scholen deelnemen in het </w:t>
      </w:r>
      <w:proofErr w:type="spellStart"/>
      <w:r w:rsidRPr="00550143">
        <w:t>Comenius</w:t>
      </w:r>
      <w:proofErr w:type="spellEnd"/>
      <w:r w:rsidRPr="00550143">
        <w:t xml:space="preserve"> en het Leonardo da Vinci programma, de leerlingen kunnen deelnemen aan uitwisselingsactiviteiten</w:t>
      </w:r>
      <w:r w:rsidR="00EE3740" w:rsidRPr="00550143">
        <w:t>.</w:t>
      </w:r>
    </w:p>
    <w:p w:rsidR="002903AC" w:rsidRPr="00550143" w:rsidRDefault="00C6428F" w:rsidP="00B64C87">
      <w:pPr>
        <w:pStyle w:val="Lijstalinea"/>
        <w:numPr>
          <w:ilvl w:val="0"/>
          <w:numId w:val="5"/>
        </w:numPr>
        <w:jc w:val="both"/>
      </w:pPr>
      <w:r w:rsidRPr="00550143">
        <w:rPr>
          <w:lang w:val="nl-BE"/>
        </w:rPr>
        <w:t xml:space="preserve">IPM: </w:t>
      </w:r>
      <w:proofErr w:type="spellStart"/>
      <w:r w:rsidR="0016486C" w:rsidRPr="00550143">
        <w:rPr>
          <w:lang w:val="nl-BE"/>
        </w:rPr>
        <w:t>Individual</w:t>
      </w:r>
      <w:proofErr w:type="spellEnd"/>
      <w:r w:rsidR="0016486C" w:rsidRPr="00550143">
        <w:rPr>
          <w:lang w:val="nl-BE"/>
        </w:rPr>
        <w:t xml:space="preserve"> pupil </w:t>
      </w:r>
      <w:proofErr w:type="spellStart"/>
      <w:r w:rsidR="0016486C" w:rsidRPr="00550143">
        <w:rPr>
          <w:lang w:val="nl-BE"/>
        </w:rPr>
        <w:t>mobility</w:t>
      </w:r>
      <w:proofErr w:type="spellEnd"/>
      <w:r w:rsidR="0016486C" w:rsidRPr="00550143">
        <w:rPr>
          <w:lang w:val="nl-BE"/>
        </w:rPr>
        <w:t xml:space="preserve"> in het </w:t>
      </w:r>
      <w:proofErr w:type="spellStart"/>
      <w:r w:rsidR="0016486C" w:rsidRPr="00550143">
        <w:rPr>
          <w:lang w:val="nl-BE"/>
        </w:rPr>
        <w:t>Comenius</w:t>
      </w:r>
      <w:proofErr w:type="spellEnd"/>
      <w:r w:rsidR="0016486C" w:rsidRPr="00550143">
        <w:rPr>
          <w:lang w:val="nl-BE"/>
        </w:rPr>
        <w:t xml:space="preserve"> programma</w:t>
      </w:r>
      <w:r w:rsidRPr="00550143">
        <w:rPr>
          <w:lang w:val="nl-BE"/>
        </w:rPr>
        <w:t>:</w:t>
      </w:r>
      <w:r w:rsidR="00CD2445" w:rsidRPr="00550143">
        <w:rPr>
          <w:szCs w:val="22"/>
          <w:lang w:val="nl-BE"/>
        </w:rPr>
        <w:t xml:space="preserve"> sinds 2011-2012 kunnen Vlaamse leerlingen (vanaf 14 jaar) voor 2-10 maanden alleen naar een buitenlandse school om er les te volgen. Hun school organiseert daartoe een project. Vlaamse scholen kunnen ook buitenlandse leerlingen ontvangen. Qua budget gaat het hier om een eerder “kleine” actie binnen </w:t>
      </w:r>
      <w:proofErr w:type="spellStart"/>
      <w:r w:rsidR="00CD2445" w:rsidRPr="00550143">
        <w:rPr>
          <w:szCs w:val="22"/>
          <w:lang w:val="nl-BE"/>
        </w:rPr>
        <w:t>Comenius</w:t>
      </w:r>
      <w:proofErr w:type="spellEnd"/>
      <w:r w:rsidR="00CD2445" w:rsidRPr="00550143">
        <w:rPr>
          <w:szCs w:val="22"/>
          <w:lang w:val="nl-BE"/>
        </w:rPr>
        <w:t xml:space="preserve"> en dus ook om kleine aantallen deelnemende scholen en leerlingen.</w:t>
      </w:r>
    </w:p>
    <w:p w:rsidR="00CD2445" w:rsidRPr="00550143" w:rsidRDefault="00CD2445" w:rsidP="00FD5BF4">
      <w:pPr>
        <w:rPr>
          <w:lang w:val="nl-BE"/>
        </w:rPr>
      </w:pPr>
    </w:p>
    <w:p w:rsidR="0016486C" w:rsidRPr="00550143" w:rsidRDefault="002903AC" w:rsidP="00B64C87">
      <w:pPr>
        <w:ind w:left="708"/>
        <w:rPr>
          <w:lang w:val="nl-BE"/>
        </w:rPr>
      </w:pPr>
      <w:r w:rsidRPr="00550143">
        <w:rPr>
          <w:lang w:val="nl-BE"/>
        </w:rPr>
        <w:t>Dit geeft de v</w:t>
      </w:r>
      <w:r w:rsidR="00EE3740" w:rsidRPr="00550143">
        <w:rPr>
          <w:lang w:val="nl-BE"/>
        </w:rPr>
        <w:t>olgende cijfers:</w:t>
      </w:r>
    </w:p>
    <w:p w:rsidR="004F0224" w:rsidRPr="00550143" w:rsidRDefault="004F0224" w:rsidP="00B64C87">
      <w:pPr>
        <w:ind w:left="708"/>
        <w:rPr>
          <w:lang w:val="en-GB" w:eastAsia="nl-BE"/>
        </w:rPr>
      </w:pPr>
      <w:r w:rsidRPr="00550143">
        <w:rPr>
          <w:lang w:val="en-GB" w:eastAsia="nl-BE"/>
        </w:rPr>
        <w:t>Stages IVT</w:t>
      </w:r>
      <w:r w:rsidR="002903AC" w:rsidRPr="00550143">
        <w:rPr>
          <w:lang w:val="en-GB" w:eastAsia="nl-BE"/>
        </w:rPr>
        <w:t xml:space="preserve"> Leonardo da Vinci</w:t>
      </w:r>
      <w:r w:rsidRPr="00550143">
        <w:rPr>
          <w:lang w:val="en-GB" w:eastAsia="nl-BE"/>
        </w:rPr>
        <w:t>:</w:t>
      </w:r>
    </w:p>
    <w:p w:rsidR="00EE3740" w:rsidRDefault="00C6428F" w:rsidP="00B64C87">
      <w:pPr>
        <w:ind w:left="708"/>
      </w:pPr>
      <w:r w:rsidRPr="00550143">
        <w:t>De deelnemers doen hun stage op de werkvloer in buitenlandse bedrijven</w:t>
      </w:r>
    </w:p>
    <w:p w:rsidR="00B64C87" w:rsidRPr="00550143" w:rsidRDefault="00B64C87" w:rsidP="00B64C87">
      <w:pPr>
        <w:ind w:left="708"/>
      </w:pPr>
    </w:p>
    <w:tbl>
      <w:tblPr>
        <w:tblW w:w="0" w:type="auto"/>
        <w:tblInd w:w="108" w:type="dxa"/>
        <w:tblCellMar>
          <w:left w:w="0" w:type="dxa"/>
          <w:right w:w="0" w:type="dxa"/>
        </w:tblCellMar>
        <w:tblLook w:val="04A0" w:firstRow="1" w:lastRow="0" w:firstColumn="1" w:lastColumn="0" w:noHBand="0" w:noVBand="1"/>
      </w:tblPr>
      <w:tblGrid>
        <w:gridCol w:w="954"/>
        <w:gridCol w:w="954"/>
        <w:gridCol w:w="954"/>
        <w:gridCol w:w="954"/>
        <w:gridCol w:w="955"/>
        <w:gridCol w:w="955"/>
        <w:gridCol w:w="955"/>
      </w:tblGrid>
      <w:tr w:rsidR="00EE3740" w:rsidRPr="00550143" w:rsidTr="00EE3740">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2007</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2008</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2009</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2010</w:t>
            </w:r>
          </w:p>
        </w:tc>
        <w:tc>
          <w:tcPr>
            <w:tcW w:w="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2011</w:t>
            </w:r>
          </w:p>
        </w:tc>
        <w:tc>
          <w:tcPr>
            <w:tcW w:w="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2012</w:t>
            </w:r>
          </w:p>
        </w:tc>
        <w:tc>
          <w:tcPr>
            <w:tcW w:w="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2013</w:t>
            </w:r>
          </w:p>
        </w:tc>
      </w:tr>
      <w:tr w:rsidR="00EE3740" w:rsidRPr="00550143" w:rsidTr="00EE3740">
        <w:tc>
          <w:tcPr>
            <w:tcW w:w="954" w:type="dxa"/>
            <w:tcBorders>
              <w:top w:val="nil"/>
              <w:left w:val="single" w:sz="8" w:space="0" w:color="auto"/>
              <w:bottom w:val="nil"/>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421</w:t>
            </w:r>
          </w:p>
        </w:tc>
        <w:tc>
          <w:tcPr>
            <w:tcW w:w="954" w:type="dxa"/>
            <w:tcBorders>
              <w:top w:val="nil"/>
              <w:left w:val="nil"/>
              <w:bottom w:val="nil"/>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490</w:t>
            </w:r>
          </w:p>
        </w:tc>
        <w:tc>
          <w:tcPr>
            <w:tcW w:w="954" w:type="dxa"/>
            <w:tcBorders>
              <w:top w:val="nil"/>
              <w:left w:val="nil"/>
              <w:bottom w:val="nil"/>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501</w:t>
            </w:r>
          </w:p>
        </w:tc>
        <w:tc>
          <w:tcPr>
            <w:tcW w:w="954" w:type="dxa"/>
            <w:tcBorders>
              <w:top w:val="nil"/>
              <w:left w:val="nil"/>
              <w:bottom w:val="nil"/>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481</w:t>
            </w:r>
          </w:p>
        </w:tc>
        <w:tc>
          <w:tcPr>
            <w:tcW w:w="955" w:type="dxa"/>
            <w:tcBorders>
              <w:top w:val="nil"/>
              <w:left w:val="nil"/>
              <w:bottom w:val="nil"/>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684</w:t>
            </w:r>
          </w:p>
        </w:tc>
        <w:tc>
          <w:tcPr>
            <w:tcW w:w="955" w:type="dxa"/>
            <w:tcBorders>
              <w:top w:val="nil"/>
              <w:left w:val="nil"/>
              <w:bottom w:val="nil"/>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613</w:t>
            </w:r>
          </w:p>
        </w:tc>
        <w:tc>
          <w:tcPr>
            <w:tcW w:w="955" w:type="dxa"/>
            <w:tcBorders>
              <w:top w:val="nil"/>
              <w:left w:val="nil"/>
              <w:bottom w:val="nil"/>
              <w:right w:val="single" w:sz="8" w:space="0" w:color="auto"/>
            </w:tcBorders>
            <w:tcMar>
              <w:top w:w="0" w:type="dxa"/>
              <w:left w:w="108" w:type="dxa"/>
              <w:bottom w:w="0" w:type="dxa"/>
              <w:right w:w="108" w:type="dxa"/>
            </w:tcMar>
            <w:hideMark/>
          </w:tcPr>
          <w:p w:rsidR="004F0224" w:rsidRPr="00550143" w:rsidRDefault="004F0224" w:rsidP="00C6428F">
            <w:pPr>
              <w:rPr>
                <w:sz w:val="24"/>
                <w:lang w:eastAsia="nl-BE"/>
              </w:rPr>
            </w:pPr>
            <w:r w:rsidRPr="00550143">
              <w:rPr>
                <w:sz w:val="20"/>
                <w:szCs w:val="20"/>
                <w:lang w:eastAsia="nl-BE"/>
              </w:rPr>
              <w:t>734</w:t>
            </w:r>
          </w:p>
        </w:tc>
      </w:tr>
      <w:tr w:rsidR="00EE3740" w:rsidRPr="00550143" w:rsidTr="00EE3740">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3740" w:rsidRPr="00550143" w:rsidRDefault="00EE3740" w:rsidP="00C6428F">
            <w:pPr>
              <w:rPr>
                <w:sz w:val="20"/>
                <w:szCs w:val="20"/>
                <w:lang w:eastAsia="nl-BE"/>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rsidR="00EE3740" w:rsidRPr="00550143" w:rsidRDefault="00EE3740" w:rsidP="00C6428F">
            <w:pPr>
              <w:rPr>
                <w:sz w:val="20"/>
                <w:szCs w:val="20"/>
                <w:lang w:eastAsia="nl-BE"/>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rsidR="00EE3740" w:rsidRPr="00550143" w:rsidRDefault="00EE3740" w:rsidP="00C6428F">
            <w:pPr>
              <w:rPr>
                <w:sz w:val="20"/>
                <w:szCs w:val="20"/>
                <w:lang w:eastAsia="nl-BE"/>
              </w:rPr>
            </w:pPr>
          </w:p>
        </w:tc>
        <w:tc>
          <w:tcPr>
            <w:tcW w:w="954" w:type="dxa"/>
            <w:tcBorders>
              <w:top w:val="nil"/>
              <w:left w:val="nil"/>
              <w:bottom w:val="single" w:sz="8" w:space="0" w:color="auto"/>
              <w:right w:val="single" w:sz="8" w:space="0" w:color="auto"/>
            </w:tcBorders>
            <w:tcMar>
              <w:top w:w="0" w:type="dxa"/>
              <w:left w:w="108" w:type="dxa"/>
              <w:bottom w:w="0" w:type="dxa"/>
              <w:right w:w="108" w:type="dxa"/>
            </w:tcMar>
          </w:tcPr>
          <w:p w:rsidR="00EE3740" w:rsidRPr="00550143" w:rsidRDefault="00EE3740" w:rsidP="00C6428F">
            <w:pPr>
              <w:rPr>
                <w:sz w:val="20"/>
                <w:szCs w:val="20"/>
                <w:lang w:eastAsia="nl-BE"/>
              </w:rPr>
            </w:pPr>
          </w:p>
        </w:tc>
        <w:tc>
          <w:tcPr>
            <w:tcW w:w="955" w:type="dxa"/>
            <w:tcBorders>
              <w:top w:val="nil"/>
              <w:left w:val="nil"/>
              <w:bottom w:val="single" w:sz="8" w:space="0" w:color="auto"/>
              <w:right w:val="single" w:sz="8" w:space="0" w:color="auto"/>
            </w:tcBorders>
            <w:tcMar>
              <w:top w:w="0" w:type="dxa"/>
              <w:left w:w="108" w:type="dxa"/>
              <w:bottom w:w="0" w:type="dxa"/>
              <w:right w:w="108" w:type="dxa"/>
            </w:tcMar>
          </w:tcPr>
          <w:p w:rsidR="00EE3740" w:rsidRPr="00550143" w:rsidRDefault="00EE3740" w:rsidP="00C6428F">
            <w:pPr>
              <w:rPr>
                <w:sz w:val="20"/>
                <w:szCs w:val="20"/>
                <w:lang w:eastAsia="nl-BE"/>
              </w:rPr>
            </w:pPr>
          </w:p>
        </w:tc>
        <w:tc>
          <w:tcPr>
            <w:tcW w:w="955" w:type="dxa"/>
            <w:tcBorders>
              <w:top w:val="nil"/>
              <w:left w:val="nil"/>
              <w:bottom w:val="single" w:sz="8" w:space="0" w:color="auto"/>
              <w:right w:val="single" w:sz="8" w:space="0" w:color="auto"/>
            </w:tcBorders>
            <w:tcMar>
              <w:top w:w="0" w:type="dxa"/>
              <w:left w:w="108" w:type="dxa"/>
              <w:bottom w:w="0" w:type="dxa"/>
              <w:right w:w="108" w:type="dxa"/>
            </w:tcMar>
          </w:tcPr>
          <w:p w:rsidR="00EE3740" w:rsidRPr="00550143" w:rsidRDefault="00EE3740" w:rsidP="00C6428F">
            <w:pPr>
              <w:rPr>
                <w:sz w:val="20"/>
                <w:szCs w:val="20"/>
                <w:lang w:eastAsia="nl-BE"/>
              </w:rPr>
            </w:pPr>
          </w:p>
        </w:tc>
        <w:tc>
          <w:tcPr>
            <w:tcW w:w="955" w:type="dxa"/>
            <w:tcBorders>
              <w:top w:val="nil"/>
              <w:left w:val="nil"/>
              <w:bottom w:val="single" w:sz="8" w:space="0" w:color="auto"/>
              <w:right w:val="single" w:sz="8" w:space="0" w:color="auto"/>
            </w:tcBorders>
            <w:tcMar>
              <w:top w:w="0" w:type="dxa"/>
              <w:left w:w="108" w:type="dxa"/>
              <w:bottom w:w="0" w:type="dxa"/>
              <w:right w:w="108" w:type="dxa"/>
            </w:tcMar>
          </w:tcPr>
          <w:p w:rsidR="00EE3740" w:rsidRPr="00550143" w:rsidRDefault="00EE3740" w:rsidP="00C6428F">
            <w:pPr>
              <w:rPr>
                <w:sz w:val="20"/>
                <w:szCs w:val="20"/>
                <w:lang w:eastAsia="nl-BE"/>
              </w:rPr>
            </w:pPr>
          </w:p>
        </w:tc>
      </w:tr>
    </w:tbl>
    <w:p w:rsidR="004F0224" w:rsidRPr="00550143" w:rsidRDefault="004F0224" w:rsidP="00B64C87">
      <w:pPr>
        <w:jc w:val="both"/>
        <w:rPr>
          <w:sz w:val="24"/>
          <w:lang w:eastAsia="nl-BE"/>
        </w:rPr>
      </w:pPr>
      <w:r w:rsidRPr="00550143">
        <w:rPr>
          <w:sz w:val="20"/>
          <w:szCs w:val="20"/>
          <w:lang w:eastAsia="nl-BE"/>
        </w:rPr>
        <w:t xml:space="preserve">De cijfers zijn tot </w:t>
      </w:r>
      <w:r w:rsidR="00EE3740" w:rsidRPr="00550143">
        <w:rPr>
          <w:sz w:val="20"/>
          <w:szCs w:val="20"/>
          <w:lang w:eastAsia="nl-BE"/>
        </w:rPr>
        <w:t xml:space="preserve">en met </w:t>
      </w:r>
      <w:r w:rsidRPr="00550143">
        <w:rPr>
          <w:sz w:val="20"/>
          <w:szCs w:val="20"/>
          <w:lang w:eastAsia="nl-BE"/>
        </w:rPr>
        <w:t>2010 op basis van de eindrapporten</w:t>
      </w:r>
      <w:r w:rsidR="00EE3740" w:rsidRPr="00550143">
        <w:rPr>
          <w:sz w:val="20"/>
          <w:szCs w:val="20"/>
          <w:lang w:eastAsia="nl-BE"/>
        </w:rPr>
        <w:t xml:space="preserve">, het gaat dus om </w:t>
      </w:r>
      <w:r w:rsidRPr="00550143">
        <w:rPr>
          <w:sz w:val="20"/>
          <w:szCs w:val="20"/>
          <w:lang w:eastAsia="nl-BE"/>
        </w:rPr>
        <w:t>effectief gerealiseerd</w:t>
      </w:r>
      <w:r w:rsidR="00EE3740" w:rsidRPr="00550143">
        <w:rPr>
          <w:sz w:val="20"/>
          <w:szCs w:val="20"/>
          <w:lang w:eastAsia="nl-BE"/>
        </w:rPr>
        <w:t>e stages</w:t>
      </w:r>
      <w:r w:rsidRPr="00550143">
        <w:rPr>
          <w:sz w:val="20"/>
          <w:szCs w:val="20"/>
          <w:lang w:eastAsia="nl-BE"/>
        </w:rPr>
        <w:t xml:space="preserve">, vanaf 2011 </w:t>
      </w:r>
      <w:r w:rsidR="00EE3740" w:rsidRPr="00550143">
        <w:rPr>
          <w:sz w:val="20"/>
          <w:szCs w:val="20"/>
          <w:lang w:eastAsia="nl-BE"/>
        </w:rPr>
        <w:t xml:space="preserve">zijn de cijfers </w:t>
      </w:r>
      <w:r w:rsidRPr="00550143">
        <w:rPr>
          <w:sz w:val="20"/>
          <w:szCs w:val="20"/>
          <w:lang w:eastAsia="nl-BE"/>
        </w:rPr>
        <w:t>op basis van de toegekende beurzen (eindrapporten nog niet allemaal binnen).</w:t>
      </w:r>
    </w:p>
    <w:p w:rsidR="00EE3740" w:rsidRPr="00550143" w:rsidRDefault="00EE3740" w:rsidP="0016486C">
      <w:pPr>
        <w:rPr>
          <w:lang w:eastAsia="nl-BE"/>
        </w:rPr>
      </w:pPr>
    </w:p>
    <w:p w:rsidR="00EE3740" w:rsidRPr="00550143" w:rsidRDefault="00EE3740" w:rsidP="00B64C87">
      <w:pPr>
        <w:ind w:left="709"/>
        <w:jc w:val="both"/>
        <w:rPr>
          <w:lang w:eastAsia="nl-BE"/>
        </w:rPr>
      </w:pPr>
      <w:proofErr w:type="spellStart"/>
      <w:r w:rsidRPr="00550143">
        <w:rPr>
          <w:lang w:eastAsia="nl-BE"/>
        </w:rPr>
        <w:t>Comenius</w:t>
      </w:r>
      <w:proofErr w:type="spellEnd"/>
      <w:r w:rsidRPr="00550143">
        <w:rPr>
          <w:lang w:eastAsia="nl-BE"/>
        </w:rPr>
        <w:t xml:space="preserve"> Schoolpartnerschappen: voor het huidige “een Leven Lang Leren Programma” (LLP; 2007-2013) zijn er eindverslagen (en dus cijfers) beschikbaar voor 2007-2010 die wijzen in de richting van bijna 2000 mobiliteiten per jaar waarvan ongeveer 1000 leerlingenmobiliteiten. Het aantal leerlingen dat betrokken was/is bij diezelfde projecten lag en ligt aanzienlijk hoger: ongeveer 12000 leerlingen per jaar.</w:t>
      </w:r>
    </w:p>
    <w:p w:rsidR="0016486C" w:rsidRPr="00550143" w:rsidRDefault="00EE3740" w:rsidP="00B64C87">
      <w:pPr>
        <w:ind w:left="709"/>
        <w:jc w:val="both"/>
        <w:rPr>
          <w:lang w:eastAsia="nl-BE"/>
        </w:rPr>
      </w:pPr>
      <w:r w:rsidRPr="00550143">
        <w:rPr>
          <w:lang w:eastAsia="nl-BE"/>
        </w:rPr>
        <w:t xml:space="preserve">De </w:t>
      </w:r>
      <w:proofErr w:type="spellStart"/>
      <w:r w:rsidRPr="00550143">
        <w:rPr>
          <w:lang w:eastAsia="nl-BE"/>
        </w:rPr>
        <w:t>Comenius</w:t>
      </w:r>
      <w:proofErr w:type="spellEnd"/>
      <w:r w:rsidRPr="00550143">
        <w:rPr>
          <w:lang w:eastAsia="nl-BE"/>
        </w:rPr>
        <w:t xml:space="preserve"> schoolpartnerschappen </w:t>
      </w:r>
      <w:r w:rsidR="0016486C" w:rsidRPr="00550143">
        <w:rPr>
          <w:lang w:eastAsia="nl-BE"/>
        </w:rPr>
        <w:t xml:space="preserve">beogen de versterking van de Europese dimensie in het onderwijs </w:t>
      </w:r>
      <w:r w:rsidR="00087A48" w:rsidRPr="00550143">
        <w:rPr>
          <w:lang w:eastAsia="nl-BE"/>
        </w:rPr>
        <w:t xml:space="preserve">(zowel basis- als secundair onderwijs) </w:t>
      </w:r>
      <w:r w:rsidR="0016486C" w:rsidRPr="00550143">
        <w:rPr>
          <w:lang w:eastAsia="nl-BE"/>
        </w:rPr>
        <w:t>via internationale samenwerking tussen scholen, leerkrachten en leerlingen. Sommige projecten mikken vooral op actieve betrokkenheid van en samenwerking tussen leerlingen. Andere projecten focussen op aspecten van school- en/of pedagogisch beleid waarbij de uitwisseling van kennis en ervaringen tussen leerkrachten, directies en administratief personeel centraal staat. Nog andere projecten willen de kennis van en de interesse voor andere talen bij leerlingen vergroten door hen internationaal en met name via klasuitwisselingen te laten samenwerken rond een gemeenschappelijk thema. Leerlingen gaan mee naar de buitenlandse partnerscholen in klasverband (bij klasuitwisselingen) of in kleine groepjes. In het 2</w:t>
      </w:r>
      <w:r w:rsidR="0016486C" w:rsidRPr="00550143">
        <w:rPr>
          <w:vertAlign w:val="superscript"/>
          <w:lang w:eastAsia="nl-BE"/>
        </w:rPr>
        <w:t>e</w:t>
      </w:r>
      <w:r w:rsidR="0016486C" w:rsidRPr="00550143">
        <w:rPr>
          <w:lang w:eastAsia="nl-BE"/>
        </w:rPr>
        <w:t xml:space="preserve"> geval is dat om delen van het project uit te werken met andere leerlingen, om hun standpunt in te brengen bij projectvergaderingen, om deel te nemen aan gezamenlijke toonmomenten,…</w:t>
      </w:r>
    </w:p>
    <w:p w:rsidR="004F0224" w:rsidRPr="00550143" w:rsidRDefault="004F0224" w:rsidP="00B64C87">
      <w:pPr>
        <w:ind w:left="709"/>
        <w:jc w:val="both"/>
        <w:rPr>
          <w:lang w:eastAsia="nl-BE"/>
        </w:rPr>
      </w:pPr>
    </w:p>
    <w:p w:rsidR="000972AD" w:rsidRPr="000972AD" w:rsidRDefault="000972AD" w:rsidP="00B64C87">
      <w:pPr>
        <w:ind w:left="709"/>
        <w:jc w:val="both"/>
        <w:rPr>
          <w:szCs w:val="22"/>
          <w:lang w:eastAsia="nl-BE"/>
        </w:rPr>
      </w:pPr>
      <w:r w:rsidRPr="000972AD">
        <w:rPr>
          <w:szCs w:val="22"/>
          <w:lang w:val="nl-BE"/>
        </w:rPr>
        <w:t xml:space="preserve">De deelname van TSO/BSO-leerlingen aan Leonardo da Vinci partnerschappen is veel beperkter. </w:t>
      </w:r>
      <w:r w:rsidRPr="000972AD">
        <w:rPr>
          <w:szCs w:val="22"/>
          <w:lang w:eastAsia="nl-BE"/>
        </w:rPr>
        <w:t xml:space="preserve">Er zijn eindverslagen (en dus cijfers) beschikbaar voor 2007-2010: in </w:t>
      </w:r>
      <w:r w:rsidRPr="000972AD">
        <w:rPr>
          <w:szCs w:val="22"/>
        </w:rPr>
        <w:t xml:space="preserve"> </w:t>
      </w:r>
      <w:r w:rsidRPr="000972AD">
        <w:rPr>
          <w:szCs w:val="22"/>
          <w:lang w:eastAsia="nl-BE"/>
        </w:rPr>
        <w:t>2008 namen 58 leerlingen deel, in 2009 waren dat er 39 en in 2010 waren er 23 mobiliteiten.</w:t>
      </w:r>
      <w:r w:rsidRPr="000972AD">
        <w:rPr>
          <w:szCs w:val="22"/>
          <w:lang w:val="nl-BE"/>
        </w:rPr>
        <w:t>…</w:t>
      </w:r>
      <w:r w:rsidRPr="000972AD">
        <w:rPr>
          <w:szCs w:val="22"/>
          <w:lang w:eastAsia="nl-BE"/>
        </w:rPr>
        <w:t xml:space="preserve"> </w:t>
      </w:r>
    </w:p>
    <w:p w:rsidR="000972AD" w:rsidRPr="000972AD" w:rsidRDefault="000972AD" w:rsidP="00B64C87">
      <w:pPr>
        <w:ind w:left="709"/>
        <w:jc w:val="both"/>
        <w:rPr>
          <w:szCs w:val="22"/>
          <w:lang w:val="nl-BE"/>
        </w:rPr>
      </w:pPr>
      <w:r w:rsidRPr="000972AD">
        <w:rPr>
          <w:szCs w:val="22"/>
          <w:lang w:val="nl-BE"/>
        </w:rPr>
        <w:lastRenderedPageBreak/>
        <w:t>Dit kan verklaard worden door de keuze die binnen de Leonardo da Vinci-partnerschappen wordt gemaakt om binnen de projecten eerder strategische / organisatorische / pedagogische aspecten te behandelen (en dus wordt eerder management / personeel betrokken en niet zozeer de leerling / student / cursist). Daarenboven zijn er ook meer en meer projecten van actoren buiten de formele opleidingswereld en wordt ook de bedrijfswereld als partner betrokken.</w:t>
      </w:r>
    </w:p>
    <w:p w:rsidR="004F0224" w:rsidRPr="00550143" w:rsidRDefault="004F0224" w:rsidP="00FD5BF4"/>
    <w:p w:rsidR="00C6428F" w:rsidRPr="00550143" w:rsidRDefault="00C6428F" w:rsidP="00B64C87">
      <w:pPr>
        <w:ind w:left="708"/>
      </w:pPr>
      <w:r w:rsidRPr="00550143">
        <w:t xml:space="preserve">IPM: </w:t>
      </w:r>
    </w:p>
    <w:p w:rsidR="00CD2445" w:rsidRPr="00B64C87" w:rsidRDefault="00CD2445" w:rsidP="00FD5BF4"/>
    <w:tbl>
      <w:tblPr>
        <w:tblW w:w="9288" w:type="dxa"/>
        <w:tblInd w:w="108" w:type="dxa"/>
        <w:tblCellMar>
          <w:left w:w="0" w:type="dxa"/>
          <w:right w:w="0" w:type="dxa"/>
        </w:tblCellMar>
        <w:tblLook w:val="04A0" w:firstRow="1" w:lastRow="0" w:firstColumn="1" w:lastColumn="0" w:noHBand="0" w:noVBand="1"/>
      </w:tblPr>
      <w:tblGrid>
        <w:gridCol w:w="2710"/>
        <w:gridCol w:w="1890"/>
        <w:gridCol w:w="2344"/>
        <w:gridCol w:w="2344"/>
      </w:tblGrid>
      <w:tr w:rsidR="00CD2445" w:rsidRPr="00550143" w:rsidTr="00CD2445">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proofErr w:type="spellStart"/>
            <w:r w:rsidRPr="00550143">
              <w:rPr>
                <w:szCs w:val="22"/>
                <w:lang w:eastAsia="en-US"/>
              </w:rPr>
              <w:t>Individual</w:t>
            </w:r>
            <w:proofErr w:type="spellEnd"/>
            <w:r w:rsidRPr="00550143">
              <w:rPr>
                <w:szCs w:val="22"/>
                <w:lang w:eastAsia="en-US"/>
              </w:rPr>
              <w:t xml:space="preserve"> Pupil </w:t>
            </w:r>
            <w:proofErr w:type="spellStart"/>
            <w:r w:rsidRPr="00550143">
              <w:rPr>
                <w:szCs w:val="22"/>
                <w:lang w:eastAsia="en-US"/>
              </w:rPr>
              <w:t>Mobility</w:t>
            </w:r>
            <w:proofErr w:type="spellEnd"/>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2011 (volgens eindverslagen)</w:t>
            </w:r>
          </w:p>
        </w:tc>
        <w:tc>
          <w:tcPr>
            <w:tcW w:w="2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2012 (volgens eindverslagen)</w:t>
            </w:r>
          </w:p>
        </w:tc>
        <w:tc>
          <w:tcPr>
            <w:tcW w:w="2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2013 (volgens contracten, niet volgens eindverslagen)</w:t>
            </w:r>
          </w:p>
        </w:tc>
      </w:tr>
      <w:tr w:rsidR="00CD2445" w:rsidRPr="00550143" w:rsidTr="00CD2445">
        <w:tc>
          <w:tcPr>
            <w:tcW w:w="2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uitzendende scholen (waarvan TSO/(D)BSO)</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5 (2)</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8 (3)</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7 (2)</w:t>
            </w:r>
          </w:p>
        </w:tc>
      </w:tr>
      <w:tr w:rsidR="00CD2445" w:rsidRPr="00550143" w:rsidTr="00CD2445">
        <w:tc>
          <w:tcPr>
            <w:tcW w:w="2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uitgaande Vlaamse leerlingen (waarvan uit TSO/(D)BSO)</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14 (5)</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22 (4)</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rsidR="00CD2445" w:rsidRPr="00550143" w:rsidRDefault="00CD2445">
            <w:pPr>
              <w:rPr>
                <w:rFonts w:eastAsiaTheme="minorHAnsi"/>
                <w:szCs w:val="22"/>
                <w:lang w:eastAsia="en-US"/>
              </w:rPr>
            </w:pPr>
            <w:r w:rsidRPr="00550143">
              <w:rPr>
                <w:szCs w:val="22"/>
                <w:lang w:eastAsia="en-US"/>
              </w:rPr>
              <w:t>19 (4)</w:t>
            </w:r>
          </w:p>
        </w:tc>
      </w:tr>
    </w:tbl>
    <w:p w:rsidR="00CD2445" w:rsidRPr="00B64C87" w:rsidRDefault="00CD2445" w:rsidP="00CD2445">
      <w:pPr>
        <w:rPr>
          <w:rFonts w:eastAsiaTheme="minorHAnsi"/>
          <w:szCs w:val="22"/>
          <w:lang w:val="nl-BE"/>
        </w:rPr>
      </w:pPr>
    </w:p>
    <w:p w:rsidR="00EE3740" w:rsidRPr="00550143" w:rsidRDefault="00890790" w:rsidP="00B64C87">
      <w:pPr>
        <w:ind w:left="709" w:hanging="283"/>
        <w:jc w:val="both"/>
        <w:rPr>
          <w:lang w:eastAsia="nl-BE"/>
        </w:rPr>
      </w:pPr>
      <w:r>
        <w:rPr>
          <w:lang w:eastAsia="nl-BE"/>
        </w:rPr>
        <w:t>b)</w:t>
      </w:r>
      <w:r w:rsidR="00B64C87">
        <w:rPr>
          <w:lang w:eastAsia="nl-BE"/>
        </w:rPr>
        <w:tab/>
      </w:r>
      <w:r w:rsidR="00EE3740" w:rsidRPr="00550143">
        <w:rPr>
          <w:lang w:eastAsia="nl-BE"/>
        </w:rPr>
        <w:t>Voor IVT (leerlingen TSO en BSO) in het Leonardoprogramma is er in de reeds afgesloten projecten een stijging van 2007 (421) tot 2009 (501), en een lichte terugval in 2010 (481). Alles wijst er op dat sedert 2011 terug een stijgende trend is ingezet, maar nog niet alle projecten uit deze periode zijn definitief afgerekend.</w:t>
      </w:r>
    </w:p>
    <w:p w:rsidR="00F33385" w:rsidRPr="00550143" w:rsidRDefault="00F33385" w:rsidP="00B64C87">
      <w:pPr>
        <w:ind w:left="708"/>
        <w:jc w:val="both"/>
        <w:rPr>
          <w:lang w:eastAsia="nl-BE"/>
        </w:rPr>
      </w:pPr>
      <w:r w:rsidRPr="00550143">
        <w:t>Wat</w:t>
      </w:r>
      <w:r w:rsidR="00EE3740" w:rsidRPr="00550143">
        <w:t xml:space="preserve"> de deelname van leerlingen in </w:t>
      </w:r>
      <w:proofErr w:type="spellStart"/>
      <w:r w:rsidRPr="00550143">
        <w:t>Comenius</w:t>
      </w:r>
      <w:proofErr w:type="spellEnd"/>
      <w:r w:rsidRPr="00550143">
        <w:t xml:space="preserve"> schoolpartnerschappen betreft </w:t>
      </w:r>
      <w:r w:rsidRPr="00550143">
        <w:rPr>
          <w:lang w:eastAsia="nl-BE"/>
        </w:rPr>
        <w:t>lijken de aantallen, zoals het aantal projecten, stabiel te blijven (1000 leerlingenmobiliteiten op 2000 mobiliteiten in totaal). Het aantal leerlingenmobiliteiten in het LLP (2007-2013) ligt wel aanzienlijk hoger dan in de Socrates II-periode (vorig programma 2000-2006), toen ging het om ongeveer een derde van de 1000 mobiliteiten per jaar.</w:t>
      </w:r>
    </w:p>
    <w:p w:rsidR="00EE3740" w:rsidRPr="00550143" w:rsidRDefault="00EE3740" w:rsidP="00B64C87">
      <w:pPr>
        <w:ind w:left="708"/>
        <w:jc w:val="both"/>
        <w:rPr>
          <w:lang w:eastAsia="nl-BE"/>
        </w:rPr>
      </w:pPr>
      <w:r w:rsidRPr="00550143">
        <w:rPr>
          <w:lang w:eastAsia="nl-BE"/>
        </w:rPr>
        <w:t xml:space="preserve">In de Leonardo da Vinci partnerschappen is er sprake van een dalende trend maar het gaat hier </w:t>
      </w:r>
      <w:r w:rsidR="005838FA" w:rsidRPr="00550143">
        <w:rPr>
          <w:lang w:eastAsia="nl-BE"/>
        </w:rPr>
        <w:t>om zeer kleine aantallen</w:t>
      </w:r>
    </w:p>
    <w:p w:rsidR="00F33385" w:rsidRPr="000A11AA" w:rsidRDefault="00C966FB" w:rsidP="00B64C87">
      <w:pPr>
        <w:ind w:left="708"/>
        <w:jc w:val="both"/>
        <w:rPr>
          <w:lang w:val="nl-BE"/>
        </w:rPr>
      </w:pPr>
      <w:r w:rsidRPr="000A11AA">
        <w:rPr>
          <w:lang w:val="nl-BE"/>
        </w:rPr>
        <w:t>De IPM-actie is wat te klein en nog te nieuw om uit de cijfers nu al een trend te kunnen afleiden.</w:t>
      </w:r>
    </w:p>
    <w:p w:rsidR="00C966FB" w:rsidRPr="00550143" w:rsidRDefault="00C966FB" w:rsidP="00F33385">
      <w:pPr>
        <w:rPr>
          <w:lang w:eastAsia="nl-BE"/>
        </w:rPr>
      </w:pPr>
    </w:p>
    <w:p w:rsidR="005838FA" w:rsidRPr="00550143" w:rsidRDefault="00890790" w:rsidP="00B64C87">
      <w:pPr>
        <w:ind w:left="709" w:hanging="283"/>
        <w:jc w:val="both"/>
        <w:rPr>
          <w:lang w:eastAsia="nl-BE"/>
        </w:rPr>
      </w:pPr>
      <w:r>
        <w:rPr>
          <w:lang w:eastAsia="nl-BE"/>
        </w:rPr>
        <w:t>c)</w:t>
      </w:r>
      <w:r w:rsidR="00B64C87">
        <w:rPr>
          <w:lang w:eastAsia="nl-BE"/>
        </w:rPr>
        <w:tab/>
      </w:r>
      <w:r w:rsidR="005838FA" w:rsidRPr="00550143">
        <w:rPr>
          <w:lang w:eastAsia="nl-BE"/>
        </w:rPr>
        <w:t>Leonardo da Vinci partnerschappen en IVT: alle cijfers betreffen leerlingen secundair onderwijs</w:t>
      </w:r>
    </w:p>
    <w:p w:rsidR="00F33385" w:rsidRPr="00550143" w:rsidRDefault="00875506" w:rsidP="00B64C87">
      <w:pPr>
        <w:ind w:left="708"/>
        <w:jc w:val="both"/>
        <w:rPr>
          <w:lang w:eastAsia="nl-BE"/>
        </w:rPr>
      </w:pPr>
      <w:proofErr w:type="spellStart"/>
      <w:r w:rsidRPr="00550143">
        <w:rPr>
          <w:lang w:eastAsia="nl-BE"/>
        </w:rPr>
        <w:t>Comenius</w:t>
      </w:r>
      <w:proofErr w:type="spellEnd"/>
      <w:r w:rsidRPr="00550143">
        <w:rPr>
          <w:lang w:eastAsia="nl-BE"/>
        </w:rPr>
        <w:t xml:space="preserve"> schoolpartnerschappen: gezien de jonge leeftijd van de leerlingen, is leerlingenmobiliteit in het basisonderwijs eerder uitzonderlijk. De ongeveer 1000 leerlingenmobiliteiten per jaar zijn dus hoofdzakelijk te situeren in het secundair onderwijs.</w:t>
      </w:r>
    </w:p>
    <w:p w:rsidR="00CD2445" w:rsidRPr="00550143" w:rsidRDefault="00CD2445" w:rsidP="00B64C87">
      <w:pPr>
        <w:ind w:left="708"/>
        <w:jc w:val="both"/>
        <w:rPr>
          <w:lang w:eastAsia="nl-BE"/>
        </w:rPr>
      </w:pPr>
      <w:r w:rsidRPr="00550143">
        <w:rPr>
          <w:lang w:eastAsia="nl-BE"/>
        </w:rPr>
        <w:t>IPM: alle cijfers betreffen leerlingen secundair onderwijs.</w:t>
      </w:r>
    </w:p>
    <w:p w:rsidR="00875506" w:rsidRPr="00B64C87" w:rsidRDefault="00875506" w:rsidP="00F33385">
      <w:pPr>
        <w:rPr>
          <w:sz w:val="24"/>
          <w:lang w:eastAsia="nl-BE"/>
        </w:rPr>
      </w:pPr>
    </w:p>
    <w:p w:rsidR="005838FA" w:rsidRPr="00550143" w:rsidRDefault="00890790" w:rsidP="00B64C87">
      <w:pPr>
        <w:ind w:left="709" w:hanging="283"/>
        <w:jc w:val="both"/>
        <w:rPr>
          <w:lang w:eastAsia="nl-BE"/>
        </w:rPr>
      </w:pPr>
      <w:r>
        <w:rPr>
          <w:lang w:eastAsia="nl-BE"/>
        </w:rPr>
        <w:t>d)</w:t>
      </w:r>
      <w:r w:rsidR="00B64C87">
        <w:rPr>
          <w:lang w:eastAsia="nl-BE"/>
        </w:rPr>
        <w:tab/>
      </w:r>
      <w:r w:rsidR="005838FA" w:rsidRPr="00550143">
        <w:rPr>
          <w:lang w:eastAsia="nl-BE"/>
        </w:rPr>
        <w:t>Leonardo da Vinci partnerschappen en IVT: alle cijfers betreffen uitsluitend leerlingen TSO of BSO.</w:t>
      </w:r>
    </w:p>
    <w:p w:rsidR="00875506" w:rsidRPr="00550143" w:rsidRDefault="00875506" w:rsidP="00B64C87">
      <w:pPr>
        <w:ind w:left="708"/>
        <w:jc w:val="both"/>
        <w:rPr>
          <w:lang w:eastAsia="nl-BE"/>
        </w:rPr>
      </w:pPr>
      <w:proofErr w:type="spellStart"/>
      <w:r w:rsidRPr="00550143">
        <w:rPr>
          <w:sz w:val="24"/>
          <w:lang w:eastAsia="nl-BE"/>
        </w:rPr>
        <w:t>Comenius</w:t>
      </w:r>
      <w:proofErr w:type="spellEnd"/>
      <w:r w:rsidRPr="00550143">
        <w:rPr>
          <w:sz w:val="24"/>
          <w:lang w:eastAsia="nl-BE"/>
        </w:rPr>
        <w:t xml:space="preserve"> schoolpartnerschappen: </w:t>
      </w:r>
      <w:r w:rsidRPr="00550143">
        <w:rPr>
          <w:lang w:eastAsia="nl-BE"/>
        </w:rPr>
        <w:t xml:space="preserve">Het TSO/(D)BSO is van bij het begin een prioritaire doelgroep binnen het </w:t>
      </w:r>
      <w:proofErr w:type="spellStart"/>
      <w:r w:rsidRPr="00550143">
        <w:rPr>
          <w:lang w:eastAsia="nl-BE"/>
        </w:rPr>
        <w:t>Comeniusprogramma</w:t>
      </w:r>
      <w:proofErr w:type="spellEnd"/>
      <w:r w:rsidRPr="00550143">
        <w:rPr>
          <w:lang w:eastAsia="nl-BE"/>
        </w:rPr>
        <w:t xml:space="preserve">. Dit zowel op het niveau van de selectie van aanvragen (aanvragen uit het TSO/(D)BSO krijgen "bonuspunten") als op het niveau van promotie en sensibilisering (met specifieke acties gericht op het TSO/(D)BSO). Deze aanpak werpt vruchten af, hetgeen blijkt uit het toegenomen aandeel van het TSO/BSO in de goedgekeurde Schoolpartnerschappen: van ongeveer 20% in de Socrates II-periode (2001-2006) naar elk jaar ongeveer 30% (minstens gelijk aan het aandeel van ASO) in het LLP. Omgerekend zijn er per jaar ongeveer 4000 leerlingen uit het TSO/BSO betrokken bij </w:t>
      </w:r>
      <w:proofErr w:type="spellStart"/>
      <w:r w:rsidRPr="00550143">
        <w:rPr>
          <w:lang w:eastAsia="nl-BE"/>
        </w:rPr>
        <w:t>Comeniusprojecten</w:t>
      </w:r>
      <w:proofErr w:type="spellEnd"/>
      <w:r w:rsidRPr="00550143">
        <w:rPr>
          <w:lang w:eastAsia="nl-BE"/>
        </w:rPr>
        <w:t xml:space="preserve"> en gaan er ongeveer 300 naar het buitenland.</w:t>
      </w:r>
    </w:p>
    <w:p w:rsidR="00CD2445" w:rsidRPr="00550143" w:rsidRDefault="00CD2445" w:rsidP="00B64C87">
      <w:pPr>
        <w:ind w:left="708"/>
        <w:jc w:val="both"/>
        <w:rPr>
          <w:szCs w:val="22"/>
          <w:lang w:val="nl-BE"/>
        </w:rPr>
      </w:pPr>
      <w:r w:rsidRPr="00550143">
        <w:rPr>
          <w:szCs w:val="22"/>
          <w:lang w:val="nl-BE"/>
        </w:rPr>
        <w:t>De IPM-actie richt zich tot alle onderwijsvormen van het secundair onderwijs. Ongeveer een derde van de deelnemende scholen biedt (ook) TSO/BSO aan maar de meeste vraag naar deelname komt toch vooral van leerlingen uit het ASO.</w:t>
      </w:r>
    </w:p>
    <w:p w:rsidR="005838FA" w:rsidRPr="00550143" w:rsidRDefault="005838FA"/>
    <w:p w:rsidR="00875506" w:rsidRPr="00550143" w:rsidRDefault="00B64C87" w:rsidP="00B64C87">
      <w:pPr>
        <w:ind w:left="709" w:hanging="283"/>
        <w:rPr>
          <w:lang w:eastAsia="nl-BE"/>
        </w:rPr>
      </w:pPr>
      <w:r>
        <w:rPr>
          <w:lang w:eastAsia="nl-BE"/>
        </w:rPr>
        <w:t>e)</w:t>
      </w:r>
      <w:r>
        <w:rPr>
          <w:lang w:eastAsia="nl-BE"/>
        </w:rPr>
        <w:tab/>
      </w:r>
      <w:r w:rsidR="00875506" w:rsidRPr="00550143">
        <w:rPr>
          <w:lang w:eastAsia="nl-BE"/>
        </w:rPr>
        <w:t xml:space="preserve">We vinden de leerlingen terug in alle acties die zich op leerlingen richten </w:t>
      </w:r>
    </w:p>
    <w:p w:rsidR="00087A48" w:rsidRPr="00550143" w:rsidRDefault="00087A48" w:rsidP="00FD5BF4">
      <w:pPr>
        <w:rPr>
          <w:lang w:eastAsia="nl-BE"/>
        </w:rPr>
      </w:pPr>
    </w:p>
    <w:p w:rsidR="008373F6" w:rsidRPr="00550143" w:rsidRDefault="00890790" w:rsidP="00B64C87">
      <w:pPr>
        <w:ind w:left="709" w:hanging="283"/>
        <w:jc w:val="both"/>
        <w:rPr>
          <w:lang w:eastAsia="nl-BE"/>
        </w:rPr>
      </w:pPr>
      <w:r>
        <w:rPr>
          <w:lang w:eastAsia="nl-BE"/>
        </w:rPr>
        <w:t>f)</w:t>
      </w:r>
      <w:r w:rsidR="00B64C87">
        <w:rPr>
          <w:lang w:eastAsia="nl-BE"/>
        </w:rPr>
        <w:tab/>
      </w:r>
      <w:r w:rsidR="008373F6" w:rsidRPr="00550143">
        <w:rPr>
          <w:lang w:eastAsia="nl-BE"/>
        </w:rPr>
        <w:t>We vinden de leerlingen uiteraard niet terug in acties die zich niet op leerlingen richten (zoals nascholingsbeurzen voor onderwijspersoneel).</w:t>
      </w:r>
    </w:p>
    <w:p w:rsidR="008373F6" w:rsidRPr="00550143" w:rsidRDefault="008373F6" w:rsidP="00FD5BF4">
      <w:pPr>
        <w:rPr>
          <w:lang w:eastAsia="nl-BE"/>
        </w:rPr>
      </w:pPr>
    </w:p>
    <w:p w:rsidR="008373F6" w:rsidRDefault="00B64C87" w:rsidP="00B64C87">
      <w:pPr>
        <w:ind w:left="709" w:hanging="283"/>
        <w:rPr>
          <w:lang w:eastAsia="nl-BE"/>
        </w:rPr>
      </w:pPr>
      <w:r>
        <w:rPr>
          <w:lang w:eastAsia="nl-BE"/>
        </w:rPr>
        <w:t>g)</w:t>
      </w:r>
      <w:r>
        <w:rPr>
          <w:lang w:eastAsia="nl-BE"/>
        </w:rPr>
        <w:tab/>
      </w:r>
      <w:r w:rsidR="008373F6" w:rsidRPr="00550143">
        <w:rPr>
          <w:lang w:eastAsia="nl-BE"/>
        </w:rPr>
        <w:t>Vlaanderen voorziet voor de acties die zich op leerlingen TSO/BSO richten geen extra (co)financiering bovenop de Europese. De Europese middelen zijn in grote mate toereikend voor de ontvangen aanvragen.</w:t>
      </w:r>
    </w:p>
    <w:p w:rsidR="00B64C87" w:rsidRPr="00550143" w:rsidRDefault="00B64C87" w:rsidP="00B64C87">
      <w:pPr>
        <w:ind w:left="709" w:hanging="283"/>
        <w:rPr>
          <w:lang w:eastAsia="nl-BE"/>
        </w:rPr>
      </w:pPr>
    </w:p>
    <w:p w:rsidR="00C75107" w:rsidRPr="00550143" w:rsidRDefault="00C75107" w:rsidP="00B64C87">
      <w:pPr>
        <w:pStyle w:val="Lijstalinea"/>
        <w:numPr>
          <w:ilvl w:val="0"/>
          <w:numId w:val="3"/>
        </w:numPr>
        <w:jc w:val="both"/>
      </w:pPr>
      <w:r w:rsidRPr="00550143">
        <w:rPr>
          <w:lang w:eastAsia="nl-BE"/>
        </w:rPr>
        <w:t xml:space="preserve">Naast het LLP zijn er nog een aantal andere mogelijkheden, weliswaar beperkter qua aantal en budget (enkele tientallen projecten per jaar) maar ook hier is het TSO/BSO een prioritaire doelgroep. Zie </w:t>
      </w:r>
      <w:hyperlink r:id="rId7" w:tgtFrame="_blank" w:history="1">
        <w:r w:rsidRPr="00B64C87">
          <w:rPr>
            <w:u w:val="single"/>
            <w:lang w:eastAsia="nl-BE"/>
          </w:rPr>
          <w:t>http://www.ond.vlaanderen.be/internationaal/</w:t>
        </w:r>
      </w:hyperlink>
      <w:r w:rsidRPr="00550143">
        <w:t xml:space="preserve"> Deze behoren niet tot het programma “Een Leven Lang Leren”</w:t>
      </w:r>
    </w:p>
    <w:p w:rsidR="00C75107" w:rsidRPr="00B64C87" w:rsidRDefault="00C75107" w:rsidP="00FD5BF4">
      <w:pPr>
        <w:rPr>
          <w:szCs w:val="22"/>
        </w:rPr>
      </w:pPr>
    </w:p>
    <w:p w:rsidR="00EE3740" w:rsidRPr="00B64C87" w:rsidRDefault="00EE3740" w:rsidP="00B64C87">
      <w:pPr>
        <w:pStyle w:val="Lijstalinea"/>
        <w:numPr>
          <w:ilvl w:val="0"/>
          <w:numId w:val="3"/>
        </w:numPr>
        <w:jc w:val="both"/>
        <w:rPr>
          <w:szCs w:val="22"/>
          <w:lang w:eastAsia="nl-BE"/>
        </w:rPr>
      </w:pPr>
      <w:r w:rsidRPr="00B64C87">
        <w:rPr>
          <w:szCs w:val="22"/>
          <w:lang w:eastAsia="nl-BE"/>
        </w:rPr>
        <w:t>Wat de scholen betreft die buitenlandse stages aanbieden in de Leonardo da Vinci IVT-actie: de laatste drie jaar worden dossiers ingediend door ongeveer 40 scholen, ongeveer 30 daarvan kunnen hun projecten effectief realiseren.</w:t>
      </w:r>
    </w:p>
    <w:p w:rsidR="00C75107" w:rsidRPr="00B64C87" w:rsidRDefault="00C75107" w:rsidP="00FD5BF4">
      <w:pPr>
        <w:rPr>
          <w:szCs w:val="22"/>
        </w:rPr>
      </w:pPr>
    </w:p>
    <w:p w:rsidR="00CD2445" w:rsidRPr="00B64C87" w:rsidRDefault="00CD2445" w:rsidP="00B64C87">
      <w:pPr>
        <w:pStyle w:val="Lijstalinea"/>
        <w:numPr>
          <w:ilvl w:val="0"/>
          <w:numId w:val="3"/>
        </w:numPr>
        <w:ind w:right="-142"/>
        <w:jc w:val="both"/>
        <w:rPr>
          <w:szCs w:val="22"/>
          <w:lang w:val="nl-BE"/>
        </w:rPr>
      </w:pPr>
      <w:r w:rsidRPr="00B64C87">
        <w:rPr>
          <w:szCs w:val="22"/>
          <w:lang w:val="nl-BE"/>
        </w:rPr>
        <w:t>De organiserende scholen moeten na beëindiging van het project een eindrapport opstellen waarin ze een volledig beeld ophangen van hun projectrealisatie (bv of de geplande resultaten geboekt werden, in hoeverre de beoogde effecten voor alle doelgroepen bereikt werden, hoe de deelnemers aan internationale mobiliteit werden voorbereid en opgevolgd, …). Bij IVT en IPM moet elke deelnemer bovendien een eindverslag maken waarbij voor verschillende elementen een tevredenheidsscore wordt gegeven (was de taalvoorbereiding voldoende, lag de stage-inhoud in lijn met mijn studie, wat heb ik geleerd, was de financiële steun voldoende, …).</w:t>
      </w:r>
    </w:p>
    <w:p w:rsidR="005838FA" w:rsidRPr="00550143" w:rsidRDefault="005838FA" w:rsidP="00FD5BF4">
      <w:pPr>
        <w:rPr>
          <w:lang w:val="nl-BE"/>
        </w:rPr>
      </w:pPr>
    </w:p>
    <w:p w:rsidR="00C75107" w:rsidRPr="00550143" w:rsidRDefault="00C75107" w:rsidP="00B64C87">
      <w:pPr>
        <w:pStyle w:val="Lijstalinea"/>
        <w:numPr>
          <w:ilvl w:val="0"/>
          <w:numId w:val="3"/>
        </w:numPr>
      </w:pPr>
      <w:r w:rsidRPr="00550143">
        <w:t xml:space="preserve">De grootste knelpunten ervaren binnen het </w:t>
      </w:r>
      <w:proofErr w:type="spellStart"/>
      <w:r w:rsidRPr="00550143">
        <w:t>Comenius</w:t>
      </w:r>
      <w:proofErr w:type="spellEnd"/>
      <w:r w:rsidRPr="00550143">
        <w:t xml:space="preserve"> programma zijn</w:t>
      </w:r>
    </w:p>
    <w:p w:rsidR="00C75107" w:rsidRPr="000A11AA" w:rsidRDefault="00C75107" w:rsidP="00B64C87">
      <w:pPr>
        <w:pStyle w:val="Lijstalinea"/>
        <w:numPr>
          <w:ilvl w:val="0"/>
          <w:numId w:val="8"/>
        </w:numPr>
        <w:jc w:val="both"/>
        <w:rPr>
          <w:sz w:val="24"/>
          <w:lang w:eastAsia="nl-BE"/>
        </w:rPr>
      </w:pPr>
      <w:r w:rsidRPr="00550143">
        <w:rPr>
          <w:lang w:eastAsia="nl-BE"/>
        </w:rPr>
        <w:t xml:space="preserve">tijdsgebrek/werkdruk: personeelskosten worden binnen de projecten niet gefinancierd. Ze zijn als het ware de eigen cofinanciering vanwege de scholen. Sommige scholen stellen leerkrachten/projectleiders één of meerdere BPT-uren ter beschikking maar dit gebeurt nog weinig. Vrijstelling van toezicht e.d. komt vaker voor. Veel projectwerk blijft dus in zekere mate “vrijwilligerswerk”. </w:t>
      </w:r>
    </w:p>
    <w:p w:rsidR="00C75107" w:rsidRPr="000A11AA" w:rsidRDefault="00C75107" w:rsidP="00B64C87">
      <w:pPr>
        <w:pStyle w:val="Lijstalinea"/>
        <w:numPr>
          <w:ilvl w:val="0"/>
          <w:numId w:val="8"/>
        </w:numPr>
        <w:jc w:val="both"/>
        <w:rPr>
          <w:sz w:val="24"/>
          <w:lang w:eastAsia="nl-BE"/>
        </w:rPr>
      </w:pPr>
      <w:r w:rsidRPr="00550143">
        <w:rPr>
          <w:lang w:eastAsia="nl-BE"/>
        </w:rPr>
        <w:t>Problemen met vervangingen: als leerkrachten in het kader van een project voor enkele dagen of langer de school verlaten voor een projectmeeting, nascholing,… in het buitenland, speelt vaak de vervangingsproblematiek. Als de regelgeving al toelaat om de leerkrachten in kwestie te vervangen, dan is er lang niet altijd een vervanger beschikbaar.</w:t>
      </w:r>
    </w:p>
    <w:p w:rsidR="00C75107" w:rsidRPr="00550143" w:rsidRDefault="00C75107" w:rsidP="00FD5BF4"/>
    <w:p w:rsidR="00C75107" w:rsidRPr="00550143" w:rsidRDefault="00C75107" w:rsidP="00B64C87">
      <w:pPr>
        <w:ind w:left="360"/>
      </w:pPr>
      <w:r w:rsidRPr="00550143">
        <w:t>Voor het Leonardo da Vinci programma worden volgende knelpunten</w:t>
      </w:r>
      <w:r w:rsidR="00684E90" w:rsidRPr="00550143">
        <w:t xml:space="preserve"> </w:t>
      </w:r>
      <w:r w:rsidRPr="00550143">
        <w:t>gesignaleerd</w:t>
      </w:r>
    </w:p>
    <w:p w:rsidR="00684E90" w:rsidRPr="000A11AA" w:rsidRDefault="00684E90" w:rsidP="00B64C87">
      <w:pPr>
        <w:pStyle w:val="Lijstalinea"/>
        <w:numPr>
          <w:ilvl w:val="0"/>
          <w:numId w:val="7"/>
        </w:numPr>
        <w:ind w:left="709" w:hanging="284"/>
        <w:jc w:val="both"/>
        <w:rPr>
          <w:szCs w:val="22"/>
          <w:lang w:eastAsia="nl-BE"/>
        </w:rPr>
      </w:pPr>
      <w:r w:rsidRPr="000A11AA">
        <w:rPr>
          <w:szCs w:val="22"/>
          <w:lang w:eastAsia="nl-BE"/>
        </w:rPr>
        <w:t>Het vinden van buitenlandse stageplaatsen is niet evident</w:t>
      </w:r>
    </w:p>
    <w:p w:rsidR="00684E90" w:rsidRPr="000A11AA" w:rsidRDefault="00684E90" w:rsidP="00B64C87">
      <w:pPr>
        <w:pStyle w:val="Lijstalinea"/>
        <w:numPr>
          <w:ilvl w:val="0"/>
          <w:numId w:val="7"/>
        </w:numPr>
        <w:ind w:left="709" w:hanging="284"/>
        <w:jc w:val="both"/>
        <w:rPr>
          <w:szCs w:val="22"/>
          <w:lang w:eastAsia="nl-BE"/>
        </w:rPr>
      </w:pPr>
      <w:r w:rsidRPr="000A11AA">
        <w:rPr>
          <w:szCs w:val="22"/>
          <w:lang w:eastAsia="nl-BE"/>
        </w:rPr>
        <w:t xml:space="preserve">We stellen vast dat een buitenlandse stage eerder een uitzondering is en zeker niet de regel. </w:t>
      </w:r>
    </w:p>
    <w:p w:rsidR="00684E90" w:rsidRPr="000A11AA" w:rsidRDefault="00684E90" w:rsidP="00B64C87">
      <w:pPr>
        <w:pStyle w:val="Lijstalinea"/>
        <w:numPr>
          <w:ilvl w:val="0"/>
          <w:numId w:val="7"/>
        </w:numPr>
        <w:ind w:left="709" w:hanging="284"/>
        <w:jc w:val="both"/>
        <w:rPr>
          <w:szCs w:val="22"/>
          <w:lang w:eastAsia="nl-BE"/>
        </w:rPr>
      </w:pPr>
      <w:r w:rsidRPr="000A11AA">
        <w:rPr>
          <w:szCs w:val="22"/>
          <w:lang w:eastAsia="nl-BE"/>
        </w:rPr>
        <w:t xml:space="preserve">Zoals hierboven bij </w:t>
      </w:r>
      <w:proofErr w:type="spellStart"/>
      <w:r w:rsidRPr="000A11AA">
        <w:rPr>
          <w:szCs w:val="22"/>
          <w:lang w:eastAsia="nl-BE"/>
        </w:rPr>
        <w:t>Comenius</w:t>
      </w:r>
      <w:proofErr w:type="spellEnd"/>
      <w:r w:rsidRPr="000A11AA">
        <w:rPr>
          <w:szCs w:val="22"/>
          <w:lang w:eastAsia="nl-BE"/>
        </w:rPr>
        <w:t xml:space="preserve"> beschreven is Europese werking inderdaad vaak pro deo werk van bevlogen leerkrachten</w:t>
      </w:r>
      <w:bookmarkStart w:id="6" w:name="_GoBack"/>
      <w:bookmarkEnd w:id="6"/>
    </w:p>
    <w:sectPr w:rsidR="00684E90" w:rsidRPr="000A11A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F08"/>
    <w:multiLevelType w:val="hybridMultilevel"/>
    <w:tmpl w:val="156E69E0"/>
    <w:lvl w:ilvl="0" w:tplc="D05E5F5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59840D1"/>
    <w:multiLevelType w:val="hybridMultilevel"/>
    <w:tmpl w:val="762C16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2754236"/>
    <w:multiLevelType w:val="hybridMultilevel"/>
    <w:tmpl w:val="8B2A2AD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33544B53"/>
    <w:multiLevelType w:val="hybridMultilevel"/>
    <w:tmpl w:val="4C502D04"/>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4">
    <w:nsid w:val="3F090115"/>
    <w:multiLevelType w:val="hybridMultilevel"/>
    <w:tmpl w:val="5F166A38"/>
    <w:lvl w:ilvl="0" w:tplc="08090001">
      <w:start w:val="1"/>
      <w:numFmt w:val="bullet"/>
      <w:lvlText w:val=""/>
      <w:lvlJc w:val="left"/>
      <w:pPr>
        <w:ind w:left="-1410" w:hanging="360"/>
      </w:pPr>
      <w:rPr>
        <w:rFonts w:ascii="Symbol" w:hAnsi="Symbol" w:hint="default"/>
      </w:rPr>
    </w:lvl>
    <w:lvl w:ilvl="1" w:tplc="08090003">
      <w:start w:val="1"/>
      <w:numFmt w:val="bullet"/>
      <w:lvlText w:val="o"/>
      <w:lvlJc w:val="left"/>
      <w:pPr>
        <w:ind w:left="-690" w:hanging="360"/>
      </w:pPr>
      <w:rPr>
        <w:rFonts w:ascii="Courier New" w:hAnsi="Courier New" w:cs="Courier New" w:hint="default"/>
      </w:rPr>
    </w:lvl>
    <w:lvl w:ilvl="2" w:tplc="08090005" w:tentative="1">
      <w:start w:val="1"/>
      <w:numFmt w:val="bullet"/>
      <w:lvlText w:val=""/>
      <w:lvlJc w:val="left"/>
      <w:pPr>
        <w:ind w:left="30" w:hanging="360"/>
      </w:pPr>
      <w:rPr>
        <w:rFonts w:ascii="Wingdings" w:hAnsi="Wingdings" w:hint="default"/>
      </w:rPr>
    </w:lvl>
    <w:lvl w:ilvl="3" w:tplc="08090001" w:tentative="1">
      <w:start w:val="1"/>
      <w:numFmt w:val="bullet"/>
      <w:lvlText w:val=""/>
      <w:lvlJc w:val="left"/>
      <w:pPr>
        <w:ind w:left="750" w:hanging="360"/>
      </w:pPr>
      <w:rPr>
        <w:rFonts w:ascii="Symbol" w:hAnsi="Symbol" w:hint="default"/>
      </w:rPr>
    </w:lvl>
    <w:lvl w:ilvl="4" w:tplc="08090003" w:tentative="1">
      <w:start w:val="1"/>
      <w:numFmt w:val="bullet"/>
      <w:lvlText w:val="o"/>
      <w:lvlJc w:val="left"/>
      <w:pPr>
        <w:ind w:left="1470" w:hanging="360"/>
      </w:pPr>
      <w:rPr>
        <w:rFonts w:ascii="Courier New" w:hAnsi="Courier New" w:cs="Courier New" w:hint="default"/>
      </w:rPr>
    </w:lvl>
    <w:lvl w:ilvl="5" w:tplc="08090005" w:tentative="1">
      <w:start w:val="1"/>
      <w:numFmt w:val="bullet"/>
      <w:lvlText w:val=""/>
      <w:lvlJc w:val="left"/>
      <w:pPr>
        <w:ind w:left="2190" w:hanging="360"/>
      </w:pPr>
      <w:rPr>
        <w:rFonts w:ascii="Wingdings" w:hAnsi="Wingdings" w:hint="default"/>
      </w:rPr>
    </w:lvl>
    <w:lvl w:ilvl="6" w:tplc="08090001" w:tentative="1">
      <w:start w:val="1"/>
      <w:numFmt w:val="bullet"/>
      <w:lvlText w:val=""/>
      <w:lvlJc w:val="left"/>
      <w:pPr>
        <w:ind w:left="2910" w:hanging="360"/>
      </w:pPr>
      <w:rPr>
        <w:rFonts w:ascii="Symbol" w:hAnsi="Symbol" w:hint="default"/>
      </w:rPr>
    </w:lvl>
    <w:lvl w:ilvl="7" w:tplc="08090003" w:tentative="1">
      <w:start w:val="1"/>
      <w:numFmt w:val="bullet"/>
      <w:lvlText w:val="o"/>
      <w:lvlJc w:val="left"/>
      <w:pPr>
        <w:ind w:left="3630" w:hanging="360"/>
      </w:pPr>
      <w:rPr>
        <w:rFonts w:ascii="Courier New" w:hAnsi="Courier New" w:cs="Courier New" w:hint="default"/>
      </w:rPr>
    </w:lvl>
    <w:lvl w:ilvl="8" w:tplc="08090005" w:tentative="1">
      <w:start w:val="1"/>
      <w:numFmt w:val="bullet"/>
      <w:lvlText w:val=""/>
      <w:lvlJc w:val="left"/>
      <w:pPr>
        <w:ind w:left="4350" w:hanging="360"/>
      </w:pPr>
      <w:rPr>
        <w:rFonts w:ascii="Wingdings" w:hAnsi="Wingdings" w:hint="default"/>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1AC4305"/>
    <w:multiLevelType w:val="hybridMultilevel"/>
    <w:tmpl w:val="CD0E40CE"/>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7">
    <w:nsid w:val="6EC96B3A"/>
    <w:multiLevelType w:val="hybridMultilevel"/>
    <w:tmpl w:val="3C4A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87A48"/>
    <w:rsid w:val="000972AD"/>
    <w:rsid w:val="000976E9"/>
    <w:rsid w:val="000A11AA"/>
    <w:rsid w:val="000C3FB7"/>
    <w:rsid w:val="000C4E8C"/>
    <w:rsid w:val="000F3532"/>
    <w:rsid w:val="0016486C"/>
    <w:rsid w:val="00210C07"/>
    <w:rsid w:val="002903AC"/>
    <w:rsid w:val="00326A58"/>
    <w:rsid w:val="00363AB3"/>
    <w:rsid w:val="003E507B"/>
    <w:rsid w:val="004C265A"/>
    <w:rsid w:val="004F0224"/>
    <w:rsid w:val="00550143"/>
    <w:rsid w:val="005838FA"/>
    <w:rsid w:val="005E38CA"/>
    <w:rsid w:val="00626447"/>
    <w:rsid w:val="006563FB"/>
    <w:rsid w:val="00684E90"/>
    <w:rsid w:val="0071248C"/>
    <w:rsid w:val="007252C7"/>
    <w:rsid w:val="00737E92"/>
    <w:rsid w:val="008373F6"/>
    <w:rsid w:val="00875506"/>
    <w:rsid w:val="00890790"/>
    <w:rsid w:val="008D1BFB"/>
    <w:rsid w:val="008D5DB4"/>
    <w:rsid w:val="009347E0"/>
    <w:rsid w:val="0093558D"/>
    <w:rsid w:val="009D7043"/>
    <w:rsid w:val="00A91D71"/>
    <w:rsid w:val="00B21B45"/>
    <w:rsid w:val="00B45EB2"/>
    <w:rsid w:val="00B64C87"/>
    <w:rsid w:val="00BE425A"/>
    <w:rsid w:val="00C6428F"/>
    <w:rsid w:val="00C75107"/>
    <w:rsid w:val="00C91441"/>
    <w:rsid w:val="00C966FB"/>
    <w:rsid w:val="00CD2445"/>
    <w:rsid w:val="00D71D99"/>
    <w:rsid w:val="00D754F2"/>
    <w:rsid w:val="00DB41C0"/>
    <w:rsid w:val="00DC4DB6"/>
    <w:rsid w:val="00E55200"/>
    <w:rsid w:val="00E85C8D"/>
    <w:rsid w:val="00EE3740"/>
    <w:rsid w:val="00F33385"/>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rsid w:val="0016486C"/>
    <w:pPr>
      <w:jc w:val="both"/>
    </w:pPr>
    <w:rPr>
      <w:szCs w:val="20"/>
    </w:rPr>
  </w:style>
  <w:style w:type="paragraph" w:styleId="Lijstalinea">
    <w:name w:val="List Paragraph"/>
    <w:basedOn w:val="Standaard"/>
    <w:uiPriority w:val="34"/>
    <w:qFormat/>
    <w:rsid w:val="00EE3740"/>
    <w:pPr>
      <w:ind w:left="720"/>
      <w:contextualSpacing/>
    </w:pPr>
  </w:style>
  <w:style w:type="paragraph" w:styleId="Ballontekst">
    <w:name w:val="Balloon Text"/>
    <w:basedOn w:val="Standaard"/>
    <w:link w:val="BallontekstChar"/>
    <w:rsid w:val="005838FA"/>
    <w:rPr>
      <w:rFonts w:ascii="Tahoma" w:hAnsi="Tahoma" w:cs="Tahoma"/>
      <w:sz w:val="16"/>
      <w:szCs w:val="16"/>
    </w:rPr>
  </w:style>
  <w:style w:type="character" w:customStyle="1" w:styleId="BallontekstChar">
    <w:name w:val="Ballontekst Char"/>
    <w:basedOn w:val="Standaardalinea-lettertype"/>
    <w:link w:val="Ballontekst"/>
    <w:rsid w:val="005838F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rsid w:val="0016486C"/>
    <w:pPr>
      <w:jc w:val="both"/>
    </w:pPr>
    <w:rPr>
      <w:szCs w:val="20"/>
    </w:rPr>
  </w:style>
  <w:style w:type="paragraph" w:styleId="Lijstalinea">
    <w:name w:val="List Paragraph"/>
    <w:basedOn w:val="Standaard"/>
    <w:uiPriority w:val="34"/>
    <w:qFormat/>
    <w:rsid w:val="00EE3740"/>
    <w:pPr>
      <w:ind w:left="720"/>
      <w:contextualSpacing/>
    </w:pPr>
  </w:style>
  <w:style w:type="paragraph" w:styleId="Ballontekst">
    <w:name w:val="Balloon Text"/>
    <w:basedOn w:val="Standaard"/>
    <w:link w:val="BallontekstChar"/>
    <w:rsid w:val="005838FA"/>
    <w:rPr>
      <w:rFonts w:ascii="Tahoma" w:hAnsi="Tahoma" w:cs="Tahoma"/>
      <w:sz w:val="16"/>
      <w:szCs w:val="16"/>
    </w:rPr>
  </w:style>
  <w:style w:type="character" w:customStyle="1" w:styleId="BallontekstChar">
    <w:name w:val="Ballontekst Char"/>
    <w:basedOn w:val="Standaardalinea-lettertype"/>
    <w:link w:val="Ballontekst"/>
    <w:rsid w:val="005838F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4302">
      <w:bodyDiv w:val="1"/>
      <w:marLeft w:val="0"/>
      <w:marRight w:val="0"/>
      <w:marTop w:val="0"/>
      <w:marBottom w:val="0"/>
      <w:divBdr>
        <w:top w:val="none" w:sz="0" w:space="0" w:color="auto"/>
        <w:left w:val="none" w:sz="0" w:space="0" w:color="auto"/>
        <w:bottom w:val="none" w:sz="0" w:space="0" w:color="auto"/>
        <w:right w:val="none" w:sz="0" w:space="0" w:color="auto"/>
      </w:divBdr>
    </w:div>
    <w:div w:id="1113130495">
      <w:bodyDiv w:val="1"/>
      <w:marLeft w:val="0"/>
      <w:marRight w:val="0"/>
      <w:marTop w:val="0"/>
      <w:marBottom w:val="0"/>
      <w:divBdr>
        <w:top w:val="none" w:sz="0" w:space="0" w:color="auto"/>
        <w:left w:val="none" w:sz="0" w:space="0" w:color="auto"/>
        <w:bottom w:val="none" w:sz="0" w:space="0" w:color="auto"/>
        <w:right w:val="none" w:sz="0" w:space="0" w:color="auto"/>
      </w:divBdr>
    </w:div>
    <w:div w:id="1327857599">
      <w:bodyDiv w:val="1"/>
      <w:marLeft w:val="0"/>
      <w:marRight w:val="0"/>
      <w:marTop w:val="0"/>
      <w:marBottom w:val="0"/>
      <w:divBdr>
        <w:top w:val="none" w:sz="0" w:space="0" w:color="auto"/>
        <w:left w:val="none" w:sz="0" w:space="0" w:color="auto"/>
        <w:bottom w:val="none" w:sz="0" w:space="0" w:color="auto"/>
        <w:right w:val="none" w:sz="0" w:space="0" w:color="auto"/>
      </w:divBdr>
    </w:div>
    <w:div w:id="1571883485">
      <w:bodyDiv w:val="1"/>
      <w:marLeft w:val="0"/>
      <w:marRight w:val="0"/>
      <w:marTop w:val="0"/>
      <w:marBottom w:val="0"/>
      <w:divBdr>
        <w:top w:val="none" w:sz="0" w:space="0" w:color="auto"/>
        <w:left w:val="none" w:sz="0" w:space="0" w:color="auto"/>
        <w:bottom w:val="none" w:sz="0" w:space="0" w:color="auto"/>
        <w:right w:val="none" w:sz="0" w:space="0" w:color="auto"/>
      </w:divBdr>
    </w:div>
    <w:div w:id="1659112501">
      <w:bodyDiv w:val="1"/>
      <w:marLeft w:val="0"/>
      <w:marRight w:val="0"/>
      <w:marTop w:val="0"/>
      <w:marBottom w:val="0"/>
      <w:divBdr>
        <w:top w:val="none" w:sz="0" w:space="0" w:color="auto"/>
        <w:left w:val="none" w:sz="0" w:space="0" w:color="auto"/>
        <w:bottom w:val="none" w:sz="0" w:space="0" w:color="auto"/>
        <w:right w:val="none" w:sz="0" w:space="0" w:color="auto"/>
      </w:divBdr>
    </w:div>
    <w:div w:id="21001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mail.vlaanderen.be/owa/redir.aspx?C=f8ffbe5fb2fe4eed953607e6330a7b32&amp;URL=http%3a%2f%2fwww.ond.vlaanderen.be%2finternationaal%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F11D-B595-4C50-AEEF-E53B8FF0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4</TotalTime>
  <Pages>3</Pages>
  <Words>1331</Words>
  <Characters>8086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2013-06-10T11:51:00Z</cp:lastPrinted>
  <dcterms:created xsi:type="dcterms:W3CDTF">2013-06-11T07:54:00Z</dcterms:created>
  <dcterms:modified xsi:type="dcterms:W3CDTF">2013-07-01T05:50:00Z</dcterms:modified>
</cp:coreProperties>
</file>