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3E" w:rsidRPr="00693743" w:rsidRDefault="00A4543E" w:rsidP="00A4543E">
      <w:pPr>
        <w:jc w:val="both"/>
        <w:rPr>
          <w:rFonts w:ascii="Times New Roman Vet" w:hAnsi="Times New Roman Vet"/>
          <w:smallCaps/>
          <w:sz w:val="22"/>
          <w:szCs w:val="22"/>
          <w:lang w:val="nl-BE"/>
        </w:rPr>
      </w:pPr>
      <w:proofErr w:type="spellStart"/>
      <w:r w:rsidRPr="00693743">
        <w:rPr>
          <w:rFonts w:ascii="Times New Roman Vet" w:hAnsi="Times New Roman Vet"/>
          <w:b/>
          <w:smallCaps/>
          <w:sz w:val="22"/>
          <w:szCs w:val="22"/>
          <w:lang w:val="nl-BE"/>
        </w:rPr>
        <w:t>ingrid</w:t>
      </w:r>
      <w:proofErr w:type="spellEnd"/>
      <w:r w:rsidRPr="00693743">
        <w:rPr>
          <w:rFonts w:ascii="Times New Roman Vet" w:hAnsi="Times New Roman Vet"/>
          <w:b/>
          <w:smallCaps/>
          <w:sz w:val="22"/>
          <w:szCs w:val="22"/>
          <w:lang w:val="nl-BE"/>
        </w:rPr>
        <w:t xml:space="preserve"> lieten</w:t>
      </w:r>
    </w:p>
    <w:p w:rsidR="00A4543E" w:rsidRPr="00693743" w:rsidRDefault="00A4543E" w:rsidP="00A4543E">
      <w:pPr>
        <w:pStyle w:val="StandaardSV"/>
        <w:pBdr>
          <w:bottom w:val="single" w:sz="4" w:space="1" w:color="auto"/>
        </w:pBdr>
        <w:rPr>
          <w:smallCaps/>
          <w:szCs w:val="22"/>
          <w:lang w:val="nl-BE"/>
        </w:rPr>
      </w:pPr>
      <w:r w:rsidRPr="00693743">
        <w:rPr>
          <w:smallCaps/>
          <w:szCs w:val="22"/>
          <w:lang w:val="nl-BE"/>
        </w:rPr>
        <w:t xml:space="preserve">viceminister-president van de </w:t>
      </w:r>
      <w:proofErr w:type="spellStart"/>
      <w:proofErr w:type="gramStart"/>
      <w:r w:rsidRPr="00693743">
        <w:rPr>
          <w:smallCaps/>
          <w:szCs w:val="22"/>
          <w:lang w:val="nl-BE"/>
        </w:rPr>
        <w:t>vlaamse</w:t>
      </w:r>
      <w:proofErr w:type="spellEnd"/>
      <w:proofErr w:type="gramEnd"/>
      <w:r w:rsidRPr="00693743">
        <w:rPr>
          <w:smallCaps/>
          <w:szCs w:val="22"/>
          <w:lang w:val="nl-BE"/>
        </w:rPr>
        <w:t xml:space="preserve"> regering, </w:t>
      </w:r>
      <w:proofErr w:type="spellStart"/>
      <w:r w:rsidRPr="00693743">
        <w:rPr>
          <w:smallCaps/>
          <w:szCs w:val="22"/>
          <w:lang w:val="nl-BE"/>
        </w:rPr>
        <w:t>vlaams</w:t>
      </w:r>
      <w:proofErr w:type="spellEnd"/>
      <w:r w:rsidRPr="00693743">
        <w:rPr>
          <w:smallCaps/>
          <w:szCs w:val="22"/>
          <w:lang w:val="nl-BE"/>
        </w:rPr>
        <w:t xml:space="preserve"> minister van innovatie, overheidsinvesteringen, media en armoedebestrijding</w:t>
      </w:r>
    </w:p>
    <w:p w:rsidR="00A4543E" w:rsidRDefault="00A4543E" w:rsidP="00A4543E">
      <w:pPr>
        <w:pStyle w:val="StandaardSV"/>
        <w:pBdr>
          <w:bottom w:val="single" w:sz="4" w:space="1" w:color="auto"/>
        </w:pBdr>
      </w:pPr>
    </w:p>
    <w:p w:rsidR="00A4543E" w:rsidRDefault="00A4543E" w:rsidP="00A4543E">
      <w:pPr>
        <w:jc w:val="both"/>
        <w:rPr>
          <w:sz w:val="22"/>
        </w:rPr>
      </w:pPr>
    </w:p>
    <w:p w:rsidR="00C56510" w:rsidRDefault="00C56510" w:rsidP="00A4543E">
      <w:pPr>
        <w:jc w:val="both"/>
        <w:rPr>
          <w:sz w:val="22"/>
        </w:rPr>
      </w:pPr>
      <w:r>
        <w:rPr>
          <w:b/>
          <w:smallCaps/>
        </w:rPr>
        <w:t>antwoord</w:t>
      </w:r>
    </w:p>
    <w:p w:rsidR="00A4543E" w:rsidRDefault="00AB5E4F" w:rsidP="00A4543E">
      <w:pPr>
        <w:jc w:val="both"/>
        <w:rPr>
          <w:sz w:val="22"/>
        </w:rPr>
      </w:pPr>
      <w:r>
        <w:rPr>
          <w:sz w:val="22"/>
        </w:rPr>
        <w:t>op v</w:t>
      </w:r>
      <w:r w:rsidR="00A4543E">
        <w:rPr>
          <w:sz w:val="22"/>
        </w:rPr>
        <w:t>raag nr. 419</w:t>
      </w:r>
      <w:r w:rsidR="00C56510">
        <w:rPr>
          <w:sz w:val="22"/>
        </w:rPr>
        <w:t xml:space="preserve"> </w:t>
      </w:r>
      <w:r w:rsidR="00A4543E">
        <w:rPr>
          <w:sz w:val="22"/>
        </w:rPr>
        <w:t>van 23 mei 2013</w:t>
      </w:r>
    </w:p>
    <w:p w:rsidR="00A4543E" w:rsidRDefault="00A4543E" w:rsidP="00A4543E">
      <w:pPr>
        <w:pStyle w:val="StandaardSV"/>
        <w:rPr>
          <w:b/>
        </w:rPr>
      </w:pPr>
      <w:r>
        <w:t xml:space="preserve">van </w:t>
      </w:r>
      <w:proofErr w:type="spellStart"/>
      <w:r>
        <w:rPr>
          <w:b/>
          <w:smallCaps/>
        </w:rPr>
        <w:t>matthias</w:t>
      </w:r>
      <w:proofErr w:type="spellEnd"/>
      <w:r>
        <w:rPr>
          <w:b/>
          <w:smallCaps/>
        </w:rPr>
        <w:t xml:space="preserve"> </w:t>
      </w:r>
      <w:proofErr w:type="spellStart"/>
      <w:r>
        <w:rPr>
          <w:b/>
          <w:smallCaps/>
        </w:rPr>
        <w:t>diependaele</w:t>
      </w:r>
      <w:proofErr w:type="spellEnd"/>
    </w:p>
    <w:p w:rsidR="00A4543E" w:rsidRDefault="00A4543E" w:rsidP="00A4543E">
      <w:pPr>
        <w:pBdr>
          <w:bottom w:val="single" w:sz="4" w:space="1" w:color="auto"/>
        </w:pBdr>
        <w:jc w:val="both"/>
        <w:rPr>
          <w:sz w:val="22"/>
        </w:rPr>
      </w:pPr>
    </w:p>
    <w:p w:rsidR="00A4543E" w:rsidRDefault="00A4543E" w:rsidP="00A4543E">
      <w:pPr>
        <w:pStyle w:val="StandaardSV"/>
      </w:pPr>
    </w:p>
    <w:p w:rsidR="00A4543E" w:rsidRDefault="00A4543E" w:rsidP="00A4543E">
      <w:pPr>
        <w:pStyle w:val="StandaardSV"/>
      </w:pPr>
    </w:p>
    <w:p w:rsidR="007820E4" w:rsidRDefault="00AB5E4F" w:rsidP="00AB5E4F">
      <w:pPr>
        <w:pStyle w:val="Lijstalinea"/>
        <w:numPr>
          <w:ilvl w:val="0"/>
          <w:numId w:val="20"/>
        </w:numPr>
        <w:rPr>
          <w:b/>
          <w:bCs/>
          <w:sz w:val="22"/>
          <w:szCs w:val="22"/>
        </w:rPr>
      </w:pPr>
      <w:r>
        <w:rPr>
          <w:b/>
          <w:bCs/>
          <w:sz w:val="22"/>
          <w:szCs w:val="22"/>
        </w:rPr>
        <w:t xml:space="preserve">Overzicht van </w:t>
      </w:r>
      <w:r w:rsidR="000574FA" w:rsidRPr="00AB5E4F">
        <w:rPr>
          <w:b/>
          <w:bCs/>
          <w:sz w:val="22"/>
          <w:szCs w:val="22"/>
        </w:rPr>
        <w:t>behandelde projecten in de periode 2009-2012*</w:t>
      </w:r>
    </w:p>
    <w:p w:rsidR="00404B17" w:rsidRPr="00AB5E4F" w:rsidRDefault="00404B17" w:rsidP="00404B17">
      <w:pPr>
        <w:pStyle w:val="Lijstalinea"/>
        <w:ind w:left="360"/>
        <w:rPr>
          <w:b/>
          <w:bCs/>
          <w:sz w:val="22"/>
          <w:szCs w:val="22"/>
        </w:rPr>
      </w:pPr>
    </w:p>
    <w:tbl>
      <w:tblPr>
        <w:tblStyle w:val="Tabelraster"/>
        <w:tblW w:w="9212" w:type="dxa"/>
        <w:tblInd w:w="108" w:type="dxa"/>
        <w:tblLayout w:type="fixed"/>
        <w:tblLook w:val="04A0" w:firstRow="1" w:lastRow="0" w:firstColumn="1" w:lastColumn="0" w:noHBand="0" w:noVBand="1"/>
      </w:tblPr>
      <w:tblGrid>
        <w:gridCol w:w="4678"/>
        <w:gridCol w:w="1133"/>
        <w:gridCol w:w="1134"/>
        <w:gridCol w:w="1133"/>
        <w:gridCol w:w="1134"/>
      </w:tblGrid>
      <w:tr w:rsidR="007820E4" w:rsidRPr="00AB5E4F" w:rsidTr="00BF3DF6">
        <w:tc>
          <w:tcPr>
            <w:tcW w:w="4678" w:type="dxa"/>
          </w:tcPr>
          <w:p w:rsidR="007820E4" w:rsidRPr="00AB5E4F" w:rsidRDefault="007820E4" w:rsidP="007820E4">
            <w:pPr>
              <w:pStyle w:val="StandaardSV"/>
              <w:jc w:val="center"/>
              <w:rPr>
                <w:szCs w:val="22"/>
              </w:rPr>
            </w:pPr>
          </w:p>
        </w:tc>
        <w:tc>
          <w:tcPr>
            <w:tcW w:w="1133" w:type="dxa"/>
          </w:tcPr>
          <w:p w:rsidR="007820E4" w:rsidRPr="00AB5E4F" w:rsidRDefault="007820E4" w:rsidP="001E37D0">
            <w:pPr>
              <w:pStyle w:val="StandaardSV"/>
              <w:jc w:val="center"/>
              <w:rPr>
                <w:b/>
                <w:szCs w:val="22"/>
              </w:rPr>
            </w:pPr>
            <w:r w:rsidRPr="00AB5E4F">
              <w:rPr>
                <w:b/>
                <w:szCs w:val="22"/>
              </w:rPr>
              <w:t>2009</w:t>
            </w:r>
          </w:p>
        </w:tc>
        <w:tc>
          <w:tcPr>
            <w:tcW w:w="1134" w:type="dxa"/>
          </w:tcPr>
          <w:p w:rsidR="007820E4" w:rsidRPr="00AB5E4F" w:rsidRDefault="007820E4" w:rsidP="001E37D0">
            <w:pPr>
              <w:pStyle w:val="StandaardSV"/>
              <w:jc w:val="center"/>
              <w:rPr>
                <w:b/>
                <w:szCs w:val="22"/>
              </w:rPr>
            </w:pPr>
            <w:r w:rsidRPr="00AB5E4F">
              <w:rPr>
                <w:b/>
                <w:szCs w:val="22"/>
              </w:rPr>
              <w:t>2010</w:t>
            </w:r>
          </w:p>
        </w:tc>
        <w:tc>
          <w:tcPr>
            <w:tcW w:w="1133" w:type="dxa"/>
          </w:tcPr>
          <w:p w:rsidR="007820E4" w:rsidRPr="00AB5E4F" w:rsidRDefault="007820E4" w:rsidP="001E37D0">
            <w:pPr>
              <w:pStyle w:val="StandaardSV"/>
              <w:jc w:val="center"/>
              <w:rPr>
                <w:b/>
                <w:szCs w:val="22"/>
              </w:rPr>
            </w:pPr>
            <w:r w:rsidRPr="00AB5E4F">
              <w:rPr>
                <w:b/>
                <w:szCs w:val="22"/>
              </w:rPr>
              <w:t>2011</w:t>
            </w:r>
          </w:p>
        </w:tc>
        <w:tc>
          <w:tcPr>
            <w:tcW w:w="1134" w:type="dxa"/>
          </w:tcPr>
          <w:p w:rsidR="007820E4" w:rsidRPr="00AB5E4F" w:rsidRDefault="007820E4" w:rsidP="001E37D0">
            <w:pPr>
              <w:pStyle w:val="StandaardSV"/>
              <w:jc w:val="center"/>
              <w:rPr>
                <w:b/>
                <w:szCs w:val="22"/>
              </w:rPr>
            </w:pPr>
            <w:r w:rsidRPr="00AB5E4F">
              <w:rPr>
                <w:b/>
                <w:szCs w:val="22"/>
              </w:rPr>
              <w:t>2012</w:t>
            </w:r>
          </w:p>
        </w:tc>
      </w:tr>
      <w:tr w:rsidR="007820E4" w:rsidRPr="00AB5E4F" w:rsidTr="00BF3DF6">
        <w:tc>
          <w:tcPr>
            <w:tcW w:w="4678" w:type="dxa"/>
          </w:tcPr>
          <w:p w:rsidR="007820E4" w:rsidRPr="00AB5E4F" w:rsidRDefault="007820E4" w:rsidP="007820E4">
            <w:pPr>
              <w:pStyle w:val="StandaardSV"/>
              <w:rPr>
                <w:szCs w:val="22"/>
              </w:rPr>
            </w:pPr>
            <w:r w:rsidRPr="00AB5E4F">
              <w:rPr>
                <w:szCs w:val="22"/>
              </w:rPr>
              <w:t>IWT-bedrijfssteun</w:t>
            </w:r>
          </w:p>
        </w:tc>
        <w:tc>
          <w:tcPr>
            <w:tcW w:w="1133" w:type="dxa"/>
          </w:tcPr>
          <w:p w:rsidR="007820E4" w:rsidRPr="00AB5E4F" w:rsidRDefault="001E37D0" w:rsidP="001E37D0">
            <w:pPr>
              <w:pStyle w:val="StandaardSV"/>
              <w:jc w:val="center"/>
              <w:rPr>
                <w:szCs w:val="22"/>
              </w:rPr>
            </w:pPr>
            <w:r w:rsidRPr="00AB5E4F">
              <w:rPr>
                <w:szCs w:val="22"/>
              </w:rPr>
              <w:t>611</w:t>
            </w:r>
            <w:r w:rsidR="00975F5F" w:rsidRPr="00AB5E4F">
              <w:rPr>
                <w:szCs w:val="22"/>
              </w:rPr>
              <w:t xml:space="preserve"> (643)</w:t>
            </w:r>
          </w:p>
        </w:tc>
        <w:tc>
          <w:tcPr>
            <w:tcW w:w="1134" w:type="dxa"/>
          </w:tcPr>
          <w:p w:rsidR="007820E4" w:rsidRPr="00AB5E4F" w:rsidRDefault="001E37D0" w:rsidP="001E37D0">
            <w:pPr>
              <w:pStyle w:val="StandaardSV"/>
              <w:jc w:val="center"/>
              <w:rPr>
                <w:szCs w:val="22"/>
              </w:rPr>
            </w:pPr>
            <w:r w:rsidRPr="00AB5E4F">
              <w:rPr>
                <w:szCs w:val="22"/>
              </w:rPr>
              <w:t>577</w:t>
            </w:r>
            <w:r w:rsidR="00975F5F" w:rsidRPr="00AB5E4F">
              <w:rPr>
                <w:szCs w:val="22"/>
              </w:rPr>
              <w:t xml:space="preserve"> (524)</w:t>
            </w:r>
          </w:p>
        </w:tc>
        <w:tc>
          <w:tcPr>
            <w:tcW w:w="1133" w:type="dxa"/>
          </w:tcPr>
          <w:p w:rsidR="007820E4" w:rsidRPr="00AB5E4F" w:rsidRDefault="001E37D0" w:rsidP="001E37D0">
            <w:pPr>
              <w:pStyle w:val="StandaardSV"/>
              <w:jc w:val="center"/>
              <w:rPr>
                <w:szCs w:val="22"/>
              </w:rPr>
            </w:pPr>
            <w:r w:rsidRPr="00AB5E4F">
              <w:rPr>
                <w:szCs w:val="22"/>
              </w:rPr>
              <w:t>462</w:t>
            </w:r>
            <w:r w:rsidR="00975F5F" w:rsidRPr="00AB5E4F">
              <w:rPr>
                <w:szCs w:val="22"/>
              </w:rPr>
              <w:t xml:space="preserve"> (489)</w:t>
            </w:r>
          </w:p>
        </w:tc>
        <w:tc>
          <w:tcPr>
            <w:tcW w:w="1134" w:type="dxa"/>
          </w:tcPr>
          <w:p w:rsidR="007820E4" w:rsidRPr="00AB5E4F" w:rsidRDefault="001E37D0" w:rsidP="001E37D0">
            <w:pPr>
              <w:pStyle w:val="StandaardSV"/>
              <w:jc w:val="center"/>
              <w:rPr>
                <w:szCs w:val="22"/>
              </w:rPr>
            </w:pPr>
            <w:r w:rsidRPr="00AB5E4F">
              <w:rPr>
                <w:szCs w:val="22"/>
              </w:rPr>
              <w:t>529</w:t>
            </w:r>
            <w:r w:rsidR="00975F5F" w:rsidRPr="00AB5E4F">
              <w:rPr>
                <w:szCs w:val="22"/>
              </w:rPr>
              <w:t xml:space="preserve"> (576)</w:t>
            </w:r>
          </w:p>
        </w:tc>
      </w:tr>
      <w:tr w:rsidR="007820E4" w:rsidRPr="00AB5E4F" w:rsidTr="00BF3DF6">
        <w:tc>
          <w:tcPr>
            <w:tcW w:w="4678" w:type="dxa"/>
          </w:tcPr>
          <w:p w:rsidR="007820E4" w:rsidRPr="00AB5E4F" w:rsidRDefault="007820E4" w:rsidP="001E37D0">
            <w:pPr>
              <w:pStyle w:val="StandaardSV"/>
              <w:numPr>
                <w:ilvl w:val="0"/>
                <w:numId w:val="18"/>
              </w:numPr>
              <w:rPr>
                <w:szCs w:val="22"/>
              </w:rPr>
            </w:pPr>
            <w:r w:rsidRPr="00AB5E4F">
              <w:rPr>
                <w:szCs w:val="22"/>
              </w:rPr>
              <w:t>O&amp;O</w:t>
            </w:r>
            <w:r w:rsidR="001E37D0" w:rsidRPr="00AB5E4F">
              <w:rPr>
                <w:szCs w:val="22"/>
              </w:rPr>
              <w:t>-bedrijfsprojecten</w:t>
            </w:r>
          </w:p>
        </w:tc>
        <w:tc>
          <w:tcPr>
            <w:tcW w:w="1133" w:type="dxa"/>
          </w:tcPr>
          <w:p w:rsidR="007820E4" w:rsidRPr="00AB5E4F" w:rsidRDefault="001E37D0" w:rsidP="001E37D0">
            <w:pPr>
              <w:pStyle w:val="StandaardSV"/>
              <w:jc w:val="center"/>
              <w:rPr>
                <w:szCs w:val="22"/>
              </w:rPr>
            </w:pPr>
            <w:r w:rsidRPr="00AB5E4F">
              <w:rPr>
                <w:szCs w:val="22"/>
              </w:rPr>
              <w:t>226</w:t>
            </w:r>
            <w:r w:rsidR="00975F5F" w:rsidRPr="00AB5E4F">
              <w:rPr>
                <w:szCs w:val="22"/>
              </w:rPr>
              <w:t xml:space="preserve"> (237)</w:t>
            </w:r>
          </w:p>
        </w:tc>
        <w:tc>
          <w:tcPr>
            <w:tcW w:w="1134" w:type="dxa"/>
          </w:tcPr>
          <w:p w:rsidR="007820E4" w:rsidRPr="00AB5E4F" w:rsidRDefault="001E37D0" w:rsidP="001E37D0">
            <w:pPr>
              <w:pStyle w:val="StandaardSV"/>
              <w:jc w:val="center"/>
              <w:rPr>
                <w:szCs w:val="22"/>
              </w:rPr>
            </w:pPr>
            <w:r w:rsidRPr="00AB5E4F">
              <w:rPr>
                <w:szCs w:val="22"/>
              </w:rPr>
              <w:t>191</w:t>
            </w:r>
            <w:r w:rsidR="00975F5F" w:rsidRPr="00AB5E4F">
              <w:rPr>
                <w:szCs w:val="22"/>
              </w:rPr>
              <w:t xml:space="preserve"> (182)</w:t>
            </w:r>
          </w:p>
        </w:tc>
        <w:tc>
          <w:tcPr>
            <w:tcW w:w="1133" w:type="dxa"/>
          </w:tcPr>
          <w:p w:rsidR="007820E4" w:rsidRPr="00AB5E4F" w:rsidRDefault="001E37D0" w:rsidP="001E37D0">
            <w:pPr>
              <w:pStyle w:val="StandaardSV"/>
              <w:jc w:val="center"/>
              <w:rPr>
                <w:szCs w:val="22"/>
              </w:rPr>
            </w:pPr>
            <w:r w:rsidRPr="00AB5E4F">
              <w:rPr>
                <w:szCs w:val="22"/>
              </w:rPr>
              <w:t>192</w:t>
            </w:r>
            <w:r w:rsidR="00975F5F" w:rsidRPr="00AB5E4F">
              <w:rPr>
                <w:szCs w:val="22"/>
              </w:rPr>
              <w:t xml:space="preserve"> (202)</w:t>
            </w:r>
          </w:p>
        </w:tc>
        <w:tc>
          <w:tcPr>
            <w:tcW w:w="1134" w:type="dxa"/>
          </w:tcPr>
          <w:p w:rsidR="007820E4" w:rsidRPr="00AB5E4F" w:rsidRDefault="001E37D0" w:rsidP="001E37D0">
            <w:pPr>
              <w:pStyle w:val="StandaardSV"/>
              <w:jc w:val="center"/>
              <w:rPr>
                <w:szCs w:val="22"/>
              </w:rPr>
            </w:pPr>
            <w:r w:rsidRPr="00AB5E4F">
              <w:rPr>
                <w:szCs w:val="22"/>
              </w:rPr>
              <w:t>187</w:t>
            </w:r>
            <w:r w:rsidR="00975F5F" w:rsidRPr="00AB5E4F">
              <w:rPr>
                <w:szCs w:val="22"/>
              </w:rPr>
              <w:t xml:space="preserve"> (215)</w:t>
            </w:r>
          </w:p>
        </w:tc>
      </w:tr>
      <w:tr w:rsidR="007820E4" w:rsidRPr="00AB5E4F" w:rsidTr="00BF3DF6">
        <w:tc>
          <w:tcPr>
            <w:tcW w:w="4678" w:type="dxa"/>
          </w:tcPr>
          <w:p w:rsidR="007820E4" w:rsidRPr="00AB5E4F" w:rsidRDefault="007820E4" w:rsidP="001E37D0">
            <w:pPr>
              <w:pStyle w:val="StandaardSV"/>
              <w:numPr>
                <w:ilvl w:val="0"/>
                <w:numId w:val="18"/>
              </w:numPr>
              <w:rPr>
                <w:szCs w:val="22"/>
              </w:rPr>
            </w:pPr>
            <w:proofErr w:type="spellStart"/>
            <w:r w:rsidRPr="00AB5E4F">
              <w:rPr>
                <w:szCs w:val="22"/>
              </w:rPr>
              <w:t>Kmo</w:t>
            </w:r>
            <w:proofErr w:type="spellEnd"/>
            <w:r w:rsidRPr="00AB5E4F">
              <w:rPr>
                <w:szCs w:val="22"/>
              </w:rPr>
              <w:t>-programma</w:t>
            </w:r>
          </w:p>
        </w:tc>
        <w:tc>
          <w:tcPr>
            <w:tcW w:w="1133" w:type="dxa"/>
          </w:tcPr>
          <w:p w:rsidR="007820E4" w:rsidRPr="00AB5E4F" w:rsidRDefault="001E37D0" w:rsidP="001E37D0">
            <w:pPr>
              <w:pStyle w:val="StandaardSV"/>
              <w:jc w:val="center"/>
              <w:rPr>
                <w:szCs w:val="22"/>
              </w:rPr>
            </w:pPr>
            <w:r w:rsidRPr="00AB5E4F">
              <w:rPr>
                <w:szCs w:val="22"/>
              </w:rPr>
              <w:t>385</w:t>
            </w:r>
            <w:r w:rsidR="00975F5F" w:rsidRPr="00AB5E4F">
              <w:rPr>
                <w:szCs w:val="22"/>
              </w:rPr>
              <w:t xml:space="preserve"> (406)</w:t>
            </w:r>
          </w:p>
        </w:tc>
        <w:tc>
          <w:tcPr>
            <w:tcW w:w="1134" w:type="dxa"/>
          </w:tcPr>
          <w:p w:rsidR="007820E4" w:rsidRPr="00AB5E4F" w:rsidRDefault="001E37D0" w:rsidP="001E37D0">
            <w:pPr>
              <w:pStyle w:val="StandaardSV"/>
              <w:jc w:val="center"/>
              <w:rPr>
                <w:szCs w:val="22"/>
              </w:rPr>
            </w:pPr>
            <w:r w:rsidRPr="00AB5E4F">
              <w:rPr>
                <w:szCs w:val="22"/>
              </w:rPr>
              <w:t>386</w:t>
            </w:r>
            <w:r w:rsidR="00975F5F" w:rsidRPr="00AB5E4F">
              <w:rPr>
                <w:szCs w:val="22"/>
              </w:rPr>
              <w:t xml:space="preserve"> (332)</w:t>
            </w:r>
          </w:p>
        </w:tc>
        <w:tc>
          <w:tcPr>
            <w:tcW w:w="1133" w:type="dxa"/>
          </w:tcPr>
          <w:p w:rsidR="007820E4" w:rsidRPr="00AB5E4F" w:rsidRDefault="001E37D0" w:rsidP="001E37D0">
            <w:pPr>
              <w:pStyle w:val="StandaardSV"/>
              <w:jc w:val="center"/>
              <w:rPr>
                <w:szCs w:val="22"/>
              </w:rPr>
            </w:pPr>
            <w:r w:rsidRPr="00AB5E4F">
              <w:rPr>
                <w:szCs w:val="22"/>
              </w:rPr>
              <w:t>270</w:t>
            </w:r>
            <w:r w:rsidR="00975F5F" w:rsidRPr="00AB5E4F">
              <w:rPr>
                <w:szCs w:val="22"/>
              </w:rPr>
              <w:t>(287)</w:t>
            </w:r>
          </w:p>
        </w:tc>
        <w:tc>
          <w:tcPr>
            <w:tcW w:w="1134" w:type="dxa"/>
          </w:tcPr>
          <w:p w:rsidR="007820E4" w:rsidRPr="00AB5E4F" w:rsidRDefault="001E37D0" w:rsidP="001E37D0">
            <w:pPr>
              <w:pStyle w:val="StandaardSV"/>
              <w:jc w:val="center"/>
              <w:rPr>
                <w:szCs w:val="22"/>
              </w:rPr>
            </w:pPr>
            <w:r w:rsidRPr="00AB5E4F">
              <w:rPr>
                <w:szCs w:val="22"/>
              </w:rPr>
              <w:t>325</w:t>
            </w:r>
            <w:r w:rsidR="00975F5F" w:rsidRPr="00AB5E4F">
              <w:rPr>
                <w:szCs w:val="22"/>
              </w:rPr>
              <w:t xml:space="preserve"> (361)</w:t>
            </w:r>
          </w:p>
        </w:tc>
      </w:tr>
      <w:tr w:rsidR="001E37D0" w:rsidRPr="00AB5E4F" w:rsidTr="00BF3DF6">
        <w:tc>
          <w:tcPr>
            <w:tcW w:w="4678" w:type="dxa"/>
          </w:tcPr>
          <w:p w:rsidR="001E37D0" w:rsidRPr="00AB5E4F" w:rsidRDefault="001E37D0" w:rsidP="009E427F">
            <w:pPr>
              <w:pStyle w:val="StandaardSV"/>
              <w:numPr>
                <w:ilvl w:val="0"/>
                <w:numId w:val="18"/>
              </w:numPr>
              <w:rPr>
                <w:szCs w:val="22"/>
              </w:rPr>
            </w:pPr>
            <w:r w:rsidRPr="00AB5E4F">
              <w:rPr>
                <w:szCs w:val="22"/>
              </w:rPr>
              <w:t>EUREKA*</w:t>
            </w:r>
            <w:r w:rsidR="000574FA" w:rsidRPr="00AB5E4F">
              <w:rPr>
                <w:szCs w:val="22"/>
              </w:rPr>
              <w:t>*</w:t>
            </w:r>
          </w:p>
        </w:tc>
        <w:tc>
          <w:tcPr>
            <w:tcW w:w="1133" w:type="dxa"/>
          </w:tcPr>
          <w:p w:rsidR="001E37D0" w:rsidRPr="00AB5E4F" w:rsidRDefault="00EE3A01" w:rsidP="001E37D0">
            <w:pPr>
              <w:pStyle w:val="StandaardSV"/>
              <w:jc w:val="center"/>
              <w:rPr>
                <w:szCs w:val="22"/>
              </w:rPr>
            </w:pPr>
            <w:r w:rsidRPr="00AB5E4F">
              <w:rPr>
                <w:szCs w:val="22"/>
              </w:rPr>
              <w:t>23</w:t>
            </w:r>
            <w:r w:rsidR="00975F5F" w:rsidRPr="00AB5E4F">
              <w:rPr>
                <w:szCs w:val="22"/>
              </w:rPr>
              <w:t xml:space="preserve"> (19)</w:t>
            </w:r>
          </w:p>
        </w:tc>
        <w:tc>
          <w:tcPr>
            <w:tcW w:w="1134" w:type="dxa"/>
          </w:tcPr>
          <w:p w:rsidR="001E37D0" w:rsidRPr="00AB5E4F" w:rsidRDefault="00EE3A01" w:rsidP="001E37D0">
            <w:pPr>
              <w:pStyle w:val="StandaardSV"/>
              <w:jc w:val="center"/>
              <w:rPr>
                <w:szCs w:val="22"/>
              </w:rPr>
            </w:pPr>
            <w:r w:rsidRPr="00AB5E4F">
              <w:rPr>
                <w:szCs w:val="22"/>
              </w:rPr>
              <w:t>24</w:t>
            </w:r>
            <w:r w:rsidR="00975F5F" w:rsidRPr="00AB5E4F">
              <w:rPr>
                <w:szCs w:val="22"/>
              </w:rPr>
              <w:t xml:space="preserve"> (29)</w:t>
            </w:r>
          </w:p>
        </w:tc>
        <w:tc>
          <w:tcPr>
            <w:tcW w:w="1133" w:type="dxa"/>
          </w:tcPr>
          <w:p w:rsidR="001E37D0" w:rsidRPr="00AB5E4F" w:rsidRDefault="00EE3A01" w:rsidP="001E37D0">
            <w:pPr>
              <w:pStyle w:val="StandaardSV"/>
              <w:jc w:val="center"/>
              <w:rPr>
                <w:szCs w:val="22"/>
              </w:rPr>
            </w:pPr>
            <w:r w:rsidRPr="00AB5E4F">
              <w:rPr>
                <w:szCs w:val="22"/>
              </w:rPr>
              <w:t>22</w:t>
            </w:r>
            <w:r w:rsidR="00975F5F" w:rsidRPr="00AB5E4F">
              <w:rPr>
                <w:szCs w:val="22"/>
              </w:rPr>
              <w:t xml:space="preserve"> (22)</w:t>
            </w:r>
          </w:p>
        </w:tc>
        <w:tc>
          <w:tcPr>
            <w:tcW w:w="1134" w:type="dxa"/>
          </w:tcPr>
          <w:p w:rsidR="001E37D0" w:rsidRPr="00AB5E4F" w:rsidRDefault="00EE3A01" w:rsidP="001E37D0">
            <w:pPr>
              <w:pStyle w:val="StandaardSV"/>
              <w:jc w:val="center"/>
              <w:rPr>
                <w:szCs w:val="22"/>
              </w:rPr>
            </w:pPr>
            <w:r w:rsidRPr="00AB5E4F">
              <w:rPr>
                <w:szCs w:val="22"/>
              </w:rPr>
              <w:t>31</w:t>
            </w:r>
            <w:r w:rsidR="00975F5F" w:rsidRPr="00AB5E4F">
              <w:rPr>
                <w:szCs w:val="22"/>
              </w:rPr>
              <w:t xml:space="preserve"> (32)</w:t>
            </w:r>
          </w:p>
        </w:tc>
      </w:tr>
      <w:tr w:rsidR="007820E4" w:rsidRPr="00AB5E4F" w:rsidTr="00BF3DF6">
        <w:tc>
          <w:tcPr>
            <w:tcW w:w="4678" w:type="dxa"/>
          </w:tcPr>
          <w:p w:rsidR="007820E4" w:rsidRPr="00AB5E4F" w:rsidRDefault="007820E4" w:rsidP="007820E4">
            <w:pPr>
              <w:pStyle w:val="StandaardSV"/>
              <w:rPr>
                <w:szCs w:val="22"/>
              </w:rPr>
            </w:pPr>
            <w:r w:rsidRPr="00AB5E4F">
              <w:rPr>
                <w:szCs w:val="22"/>
              </w:rPr>
              <w:t>VIS</w:t>
            </w:r>
          </w:p>
        </w:tc>
        <w:tc>
          <w:tcPr>
            <w:tcW w:w="1133" w:type="dxa"/>
          </w:tcPr>
          <w:p w:rsidR="007820E4" w:rsidRPr="00AB5E4F" w:rsidRDefault="001E37D0" w:rsidP="001E37D0">
            <w:pPr>
              <w:pStyle w:val="StandaardSV"/>
              <w:jc w:val="center"/>
              <w:rPr>
                <w:szCs w:val="22"/>
              </w:rPr>
            </w:pPr>
            <w:r w:rsidRPr="00AB5E4F">
              <w:rPr>
                <w:szCs w:val="22"/>
              </w:rPr>
              <w:t>86</w:t>
            </w:r>
          </w:p>
        </w:tc>
        <w:tc>
          <w:tcPr>
            <w:tcW w:w="1134" w:type="dxa"/>
          </w:tcPr>
          <w:p w:rsidR="007820E4" w:rsidRPr="00AB5E4F" w:rsidRDefault="001E37D0" w:rsidP="001E37D0">
            <w:pPr>
              <w:pStyle w:val="StandaardSV"/>
              <w:jc w:val="center"/>
              <w:rPr>
                <w:szCs w:val="22"/>
              </w:rPr>
            </w:pPr>
            <w:r w:rsidRPr="00AB5E4F">
              <w:rPr>
                <w:szCs w:val="22"/>
              </w:rPr>
              <w:t>122</w:t>
            </w:r>
          </w:p>
        </w:tc>
        <w:tc>
          <w:tcPr>
            <w:tcW w:w="1133" w:type="dxa"/>
          </w:tcPr>
          <w:p w:rsidR="007820E4" w:rsidRPr="00AB5E4F" w:rsidRDefault="001E37D0" w:rsidP="001E37D0">
            <w:pPr>
              <w:pStyle w:val="StandaardSV"/>
              <w:jc w:val="center"/>
              <w:rPr>
                <w:szCs w:val="22"/>
              </w:rPr>
            </w:pPr>
            <w:r w:rsidRPr="00AB5E4F">
              <w:rPr>
                <w:szCs w:val="22"/>
              </w:rPr>
              <w:t>51</w:t>
            </w:r>
          </w:p>
        </w:tc>
        <w:tc>
          <w:tcPr>
            <w:tcW w:w="1134" w:type="dxa"/>
          </w:tcPr>
          <w:p w:rsidR="007820E4" w:rsidRPr="00AB5E4F" w:rsidRDefault="001E37D0" w:rsidP="001E37D0">
            <w:pPr>
              <w:pStyle w:val="StandaardSV"/>
              <w:jc w:val="center"/>
              <w:rPr>
                <w:szCs w:val="22"/>
              </w:rPr>
            </w:pPr>
            <w:r w:rsidRPr="00AB5E4F">
              <w:rPr>
                <w:szCs w:val="22"/>
              </w:rPr>
              <w:t>26</w:t>
            </w:r>
          </w:p>
        </w:tc>
      </w:tr>
      <w:tr w:rsidR="001E37D0" w:rsidRPr="00AB5E4F" w:rsidTr="00BF3DF6">
        <w:tc>
          <w:tcPr>
            <w:tcW w:w="4678" w:type="dxa"/>
          </w:tcPr>
          <w:p w:rsidR="001E37D0" w:rsidRPr="00AB5E4F" w:rsidRDefault="001E37D0" w:rsidP="007820E4">
            <w:pPr>
              <w:pStyle w:val="StandaardSV"/>
              <w:rPr>
                <w:szCs w:val="22"/>
              </w:rPr>
            </w:pPr>
            <w:r w:rsidRPr="00AB5E4F">
              <w:rPr>
                <w:szCs w:val="22"/>
              </w:rPr>
              <w:t>TETRA</w:t>
            </w:r>
          </w:p>
        </w:tc>
        <w:tc>
          <w:tcPr>
            <w:tcW w:w="1133" w:type="dxa"/>
          </w:tcPr>
          <w:p w:rsidR="001E37D0" w:rsidRPr="00AB5E4F" w:rsidRDefault="001E37D0" w:rsidP="001E37D0">
            <w:pPr>
              <w:pStyle w:val="StandaardSV"/>
              <w:jc w:val="center"/>
              <w:rPr>
                <w:szCs w:val="22"/>
              </w:rPr>
            </w:pPr>
            <w:r w:rsidRPr="00AB5E4F">
              <w:rPr>
                <w:szCs w:val="22"/>
              </w:rPr>
              <w:t>56</w:t>
            </w:r>
          </w:p>
        </w:tc>
        <w:tc>
          <w:tcPr>
            <w:tcW w:w="1134" w:type="dxa"/>
          </w:tcPr>
          <w:p w:rsidR="001E37D0" w:rsidRPr="00AB5E4F" w:rsidRDefault="001E37D0" w:rsidP="001E37D0">
            <w:pPr>
              <w:pStyle w:val="StandaardSV"/>
              <w:jc w:val="center"/>
              <w:rPr>
                <w:szCs w:val="22"/>
              </w:rPr>
            </w:pPr>
            <w:r w:rsidRPr="00AB5E4F">
              <w:rPr>
                <w:szCs w:val="22"/>
              </w:rPr>
              <w:t>89</w:t>
            </w:r>
          </w:p>
        </w:tc>
        <w:tc>
          <w:tcPr>
            <w:tcW w:w="1133" w:type="dxa"/>
          </w:tcPr>
          <w:p w:rsidR="001E37D0" w:rsidRPr="00AB5E4F" w:rsidRDefault="001E37D0" w:rsidP="001E37D0">
            <w:pPr>
              <w:pStyle w:val="StandaardSV"/>
              <w:jc w:val="center"/>
              <w:rPr>
                <w:szCs w:val="22"/>
              </w:rPr>
            </w:pPr>
            <w:r w:rsidRPr="00AB5E4F">
              <w:rPr>
                <w:szCs w:val="22"/>
              </w:rPr>
              <w:t>68</w:t>
            </w:r>
          </w:p>
        </w:tc>
        <w:tc>
          <w:tcPr>
            <w:tcW w:w="1134" w:type="dxa"/>
          </w:tcPr>
          <w:p w:rsidR="001E37D0" w:rsidRPr="00AB5E4F" w:rsidRDefault="001E37D0" w:rsidP="001E37D0">
            <w:pPr>
              <w:pStyle w:val="StandaardSV"/>
              <w:jc w:val="center"/>
              <w:rPr>
                <w:szCs w:val="22"/>
              </w:rPr>
            </w:pPr>
            <w:r w:rsidRPr="00AB5E4F">
              <w:rPr>
                <w:szCs w:val="22"/>
              </w:rPr>
              <w:t>75</w:t>
            </w:r>
          </w:p>
        </w:tc>
      </w:tr>
      <w:tr w:rsidR="007820E4" w:rsidRPr="00AB5E4F" w:rsidTr="00BF3DF6">
        <w:tc>
          <w:tcPr>
            <w:tcW w:w="4678" w:type="dxa"/>
          </w:tcPr>
          <w:p w:rsidR="007820E4" w:rsidRPr="00AB5E4F" w:rsidRDefault="007820E4" w:rsidP="009E427F">
            <w:pPr>
              <w:pStyle w:val="StandaardSV"/>
              <w:rPr>
                <w:szCs w:val="22"/>
              </w:rPr>
            </w:pPr>
            <w:r w:rsidRPr="00AB5E4F">
              <w:rPr>
                <w:szCs w:val="22"/>
              </w:rPr>
              <w:t>Doctorale specialisatiebeurzen</w:t>
            </w:r>
            <w:r w:rsidR="001E37D0" w:rsidRPr="00AB5E4F">
              <w:rPr>
                <w:szCs w:val="22"/>
              </w:rPr>
              <w:t>**</w:t>
            </w:r>
            <w:r w:rsidR="000574FA" w:rsidRPr="00AB5E4F">
              <w:rPr>
                <w:szCs w:val="22"/>
              </w:rPr>
              <w:t>*</w:t>
            </w:r>
          </w:p>
        </w:tc>
        <w:tc>
          <w:tcPr>
            <w:tcW w:w="1133" w:type="dxa"/>
          </w:tcPr>
          <w:p w:rsidR="007820E4" w:rsidRPr="00AB5E4F" w:rsidRDefault="001E37D0" w:rsidP="001E37D0">
            <w:pPr>
              <w:pStyle w:val="StandaardSV"/>
              <w:jc w:val="center"/>
              <w:rPr>
                <w:szCs w:val="22"/>
              </w:rPr>
            </w:pPr>
            <w:r w:rsidRPr="00AB5E4F">
              <w:rPr>
                <w:szCs w:val="22"/>
              </w:rPr>
              <w:t>513</w:t>
            </w:r>
          </w:p>
        </w:tc>
        <w:tc>
          <w:tcPr>
            <w:tcW w:w="1134" w:type="dxa"/>
          </w:tcPr>
          <w:p w:rsidR="007820E4" w:rsidRPr="00AB5E4F" w:rsidRDefault="001E37D0" w:rsidP="001E37D0">
            <w:pPr>
              <w:pStyle w:val="StandaardSV"/>
              <w:jc w:val="center"/>
              <w:rPr>
                <w:szCs w:val="22"/>
              </w:rPr>
            </w:pPr>
            <w:r w:rsidRPr="00AB5E4F">
              <w:rPr>
                <w:szCs w:val="22"/>
              </w:rPr>
              <w:t>690</w:t>
            </w:r>
          </w:p>
        </w:tc>
        <w:tc>
          <w:tcPr>
            <w:tcW w:w="1133" w:type="dxa"/>
          </w:tcPr>
          <w:p w:rsidR="007820E4" w:rsidRPr="00AB5E4F" w:rsidRDefault="001E37D0" w:rsidP="001E37D0">
            <w:pPr>
              <w:pStyle w:val="StandaardSV"/>
              <w:jc w:val="center"/>
              <w:rPr>
                <w:szCs w:val="22"/>
              </w:rPr>
            </w:pPr>
            <w:r w:rsidRPr="00AB5E4F">
              <w:rPr>
                <w:szCs w:val="22"/>
              </w:rPr>
              <w:t>662</w:t>
            </w:r>
          </w:p>
        </w:tc>
        <w:tc>
          <w:tcPr>
            <w:tcW w:w="1134" w:type="dxa"/>
          </w:tcPr>
          <w:p w:rsidR="007820E4" w:rsidRPr="00AB5E4F" w:rsidRDefault="00FC466E" w:rsidP="00FC466E">
            <w:pPr>
              <w:pStyle w:val="StandaardSV"/>
              <w:jc w:val="center"/>
              <w:rPr>
                <w:szCs w:val="22"/>
              </w:rPr>
            </w:pPr>
            <w:r>
              <w:rPr>
                <w:szCs w:val="22"/>
              </w:rPr>
              <w:t>709</w:t>
            </w:r>
          </w:p>
        </w:tc>
      </w:tr>
      <w:tr w:rsidR="007820E4" w:rsidRPr="00AB5E4F" w:rsidTr="00BF3DF6">
        <w:tc>
          <w:tcPr>
            <w:tcW w:w="4678" w:type="dxa"/>
          </w:tcPr>
          <w:p w:rsidR="007820E4" w:rsidRPr="00AB5E4F" w:rsidRDefault="002A6E17" w:rsidP="007820E4">
            <w:pPr>
              <w:pStyle w:val="StandaardSV"/>
              <w:rPr>
                <w:szCs w:val="22"/>
              </w:rPr>
            </w:pPr>
            <w:r w:rsidRPr="00AB5E4F">
              <w:rPr>
                <w:szCs w:val="22"/>
              </w:rPr>
              <w:t>Onderzoeksmandaten - Innovatiemandaten</w:t>
            </w:r>
            <w:r w:rsidR="001E37D0" w:rsidRPr="00AB5E4F">
              <w:rPr>
                <w:szCs w:val="22"/>
              </w:rPr>
              <w:t xml:space="preserve"> </w:t>
            </w:r>
          </w:p>
        </w:tc>
        <w:tc>
          <w:tcPr>
            <w:tcW w:w="1133" w:type="dxa"/>
          </w:tcPr>
          <w:p w:rsidR="007820E4" w:rsidRPr="00AB5E4F" w:rsidRDefault="001E37D0" w:rsidP="001E37D0">
            <w:pPr>
              <w:pStyle w:val="StandaardSV"/>
              <w:jc w:val="center"/>
              <w:rPr>
                <w:szCs w:val="22"/>
              </w:rPr>
            </w:pPr>
            <w:r w:rsidRPr="00AB5E4F">
              <w:rPr>
                <w:szCs w:val="22"/>
              </w:rPr>
              <w:t>52</w:t>
            </w:r>
          </w:p>
        </w:tc>
        <w:tc>
          <w:tcPr>
            <w:tcW w:w="1134" w:type="dxa"/>
          </w:tcPr>
          <w:p w:rsidR="007820E4" w:rsidRPr="00AB5E4F" w:rsidRDefault="001E37D0" w:rsidP="001E37D0">
            <w:pPr>
              <w:pStyle w:val="StandaardSV"/>
              <w:jc w:val="center"/>
              <w:rPr>
                <w:szCs w:val="22"/>
              </w:rPr>
            </w:pPr>
            <w:r w:rsidRPr="00AB5E4F">
              <w:rPr>
                <w:szCs w:val="22"/>
              </w:rPr>
              <w:t>100</w:t>
            </w:r>
          </w:p>
        </w:tc>
        <w:tc>
          <w:tcPr>
            <w:tcW w:w="1133" w:type="dxa"/>
          </w:tcPr>
          <w:p w:rsidR="007820E4" w:rsidRPr="00AB5E4F" w:rsidRDefault="001E37D0" w:rsidP="001E37D0">
            <w:pPr>
              <w:pStyle w:val="StandaardSV"/>
              <w:jc w:val="center"/>
              <w:rPr>
                <w:szCs w:val="22"/>
              </w:rPr>
            </w:pPr>
            <w:r w:rsidRPr="00AB5E4F">
              <w:rPr>
                <w:szCs w:val="22"/>
              </w:rPr>
              <w:t>66</w:t>
            </w:r>
          </w:p>
        </w:tc>
        <w:tc>
          <w:tcPr>
            <w:tcW w:w="1134" w:type="dxa"/>
          </w:tcPr>
          <w:p w:rsidR="007820E4" w:rsidRPr="00AB5E4F" w:rsidRDefault="001E37D0" w:rsidP="001E37D0">
            <w:pPr>
              <w:pStyle w:val="StandaardSV"/>
              <w:jc w:val="center"/>
              <w:rPr>
                <w:szCs w:val="22"/>
              </w:rPr>
            </w:pPr>
            <w:r w:rsidRPr="00AB5E4F">
              <w:rPr>
                <w:szCs w:val="22"/>
              </w:rPr>
              <w:t>26</w:t>
            </w:r>
          </w:p>
        </w:tc>
      </w:tr>
      <w:tr w:rsidR="001E37D0" w:rsidRPr="00AB5E4F" w:rsidTr="00BF3DF6">
        <w:tc>
          <w:tcPr>
            <w:tcW w:w="4678" w:type="dxa"/>
          </w:tcPr>
          <w:p w:rsidR="001E37D0" w:rsidRPr="00AB5E4F" w:rsidRDefault="001E37D0" w:rsidP="007820E4">
            <w:pPr>
              <w:pStyle w:val="StandaardSV"/>
              <w:rPr>
                <w:szCs w:val="22"/>
              </w:rPr>
            </w:pPr>
            <w:r w:rsidRPr="00AB5E4F">
              <w:rPr>
                <w:szCs w:val="22"/>
              </w:rPr>
              <w:t>Strategisch basisonderzoek</w:t>
            </w:r>
          </w:p>
        </w:tc>
        <w:tc>
          <w:tcPr>
            <w:tcW w:w="1133" w:type="dxa"/>
          </w:tcPr>
          <w:p w:rsidR="001E37D0" w:rsidRPr="00AB5E4F" w:rsidRDefault="001E37D0" w:rsidP="001E37D0">
            <w:pPr>
              <w:pStyle w:val="StandaardSV"/>
              <w:jc w:val="center"/>
              <w:rPr>
                <w:szCs w:val="22"/>
              </w:rPr>
            </w:pPr>
            <w:r w:rsidRPr="00AB5E4F">
              <w:rPr>
                <w:szCs w:val="22"/>
              </w:rPr>
              <w:t>88</w:t>
            </w:r>
          </w:p>
        </w:tc>
        <w:tc>
          <w:tcPr>
            <w:tcW w:w="1134" w:type="dxa"/>
          </w:tcPr>
          <w:p w:rsidR="001E37D0" w:rsidRPr="00AB5E4F" w:rsidRDefault="001E37D0" w:rsidP="001E37D0">
            <w:pPr>
              <w:pStyle w:val="StandaardSV"/>
              <w:jc w:val="center"/>
              <w:rPr>
                <w:szCs w:val="22"/>
              </w:rPr>
            </w:pPr>
            <w:r w:rsidRPr="00AB5E4F">
              <w:rPr>
                <w:szCs w:val="22"/>
              </w:rPr>
              <w:t>81</w:t>
            </w:r>
          </w:p>
        </w:tc>
        <w:tc>
          <w:tcPr>
            <w:tcW w:w="1133" w:type="dxa"/>
          </w:tcPr>
          <w:p w:rsidR="001E37D0" w:rsidRPr="00AB5E4F" w:rsidRDefault="001E37D0" w:rsidP="001E37D0">
            <w:pPr>
              <w:pStyle w:val="StandaardSV"/>
              <w:jc w:val="center"/>
              <w:rPr>
                <w:szCs w:val="22"/>
              </w:rPr>
            </w:pPr>
            <w:r w:rsidRPr="00AB5E4F">
              <w:rPr>
                <w:szCs w:val="22"/>
              </w:rPr>
              <w:t>72</w:t>
            </w:r>
          </w:p>
        </w:tc>
        <w:tc>
          <w:tcPr>
            <w:tcW w:w="1134" w:type="dxa"/>
          </w:tcPr>
          <w:p w:rsidR="001E37D0" w:rsidRPr="00AB5E4F" w:rsidRDefault="001E37D0" w:rsidP="001E37D0">
            <w:pPr>
              <w:pStyle w:val="StandaardSV"/>
              <w:jc w:val="center"/>
              <w:rPr>
                <w:szCs w:val="22"/>
              </w:rPr>
            </w:pPr>
            <w:r w:rsidRPr="00AB5E4F">
              <w:rPr>
                <w:szCs w:val="22"/>
              </w:rPr>
              <w:t>60</w:t>
            </w:r>
          </w:p>
        </w:tc>
      </w:tr>
      <w:tr w:rsidR="001E37D0" w:rsidRPr="00AB5E4F" w:rsidTr="00BF3DF6">
        <w:tc>
          <w:tcPr>
            <w:tcW w:w="4678" w:type="dxa"/>
          </w:tcPr>
          <w:p w:rsidR="001E37D0" w:rsidRPr="00AB5E4F" w:rsidRDefault="001E37D0" w:rsidP="007820E4">
            <w:pPr>
              <w:pStyle w:val="StandaardSV"/>
              <w:rPr>
                <w:szCs w:val="22"/>
              </w:rPr>
            </w:pPr>
            <w:r w:rsidRPr="00AB5E4F">
              <w:rPr>
                <w:szCs w:val="22"/>
              </w:rPr>
              <w:t>Landbouwkundig onderzoek</w:t>
            </w:r>
          </w:p>
        </w:tc>
        <w:tc>
          <w:tcPr>
            <w:tcW w:w="1133" w:type="dxa"/>
          </w:tcPr>
          <w:p w:rsidR="001E37D0" w:rsidRPr="00AB5E4F" w:rsidRDefault="001E37D0" w:rsidP="001E37D0">
            <w:pPr>
              <w:pStyle w:val="StandaardSV"/>
              <w:jc w:val="center"/>
              <w:rPr>
                <w:szCs w:val="22"/>
              </w:rPr>
            </w:pPr>
            <w:r w:rsidRPr="00AB5E4F">
              <w:rPr>
                <w:szCs w:val="22"/>
              </w:rPr>
              <w:t>43</w:t>
            </w:r>
          </w:p>
        </w:tc>
        <w:tc>
          <w:tcPr>
            <w:tcW w:w="1134" w:type="dxa"/>
          </w:tcPr>
          <w:p w:rsidR="001E37D0" w:rsidRPr="00AB5E4F" w:rsidRDefault="001E37D0" w:rsidP="001E37D0">
            <w:pPr>
              <w:pStyle w:val="StandaardSV"/>
              <w:jc w:val="center"/>
              <w:rPr>
                <w:szCs w:val="22"/>
              </w:rPr>
            </w:pPr>
            <w:r w:rsidRPr="00AB5E4F">
              <w:rPr>
                <w:szCs w:val="22"/>
              </w:rPr>
              <w:t>38</w:t>
            </w:r>
          </w:p>
        </w:tc>
        <w:tc>
          <w:tcPr>
            <w:tcW w:w="1133" w:type="dxa"/>
          </w:tcPr>
          <w:p w:rsidR="001E37D0" w:rsidRPr="00AB5E4F" w:rsidRDefault="001E37D0" w:rsidP="001E37D0">
            <w:pPr>
              <w:pStyle w:val="StandaardSV"/>
              <w:jc w:val="center"/>
              <w:rPr>
                <w:szCs w:val="22"/>
              </w:rPr>
            </w:pPr>
            <w:r w:rsidRPr="00AB5E4F">
              <w:rPr>
                <w:szCs w:val="22"/>
              </w:rPr>
              <w:t>47</w:t>
            </w:r>
          </w:p>
        </w:tc>
        <w:tc>
          <w:tcPr>
            <w:tcW w:w="1134" w:type="dxa"/>
          </w:tcPr>
          <w:p w:rsidR="001E37D0" w:rsidRPr="00AB5E4F" w:rsidRDefault="001E37D0" w:rsidP="001E37D0">
            <w:pPr>
              <w:pStyle w:val="StandaardSV"/>
              <w:jc w:val="center"/>
              <w:rPr>
                <w:szCs w:val="22"/>
              </w:rPr>
            </w:pPr>
            <w:r w:rsidRPr="00AB5E4F">
              <w:rPr>
                <w:szCs w:val="22"/>
              </w:rPr>
              <w:t>32</w:t>
            </w:r>
          </w:p>
        </w:tc>
      </w:tr>
      <w:tr w:rsidR="001E37D0" w:rsidRPr="00AB5E4F" w:rsidTr="00BF3DF6">
        <w:tc>
          <w:tcPr>
            <w:tcW w:w="4678" w:type="dxa"/>
          </w:tcPr>
          <w:p w:rsidR="001E37D0" w:rsidRPr="00AB5E4F" w:rsidRDefault="001E37D0" w:rsidP="007820E4">
            <w:pPr>
              <w:pStyle w:val="StandaardSV"/>
              <w:rPr>
                <w:szCs w:val="22"/>
              </w:rPr>
            </w:pPr>
            <w:r w:rsidRPr="00AB5E4F">
              <w:rPr>
                <w:szCs w:val="22"/>
              </w:rPr>
              <w:t>Toegepast biomedisch onderzoek</w:t>
            </w:r>
          </w:p>
        </w:tc>
        <w:tc>
          <w:tcPr>
            <w:tcW w:w="1133" w:type="dxa"/>
          </w:tcPr>
          <w:p w:rsidR="001E37D0" w:rsidRPr="00AB5E4F" w:rsidRDefault="001E37D0" w:rsidP="001E37D0">
            <w:pPr>
              <w:pStyle w:val="StandaardSV"/>
              <w:jc w:val="center"/>
              <w:rPr>
                <w:szCs w:val="22"/>
              </w:rPr>
            </w:pPr>
            <w:r w:rsidRPr="00AB5E4F">
              <w:rPr>
                <w:szCs w:val="22"/>
              </w:rPr>
              <w:t>33</w:t>
            </w:r>
          </w:p>
        </w:tc>
        <w:tc>
          <w:tcPr>
            <w:tcW w:w="1134" w:type="dxa"/>
          </w:tcPr>
          <w:p w:rsidR="001E37D0" w:rsidRPr="00AB5E4F" w:rsidRDefault="001E37D0" w:rsidP="001E37D0">
            <w:pPr>
              <w:pStyle w:val="StandaardSV"/>
              <w:jc w:val="center"/>
              <w:rPr>
                <w:szCs w:val="22"/>
              </w:rPr>
            </w:pPr>
            <w:r w:rsidRPr="00AB5E4F">
              <w:rPr>
                <w:szCs w:val="22"/>
              </w:rPr>
              <w:t>43</w:t>
            </w:r>
          </w:p>
        </w:tc>
        <w:tc>
          <w:tcPr>
            <w:tcW w:w="1133" w:type="dxa"/>
          </w:tcPr>
          <w:p w:rsidR="001E37D0" w:rsidRPr="00AB5E4F" w:rsidRDefault="001E37D0" w:rsidP="001E37D0">
            <w:pPr>
              <w:pStyle w:val="StandaardSV"/>
              <w:jc w:val="center"/>
              <w:rPr>
                <w:szCs w:val="22"/>
              </w:rPr>
            </w:pPr>
            <w:r w:rsidRPr="00AB5E4F">
              <w:rPr>
                <w:szCs w:val="22"/>
              </w:rPr>
              <w:t>42</w:t>
            </w:r>
          </w:p>
        </w:tc>
        <w:tc>
          <w:tcPr>
            <w:tcW w:w="1134" w:type="dxa"/>
          </w:tcPr>
          <w:p w:rsidR="001E37D0" w:rsidRPr="00AB5E4F" w:rsidRDefault="001E37D0" w:rsidP="001E37D0">
            <w:pPr>
              <w:pStyle w:val="StandaardSV"/>
              <w:jc w:val="center"/>
              <w:rPr>
                <w:szCs w:val="22"/>
              </w:rPr>
            </w:pPr>
            <w:r w:rsidRPr="00AB5E4F">
              <w:rPr>
                <w:szCs w:val="22"/>
              </w:rPr>
              <w:t>30</w:t>
            </w:r>
          </w:p>
        </w:tc>
      </w:tr>
      <w:tr w:rsidR="001E37D0" w:rsidRPr="00AB5E4F" w:rsidTr="00BF3DF6">
        <w:tc>
          <w:tcPr>
            <w:tcW w:w="4678" w:type="dxa"/>
          </w:tcPr>
          <w:p w:rsidR="001E37D0" w:rsidRPr="00AB5E4F" w:rsidRDefault="001E37D0" w:rsidP="007820E4">
            <w:pPr>
              <w:pStyle w:val="StandaardSV"/>
              <w:rPr>
                <w:szCs w:val="22"/>
              </w:rPr>
            </w:pPr>
            <w:proofErr w:type="spellStart"/>
            <w:r w:rsidRPr="00AB5E4F">
              <w:rPr>
                <w:szCs w:val="22"/>
              </w:rPr>
              <w:t>Baekeland</w:t>
            </w:r>
            <w:proofErr w:type="spellEnd"/>
            <w:r w:rsidRPr="00AB5E4F">
              <w:rPr>
                <w:szCs w:val="22"/>
              </w:rPr>
              <w:t>-mandaten</w:t>
            </w:r>
          </w:p>
        </w:tc>
        <w:tc>
          <w:tcPr>
            <w:tcW w:w="1133" w:type="dxa"/>
          </w:tcPr>
          <w:p w:rsidR="001E37D0" w:rsidRPr="00AB5E4F" w:rsidRDefault="001E37D0" w:rsidP="001E37D0">
            <w:pPr>
              <w:pStyle w:val="StandaardSV"/>
              <w:jc w:val="center"/>
              <w:rPr>
                <w:szCs w:val="22"/>
              </w:rPr>
            </w:pPr>
            <w:r w:rsidRPr="00AB5E4F">
              <w:rPr>
                <w:szCs w:val="22"/>
              </w:rPr>
              <w:t>69</w:t>
            </w:r>
          </w:p>
        </w:tc>
        <w:tc>
          <w:tcPr>
            <w:tcW w:w="1134" w:type="dxa"/>
          </w:tcPr>
          <w:p w:rsidR="001E37D0" w:rsidRPr="00AB5E4F" w:rsidRDefault="001E37D0" w:rsidP="001E37D0">
            <w:pPr>
              <w:pStyle w:val="StandaardSV"/>
              <w:jc w:val="center"/>
              <w:rPr>
                <w:szCs w:val="22"/>
              </w:rPr>
            </w:pPr>
            <w:r w:rsidRPr="00AB5E4F">
              <w:rPr>
                <w:szCs w:val="22"/>
              </w:rPr>
              <w:t>51</w:t>
            </w:r>
          </w:p>
        </w:tc>
        <w:tc>
          <w:tcPr>
            <w:tcW w:w="1133" w:type="dxa"/>
          </w:tcPr>
          <w:p w:rsidR="001E37D0" w:rsidRPr="00AB5E4F" w:rsidRDefault="001E37D0" w:rsidP="001E37D0">
            <w:pPr>
              <w:pStyle w:val="StandaardSV"/>
              <w:jc w:val="center"/>
              <w:rPr>
                <w:szCs w:val="22"/>
              </w:rPr>
            </w:pPr>
            <w:r w:rsidRPr="00AB5E4F">
              <w:rPr>
                <w:szCs w:val="22"/>
              </w:rPr>
              <w:t>47</w:t>
            </w:r>
          </w:p>
        </w:tc>
        <w:tc>
          <w:tcPr>
            <w:tcW w:w="1134" w:type="dxa"/>
          </w:tcPr>
          <w:p w:rsidR="001E37D0" w:rsidRPr="00AB5E4F" w:rsidRDefault="001E37D0" w:rsidP="001E37D0">
            <w:pPr>
              <w:pStyle w:val="StandaardSV"/>
              <w:jc w:val="center"/>
              <w:rPr>
                <w:szCs w:val="22"/>
              </w:rPr>
            </w:pPr>
            <w:r w:rsidRPr="00AB5E4F">
              <w:rPr>
                <w:szCs w:val="22"/>
              </w:rPr>
              <w:t>36</w:t>
            </w:r>
          </w:p>
        </w:tc>
      </w:tr>
    </w:tbl>
    <w:p w:rsidR="007820E4" w:rsidRPr="00AB5E4F" w:rsidRDefault="007820E4" w:rsidP="007820E4">
      <w:pPr>
        <w:pStyle w:val="StandaardSV"/>
        <w:rPr>
          <w:szCs w:val="22"/>
        </w:rPr>
      </w:pPr>
      <w:r w:rsidRPr="00AB5E4F">
        <w:rPr>
          <w:szCs w:val="22"/>
        </w:rPr>
        <w:t>Bron: activiteitenverslagen IWT</w:t>
      </w:r>
    </w:p>
    <w:p w:rsidR="00BF3DF6" w:rsidRDefault="00BF3DF6" w:rsidP="007820E4">
      <w:pPr>
        <w:pStyle w:val="StandaardSV"/>
        <w:rPr>
          <w:color w:val="1F497D" w:themeColor="text2"/>
          <w:sz w:val="18"/>
        </w:rPr>
      </w:pPr>
    </w:p>
    <w:p w:rsidR="00975F5F" w:rsidRPr="007862DC" w:rsidRDefault="007820E4" w:rsidP="007820E4">
      <w:pPr>
        <w:pStyle w:val="StandaardSV"/>
        <w:rPr>
          <w:sz w:val="18"/>
        </w:rPr>
      </w:pPr>
      <w:r w:rsidRPr="007862DC">
        <w:rPr>
          <w:sz w:val="18"/>
        </w:rPr>
        <w:t xml:space="preserve">Opmerkingen: </w:t>
      </w:r>
    </w:p>
    <w:p w:rsidR="000574FA" w:rsidRPr="007862DC" w:rsidRDefault="000574FA" w:rsidP="00BF3DF6">
      <w:pPr>
        <w:pStyle w:val="StandaardSV"/>
        <w:ind w:left="426" w:hanging="426"/>
        <w:rPr>
          <w:sz w:val="18"/>
        </w:rPr>
      </w:pPr>
      <w:r w:rsidRPr="007862DC">
        <w:rPr>
          <w:sz w:val="18"/>
        </w:rPr>
        <w:t>*</w:t>
      </w:r>
      <w:r w:rsidR="00BF3DF6" w:rsidRPr="007862DC">
        <w:rPr>
          <w:sz w:val="18"/>
        </w:rPr>
        <w:tab/>
        <w:t xml:space="preserve">Dit zijn </w:t>
      </w:r>
      <w:r w:rsidRPr="007862DC">
        <w:rPr>
          <w:sz w:val="18"/>
        </w:rPr>
        <w:t xml:space="preserve">de programma’s die gefinancierd worden op de IWT-begrotingslijnen. Projecten die gefinancierd worden op de Begrotingslijn ‘Initiatieven Vlaamse Regering, incl. innovatieve mediaprojecten’ worden niet opgenomen. </w:t>
      </w:r>
    </w:p>
    <w:p w:rsidR="00975F5F" w:rsidRPr="007862DC" w:rsidRDefault="001E37D0" w:rsidP="00BF3DF6">
      <w:pPr>
        <w:pStyle w:val="StandaardSV"/>
        <w:ind w:left="426" w:hanging="426"/>
        <w:rPr>
          <w:sz w:val="18"/>
        </w:rPr>
      </w:pPr>
      <w:r w:rsidRPr="007862DC">
        <w:rPr>
          <w:sz w:val="18"/>
        </w:rPr>
        <w:t>*</w:t>
      </w:r>
      <w:r w:rsidR="000574FA" w:rsidRPr="007862DC">
        <w:rPr>
          <w:sz w:val="18"/>
        </w:rPr>
        <w:t>*</w:t>
      </w:r>
      <w:r w:rsidRPr="007862DC">
        <w:rPr>
          <w:sz w:val="18"/>
        </w:rPr>
        <w:t xml:space="preserve"> </w:t>
      </w:r>
      <w:r w:rsidR="00BF3DF6" w:rsidRPr="007862DC">
        <w:rPr>
          <w:sz w:val="18"/>
        </w:rPr>
        <w:tab/>
      </w:r>
      <w:r w:rsidRPr="007862DC">
        <w:rPr>
          <w:sz w:val="18"/>
        </w:rPr>
        <w:t>EUREKA-projecten k</w:t>
      </w:r>
      <w:r w:rsidR="00975F5F" w:rsidRPr="007862DC">
        <w:rPr>
          <w:sz w:val="18"/>
        </w:rPr>
        <w:t>omen</w:t>
      </w:r>
      <w:r w:rsidR="00AB5E4F" w:rsidRPr="007862DC">
        <w:rPr>
          <w:sz w:val="18"/>
        </w:rPr>
        <w:t xml:space="preserve"> zowel uit </w:t>
      </w:r>
      <w:r w:rsidRPr="007862DC">
        <w:rPr>
          <w:sz w:val="18"/>
        </w:rPr>
        <w:t xml:space="preserve">de reguliere O&amp;O-bedrijfsprojecten als uit het </w:t>
      </w:r>
      <w:proofErr w:type="spellStart"/>
      <w:r w:rsidRPr="007862DC">
        <w:rPr>
          <w:sz w:val="18"/>
        </w:rPr>
        <w:t>kmo</w:t>
      </w:r>
      <w:proofErr w:type="spellEnd"/>
      <w:r w:rsidRPr="007862DC">
        <w:rPr>
          <w:sz w:val="18"/>
        </w:rPr>
        <w:t>-programma.</w:t>
      </w:r>
      <w:r w:rsidR="005C5EAF" w:rsidRPr="007862DC">
        <w:rPr>
          <w:sz w:val="18"/>
        </w:rPr>
        <w:t xml:space="preserve"> </w:t>
      </w:r>
      <w:r w:rsidR="00BF3DF6" w:rsidRPr="007862DC">
        <w:rPr>
          <w:sz w:val="18"/>
        </w:rPr>
        <w:t xml:space="preserve">Dit betreft </w:t>
      </w:r>
      <w:r w:rsidR="005C5EAF" w:rsidRPr="007862DC">
        <w:rPr>
          <w:sz w:val="18"/>
        </w:rPr>
        <w:t xml:space="preserve">zowel de </w:t>
      </w:r>
      <w:r w:rsidR="00BF3DF6" w:rsidRPr="007862DC">
        <w:rPr>
          <w:sz w:val="18"/>
        </w:rPr>
        <w:t xml:space="preserve">EUREKA </w:t>
      </w:r>
      <w:r w:rsidR="005C5EAF" w:rsidRPr="007862DC">
        <w:rPr>
          <w:sz w:val="18"/>
        </w:rPr>
        <w:t>bottom-up-</w:t>
      </w:r>
      <w:proofErr w:type="spellStart"/>
      <w:r w:rsidR="005C5EAF" w:rsidRPr="007862DC">
        <w:rPr>
          <w:sz w:val="18"/>
        </w:rPr>
        <w:t>intiatieven</w:t>
      </w:r>
      <w:proofErr w:type="spellEnd"/>
      <w:r w:rsidR="005C5EAF" w:rsidRPr="007862DC">
        <w:rPr>
          <w:sz w:val="18"/>
        </w:rPr>
        <w:t xml:space="preserve">, de EUREKA-cluster-oproepen als de EUROSTARS-projecten. </w:t>
      </w:r>
    </w:p>
    <w:p w:rsidR="007820E4" w:rsidRPr="007862DC" w:rsidRDefault="001E37D0" w:rsidP="00BF3DF6">
      <w:pPr>
        <w:pStyle w:val="StandaardSV"/>
        <w:ind w:left="426" w:hanging="426"/>
        <w:rPr>
          <w:sz w:val="18"/>
        </w:rPr>
      </w:pPr>
      <w:r w:rsidRPr="007862DC">
        <w:rPr>
          <w:sz w:val="18"/>
        </w:rPr>
        <w:t>**</w:t>
      </w:r>
      <w:r w:rsidR="000574FA" w:rsidRPr="007862DC">
        <w:rPr>
          <w:sz w:val="18"/>
        </w:rPr>
        <w:t>*</w:t>
      </w:r>
      <w:r w:rsidRPr="007862DC">
        <w:rPr>
          <w:sz w:val="18"/>
        </w:rPr>
        <w:t xml:space="preserve"> </w:t>
      </w:r>
      <w:r w:rsidR="00BF3DF6" w:rsidRPr="007862DC">
        <w:rPr>
          <w:sz w:val="18"/>
        </w:rPr>
        <w:tab/>
      </w:r>
      <w:r w:rsidR="00975F5F" w:rsidRPr="007862DC">
        <w:rPr>
          <w:sz w:val="18"/>
        </w:rPr>
        <w:t>T</w:t>
      </w:r>
      <w:r w:rsidRPr="007862DC">
        <w:rPr>
          <w:sz w:val="18"/>
        </w:rPr>
        <w:t>weede termijnaanvragen worden niet opgenomen in deze tabel.</w:t>
      </w:r>
    </w:p>
    <w:p w:rsidR="00A4543E" w:rsidRDefault="00A4543E" w:rsidP="00A4543E">
      <w:pPr>
        <w:pStyle w:val="StandaardSV"/>
      </w:pPr>
    </w:p>
    <w:p w:rsidR="009E427F" w:rsidRPr="007862DC" w:rsidRDefault="009E427F" w:rsidP="00404B17">
      <w:pPr>
        <w:pStyle w:val="StandaardSV"/>
        <w:ind w:left="426"/>
      </w:pPr>
      <w:r w:rsidRPr="007862DC">
        <w:t>Het gaat hierbij in bovenstaande tabel om het aantal behandelde projecten (d.w.z. inclusief projecten die onontvankelijk verklaard worden). De reden om met behandelde projecten te werken in plaats van met ingediende projecten is dat de tweede optie voor programma’s</w:t>
      </w:r>
      <w:r w:rsidR="00BF3DF6" w:rsidRPr="007862DC">
        <w:t xml:space="preserve"> met een jaarlijkse oproep </w:t>
      </w:r>
      <w:r w:rsidRPr="007862DC">
        <w:t xml:space="preserve">tot </w:t>
      </w:r>
      <w:r w:rsidR="002A6E17" w:rsidRPr="007862DC">
        <w:t>moeilijk interpreteerbare</w:t>
      </w:r>
      <w:r w:rsidRPr="007862DC">
        <w:t xml:space="preserve"> resultaten kan leiden door </w:t>
      </w:r>
      <w:r w:rsidR="002A6E17" w:rsidRPr="007862DC">
        <w:t>ongelijke verdeling van de indieningsmomenten over de jaren heen</w:t>
      </w:r>
      <w:r w:rsidRPr="007862DC">
        <w:t xml:space="preserve">. Voor de IWT-bedrijfssteun die werkt volgens een open-loket-principe (het hele jaar door </w:t>
      </w:r>
      <w:proofErr w:type="spellStart"/>
      <w:r w:rsidRPr="007862DC">
        <w:t>mogelijheid</w:t>
      </w:r>
      <w:proofErr w:type="spellEnd"/>
      <w:r w:rsidRPr="007862DC">
        <w:t xml:space="preserve"> tot indiening) wordt tussen haakjes </w:t>
      </w:r>
      <w:r w:rsidR="00BF3DF6" w:rsidRPr="007862DC">
        <w:t>ook</w:t>
      </w:r>
      <w:r w:rsidRPr="007862DC">
        <w:t xml:space="preserve"> het aantal ingediende projecten </w:t>
      </w:r>
      <w:r w:rsidR="00BF3DF6" w:rsidRPr="007862DC">
        <w:t>in</w:t>
      </w:r>
      <w:r w:rsidR="00AB5E4F" w:rsidRPr="007862DC">
        <w:t xml:space="preserve"> </w:t>
      </w:r>
      <w:r w:rsidR="00BF3DF6" w:rsidRPr="007862DC">
        <w:t xml:space="preserve">het betreffende kalenderjaar </w:t>
      </w:r>
      <w:r w:rsidRPr="007862DC">
        <w:t xml:space="preserve">gegeven. </w:t>
      </w:r>
    </w:p>
    <w:p w:rsidR="009E427F" w:rsidRPr="007862DC" w:rsidRDefault="009E427F" w:rsidP="009E427F">
      <w:pPr>
        <w:pStyle w:val="StandaardSV"/>
      </w:pPr>
    </w:p>
    <w:p w:rsidR="001E37D0" w:rsidRPr="007862DC" w:rsidRDefault="001E37D0" w:rsidP="007862DC">
      <w:pPr>
        <w:pStyle w:val="StandaardSV"/>
        <w:numPr>
          <w:ilvl w:val="0"/>
          <w:numId w:val="20"/>
        </w:numPr>
        <w:ind w:left="426" w:hanging="426"/>
      </w:pPr>
      <w:r w:rsidRPr="007862DC">
        <w:t xml:space="preserve">Voor de IWT-bedrijfssteun  situeert het aantal </w:t>
      </w:r>
      <w:proofErr w:type="gramStart"/>
      <w:r w:rsidRPr="007862DC">
        <w:t>project</w:t>
      </w:r>
      <w:r w:rsidR="009E427F" w:rsidRPr="007862DC">
        <w:t xml:space="preserve">aanvragen </w:t>
      </w:r>
      <w:r w:rsidRPr="007862DC">
        <w:t xml:space="preserve"> </w:t>
      </w:r>
      <w:proofErr w:type="gramEnd"/>
      <w:r w:rsidRPr="007862DC">
        <w:t>zich nog steeds</w:t>
      </w:r>
      <w:r w:rsidR="009E427F" w:rsidRPr="007862DC">
        <w:t xml:space="preserve"> sterk</w:t>
      </w:r>
      <w:r w:rsidRPr="007862DC">
        <w:t xml:space="preserve"> onder het aantal van het ‘topjaar’ 2009.</w:t>
      </w:r>
      <w:r w:rsidR="00EA3AEA" w:rsidRPr="007862DC">
        <w:t xml:space="preserve"> Het grote aantal aanvragen in 2009 is deel</w:t>
      </w:r>
      <w:r w:rsidR="00BF3DF6" w:rsidRPr="007862DC">
        <w:t>s</w:t>
      </w:r>
      <w:r w:rsidR="00EA3AEA" w:rsidRPr="007862DC">
        <w:t xml:space="preserve"> te verklaren door de eerste oproep voor O&amp;O-haalbaarheidsstudies. Traditioneel resulteert de eerste oproep van een nieuw programma tot een groot aantal aanvragen, waarna het aantal aanvragen in het volgende jaar daalt om daarna te stabiliseren.</w:t>
      </w:r>
      <w:r w:rsidRPr="007862DC">
        <w:t xml:space="preserve"> </w:t>
      </w:r>
      <w:r w:rsidR="00975F5F" w:rsidRPr="007862DC">
        <w:t xml:space="preserve">We stellen </w:t>
      </w:r>
      <w:r w:rsidRPr="007862DC">
        <w:t>vast dat</w:t>
      </w:r>
      <w:r w:rsidR="009E427F" w:rsidRPr="007862DC">
        <w:t xml:space="preserve"> na de sterke terugval in 2011</w:t>
      </w:r>
      <w:r w:rsidRPr="007862DC">
        <w:t xml:space="preserve"> het aantal</w:t>
      </w:r>
      <w:r w:rsidR="009E427F" w:rsidRPr="007862DC">
        <w:t xml:space="preserve"> aanvragen</w:t>
      </w:r>
      <w:r w:rsidR="00EA3AEA" w:rsidRPr="007862DC">
        <w:t xml:space="preserve"> binnen de IWT-bedrijfs</w:t>
      </w:r>
      <w:r w:rsidR="00BF3DF6" w:rsidRPr="007862DC">
        <w:softHyphen/>
      </w:r>
      <w:r w:rsidR="00EA3AEA" w:rsidRPr="007862DC">
        <w:t>steun</w:t>
      </w:r>
      <w:r w:rsidR="009E427F" w:rsidRPr="007862DC">
        <w:t xml:space="preserve"> </w:t>
      </w:r>
      <w:r w:rsidR="00BF3DF6" w:rsidRPr="007862DC">
        <w:t>in 2012 terug stijgt</w:t>
      </w:r>
      <w:r w:rsidRPr="007862DC">
        <w:t>.</w:t>
      </w:r>
      <w:r w:rsidR="002A6E17" w:rsidRPr="007862DC">
        <w:t xml:space="preserve"> De bewegingen binnen de bedrijfssteun worden in belangrijke mate bepaald door het </w:t>
      </w:r>
      <w:proofErr w:type="spellStart"/>
      <w:r w:rsidR="002A6E17" w:rsidRPr="007862DC">
        <w:t>kmo</w:t>
      </w:r>
      <w:proofErr w:type="spellEnd"/>
      <w:r w:rsidR="002A6E17" w:rsidRPr="007862DC">
        <w:t>-programma</w:t>
      </w:r>
      <w:r w:rsidR="00BF3DF6" w:rsidRPr="007862DC">
        <w:t>.</w:t>
      </w:r>
      <w:r w:rsidRPr="007862DC">
        <w:t xml:space="preserve"> </w:t>
      </w:r>
      <w:r w:rsidR="009E427F" w:rsidRPr="007862DC">
        <w:t xml:space="preserve">Met 361 aanvragen </w:t>
      </w:r>
      <w:r w:rsidR="002A6E17" w:rsidRPr="007862DC">
        <w:t>i</w:t>
      </w:r>
      <w:r w:rsidR="009E427F" w:rsidRPr="007862DC">
        <w:t xml:space="preserve">s voornamelijk het </w:t>
      </w:r>
      <w:proofErr w:type="spellStart"/>
      <w:r w:rsidR="009E427F" w:rsidRPr="007862DC">
        <w:t>kmo</w:t>
      </w:r>
      <w:proofErr w:type="spellEnd"/>
      <w:r w:rsidR="009E427F" w:rsidRPr="007862DC">
        <w:t>-programma</w:t>
      </w:r>
      <w:r w:rsidR="002A6E17" w:rsidRPr="007862DC">
        <w:t xml:space="preserve"> in 2012 terug</w:t>
      </w:r>
      <w:r w:rsidR="009E427F" w:rsidRPr="007862DC">
        <w:t xml:space="preserve"> sterk </w:t>
      </w:r>
      <w:r w:rsidR="00BF3DF6" w:rsidRPr="007862DC">
        <w:t>gegroeid</w:t>
      </w:r>
      <w:r w:rsidR="009E427F" w:rsidRPr="007862DC">
        <w:t>.</w:t>
      </w:r>
    </w:p>
    <w:p w:rsidR="00975F5F" w:rsidRPr="00404B17" w:rsidRDefault="00975F5F" w:rsidP="001E37D0">
      <w:pPr>
        <w:pStyle w:val="StandaardSV"/>
      </w:pPr>
    </w:p>
    <w:p w:rsidR="001E37D0" w:rsidRPr="007862DC" w:rsidRDefault="001E37D0" w:rsidP="007862DC">
      <w:pPr>
        <w:pStyle w:val="StandaardSV"/>
        <w:ind w:left="426"/>
      </w:pPr>
      <w:r w:rsidRPr="007862DC">
        <w:t xml:space="preserve">De daling binnen het VIS-programma is volledig te wijten aan de hervorming van het VIS-programma, waarbij vanaf 2011 de </w:t>
      </w:r>
      <w:proofErr w:type="spellStart"/>
      <w:r w:rsidRPr="007862DC">
        <w:t>steuprogramma’s</w:t>
      </w:r>
      <w:proofErr w:type="spellEnd"/>
      <w:r w:rsidRPr="007862DC">
        <w:t xml:space="preserve"> VIS-TD, VIS-TIS en VIS-CO</w:t>
      </w:r>
      <w:r w:rsidR="009E427F" w:rsidRPr="007862DC">
        <w:t xml:space="preserve"> ophielden te bestaan en </w:t>
      </w:r>
      <w:r w:rsidRPr="007862DC">
        <w:t>vervangen werden door het programma VIS-trajecten.</w:t>
      </w:r>
    </w:p>
    <w:p w:rsidR="001E37D0" w:rsidRPr="007862DC" w:rsidRDefault="001E37D0" w:rsidP="007862DC">
      <w:pPr>
        <w:pStyle w:val="StandaardSV"/>
        <w:ind w:left="426" w:hanging="426"/>
        <w:rPr>
          <w:sz w:val="20"/>
        </w:rPr>
      </w:pPr>
    </w:p>
    <w:p w:rsidR="009E427F" w:rsidRPr="007862DC" w:rsidRDefault="002A6E17" w:rsidP="007862DC">
      <w:pPr>
        <w:pStyle w:val="StandaardSV"/>
        <w:ind w:left="426"/>
      </w:pPr>
      <w:r w:rsidRPr="007862DC">
        <w:lastRenderedPageBreak/>
        <w:t>Het programma van de onderzoeksmandaten werd stopgezet in 2011 en werd vanaf vervangen door het programma innovatiemandaten. Dit nieuwe programma verschilt echter zeer sterk t</w:t>
      </w:r>
      <w:r w:rsidR="00BF3DF6" w:rsidRPr="007862DC">
        <w:t xml:space="preserve">en opzichte van het oude. Zo </w:t>
      </w:r>
      <w:r w:rsidRPr="007862DC">
        <w:t xml:space="preserve">heeft </w:t>
      </w:r>
      <w:r w:rsidR="00BF3DF6" w:rsidRPr="007862DC">
        <w:t xml:space="preserve">het </w:t>
      </w:r>
      <w:r w:rsidRPr="007862DC">
        <w:t>een andere rechtsbasis en is er een veel grotere betrokkenheid van bedrijven en werkveld</w:t>
      </w:r>
      <w:r w:rsidR="009E427F" w:rsidRPr="007862DC">
        <w:t xml:space="preserve">. Ook voor </w:t>
      </w:r>
      <w:proofErr w:type="spellStart"/>
      <w:r w:rsidR="009E427F" w:rsidRPr="007862DC">
        <w:t>B</w:t>
      </w:r>
      <w:r w:rsidR="00BF3DF6" w:rsidRPr="007862DC">
        <w:t>aekeland</w:t>
      </w:r>
      <w:proofErr w:type="spellEnd"/>
      <w:r w:rsidR="009E427F" w:rsidRPr="007862DC">
        <w:t xml:space="preserve"> is er een li</w:t>
      </w:r>
      <w:r w:rsidR="00EA3AEA" w:rsidRPr="007862DC">
        <w:t>chte terugval in het</w:t>
      </w:r>
      <w:r w:rsidRPr="007862DC">
        <w:t xml:space="preserve"> aantal</w:t>
      </w:r>
      <w:r w:rsidR="00EA3AEA" w:rsidRPr="007862DC">
        <w:t xml:space="preserve"> aanvragen. Het gaat hierbij echter om een nieuw programma dat slechts in 2009 werd opgestart. </w:t>
      </w:r>
      <w:r w:rsidRPr="007862DC">
        <w:t>Zoals hierboven al vermeld gaat dit gepaard met een grote instroom in het eerste jaar, waarna het aantal aanvragen in de volgende jaren daalt</w:t>
      </w:r>
      <w:r w:rsidR="007862DC">
        <w:t>.</w:t>
      </w:r>
    </w:p>
    <w:p w:rsidR="00A4543E" w:rsidRDefault="00A4543E" w:rsidP="00A4543E">
      <w:pPr>
        <w:pStyle w:val="StandaardSV"/>
      </w:pPr>
    </w:p>
    <w:p w:rsidR="001E37D0" w:rsidRPr="007862DC" w:rsidRDefault="001E37D0" w:rsidP="0020012F">
      <w:pPr>
        <w:pStyle w:val="StandaardSV"/>
        <w:numPr>
          <w:ilvl w:val="0"/>
          <w:numId w:val="20"/>
        </w:numPr>
        <w:ind w:left="426" w:hanging="426"/>
      </w:pPr>
      <w:r w:rsidRPr="007862DC">
        <w:t>IWT analyseert de projectaanvragen niet naargelang het type van de organisatie</w:t>
      </w:r>
      <w:r w:rsidR="000B174A" w:rsidRPr="007862DC">
        <w:t xml:space="preserve"> van de aanvragers</w:t>
      </w:r>
      <w:r w:rsidRPr="007862DC">
        <w:t>.</w:t>
      </w:r>
      <w:r w:rsidR="000B174A" w:rsidRPr="007862DC">
        <w:t xml:space="preserve"> </w:t>
      </w:r>
      <w:r w:rsidRPr="007862DC">
        <w:t xml:space="preserve">Na de projectaanvraag kunnen zich immers nog wijzigingen voordoen in de samenstelling van </w:t>
      </w:r>
      <w:r w:rsidR="002A6E17" w:rsidRPr="007862DC">
        <w:t>het projectconsortium</w:t>
      </w:r>
      <w:r w:rsidRPr="007862DC">
        <w:t xml:space="preserve">. </w:t>
      </w:r>
    </w:p>
    <w:p w:rsidR="001E37D0" w:rsidRPr="007862DC" w:rsidRDefault="001E37D0" w:rsidP="007862DC">
      <w:pPr>
        <w:pStyle w:val="StandaardSV"/>
        <w:ind w:left="426"/>
      </w:pPr>
    </w:p>
    <w:p w:rsidR="001E37D0" w:rsidRPr="007862DC" w:rsidRDefault="009E427F" w:rsidP="007862DC">
      <w:pPr>
        <w:pStyle w:val="StandaardSV"/>
        <w:ind w:left="426"/>
      </w:pPr>
      <w:r w:rsidRPr="007862DC">
        <w:t xml:space="preserve">Wel zijn er cijfers beschikbaar over </w:t>
      </w:r>
      <w:r w:rsidR="001E37D0" w:rsidRPr="007862DC">
        <w:t>de verdeling van de toegekende steun per type uitvoerder. Het gaat hierbij om een aggregaat voor alle programma’s die gefinancierd worden op de IWT-eigen begrotingslijnen.</w:t>
      </w:r>
      <w:r w:rsidRPr="007862DC">
        <w:t xml:space="preserve"> Bovendien wordt er bij de kennisinstellingen geen opsplitsing gemaakt tussen universiteiten en </w:t>
      </w:r>
      <w:proofErr w:type="gramStart"/>
      <w:r w:rsidRPr="007862DC">
        <w:t xml:space="preserve">hogescholen. </w:t>
      </w:r>
      <w:proofErr w:type="gramEnd"/>
      <w:r w:rsidR="004727ED" w:rsidRPr="007862DC">
        <w:t>De</w:t>
      </w:r>
      <w:r w:rsidR="00D27643" w:rsidRPr="007862DC">
        <w:t xml:space="preserve"> verdeling van de steun per type organisatie</w:t>
      </w:r>
      <w:r w:rsidR="004727ED" w:rsidRPr="007862DC">
        <w:t xml:space="preserve"> is vrij stabiel over de jaren</w:t>
      </w:r>
      <w:r w:rsidR="00D27643" w:rsidRPr="007862DC">
        <w:t>.</w:t>
      </w:r>
    </w:p>
    <w:p w:rsidR="0020012F" w:rsidRPr="00404B17" w:rsidRDefault="0020012F" w:rsidP="00A4543E">
      <w:pPr>
        <w:pStyle w:val="StandaardSV"/>
        <w:rPr>
          <w:szCs w:val="22"/>
        </w:rPr>
      </w:pPr>
    </w:p>
    <w:p w:rsidR="00F92952" w:rsidRDefault="00F92952" w:rsidP="00F92952">
      <w:pPr>
        <w:rPr>
          <w:b/>
          <w:bCs/>
          <w:sz w:val="22"/>
          <w:szCs w:val="22"/>
        </w:rPr>
      </w:pPr>
      <w:r w:rsidRPr="004727ED">
        <w:rPr>
          <w:b/>
          <w:bCs/>
          <w:sz w:val="22"/>
          <w:szCs w:val="22"/>
        </w:rPr>
        <w:t>Tabel: Opsplitsing van de toegekende steun per organisatietype (enkel IWT-begrotingslijnen)</w:t>
      </w:r>
    </w:p>
    <w:p w:rsidR="0020012F" w:rsidRPr="004727ED" w:rsidRDefault="0020012F" w:rsidP="00F92952">
      <w:pPr>
        <w:rPr>
          <w:b/>
          <w:bCs/>
          <w:sz w:val="22"/>
          <w:szCs w:val="22"/>
        </w:rPr>
      </w:pPr>
    </w:p>
    <w:tbl>
      <w:tblPr>
        <w:tblStyle w:val="Tabelraster"/>
        <w:tblW w:w="0" w:type="auto"/>
        <w:tblInd w:w="108" w:type="dxa"/>
        <w:tblLook w:val="04A0" w:firstRow="1" w:lastRow="0" w:firstColumn="1" w:lastColumn="0" w:noHBand="0" w:noVBand="1"/>
      </w:tblPr>
      <w:tblGrid>
        <w:gridCol w:w="2977"/>
        <w:gridCol w:w="2042"/>
        <w:gridCol w:w="2042"/>
        <w:gridCol w:w="2043"/>
      </w:tblGrid>
      <w:tr w:rsidR="001E37D0" w:rsidRPr="0020012F" w:rsidTr="004727ED">
        <w:tc>
          <w:tcPr>
            <w:tcW w:w="2977" w:type="dxa"/>
          </w:tcPr>
          <w:p w:rsidR="001E37D0" w:rsidRPr="0020012F" w:rsidRDefault="001E37D0" w:rsidP="001E37D0">
            <w:pPr>
              <w:pStyle w:val="StandaardSV"/>
              <w:jc w:val="center"/>
              <w:rPr>
                <w:szCs w:val="22"/>
              </w:rPr>
            </w:pPr>
          </w:p>
        </w:tc>
        <w:tc>
          <w:tcPr>
            <w:tcW w:w="2042" w:type="dxa"/>
          </w:tcPr>
          <w:p w:rsidR="001E37D0" w:rsidRPr="0020012F" w:rsidRDefault="001E37D0" w:rsidP="001E37D0">
            <w:pPr>
              <w:pStyle w:val="StandaardSV"/>
              <w:jc w:val="center"/>
              <w:rPr>
                <w:b/>
                <w:szCs w:val="22"/>
              </w:rPr>
            </w:pPr>
            <w:r w:rsidRPr="0020012F">
              <w:rPr>
                <w:b/>
                <w:szCs w:val="22"/>
              </w:rPr>
              <w:t>2010</w:t>
            </w:r>
          </w:p>
        </w:tc>
        <w:tc>
          <w:tcPr>
            <w:tcW w:w="2042" w:type="dxa"/>
          </w:tcPr>
          <w:p w:rsidR="001E37D0" w:rsidRPr="0020012F" w:rsidRDefault="001E37D0" w:rsidP="001E37D0">
            <w:pPr>
              <w:pStyle w:val="StandaardSV"/>
              <w:jc w:val="center"/>
              <w:rPr>
                <w:b/>
                <w:szCs w:val="22"/>
              </w:rPr>
            </w:pPr>
            <w:r w:rsidRPr="0020012F">
              <w:rPr>
                <w:b/>
                <w:szCs w:val="22"/>
              </w:rPr>
              <w:t>2011</w:t>
            </w:r>
          </w:p>
        </w:tc>
        <w:tc>
          <w:tcPr>
            <w:tcW w:w="2043" w:type="dxa"/>
          </w:tcPr>
          <w:p w:rsidR="001E37D0" w:rsidRPr="0020012F" w:rsidRDefault="001E37D0" w:rsidP="001E37D0">
            <w:pPr>
              <w:pStyle w:val="StandaardSV"/>
              <w:jc w:val="center"/>
              <w:rPr>
                <w:b/>
                <w:szCs w:val="22"/>
              </w:rPr>
            </w:pPr>
            <w:r w:rsidRPr="0020012F">
              <w:rPr>
                <w:b/>
                <w:szCs w:val="22"/>
              </w:rPr>
              <w:t>2012</w:t>
            </w:r>
          </w:p>
        </w:tc>
      </w:tr>
      <w:tr w:rsidR="001E37D0" w:rsidRPr="0020012F" w:rsidTr="004727ED">
        <w:tc>
          <w:tcPr>
            <w:tcW w:w="2977" w:type="dxa"/>
          </w:tcPr>
          <w:p w:rsidR="001E37D0" w:rsidRPr="0020012F" w:rsidRDefault="001E37D0" w:rsidP="00A4543E">
            <w:pPr>
              <w:pStyle w:val="StandaardSV"/>
              <w:rPr>
                <w:szCs w:val="22"/>
              </w:rPr>
            </w:pPr>
            <w:r w:rsidRPr="0020012F">
              <w:rPr>
                <w:szCs w:val="22"/>
              </w:rPr>
              <w:t>Bedrijven</w:t>
            </w:r>
          </w:p>
        </w:tc>
        <w:tc>
          <w:tcPr>
            <w:tcW w:w="2042" w:type="dxa"/>
          </w:tcPr>
          <w:p w:rsidR="001E37D0" w:rsidRPr="0020012F" w:rsidRDefault="001E37D0" w:rsidP="001E37D0">
            <w:pPr>
              <w:pStyle w:val="StandaardSV"/>
              <w:jc w:val="center"/>
              <w:rPr>
                <w:szCs w:val="22"/>
              </w:rPr>
            </w:pPr>
            <w:r w:rsidRPr="0020012F">
              <w:rPr>
                <w:szCs w:val="22"/>
              </w:rPr>
              <w:t>43%</w:t>
            </w:r>
          </w:p>
        </w:tc>
        <w:tc>
          <w:tcPr>
            <w:tcW w:w="2042" w:type="dxa"/>
          </w:tcPr>
          <w:p w:rsidR="001E37D0" w:rsidRPr="0020012F" w:rsidRDefault="001E37D0" w:rsidP="001E37D0">
            <w:pPr>
              <w:pStyle w:val="StandaardSV"/>
              <w:jc w:val="center"/>
              <w:rPr>
                <w:szCs w:val="22"/>
              </w:rPr>
            </w:pPr>
            <w:r w:rsidRPr="0020012F">
              <w:rPr>
                <w:szCs w:val="22"/>
              </w:rPr>
              <w:t>44%</w:t>
            </w:r>
          </w:p>
        </w:tc>
        <w:tc>
          <w:tcPr>
            <w:tcW w:w="2043" w:type="dxa"/>
          </w:tcPr>
          <w:p w:rsidR="001E37D0" w:rsidRPr="0020012F" w:rsidRDefault="001E37D0" w:rsidP="001E37D0">
            <w:pPr>
              <w:pStyle w:val="StandaardSV"/>
              <w:jc w:val="center"/>
              <w:rPr>
                <w:szCs w:val="22"/>
              </w:rPr>
            </w:pPr>
            <w:r w:rsidRPr="0020012F">
              <w:rPr>
                <w:szCs w:val="22"/>
              </w:rPr>
              <w:t>44%</w:t>
            </w:r>
          </w:p>
        </w:tc>
      </w:tr>
      <w:tr w:rsidR="001E37D0" w:rsidRPr="0020012F" w:rsidTr="004727ED">
        <w:tc>
          <w:tcPr>
            <w:tcW w:w="2977" w:type="dxa"/>
          </w:tcPr>
          <w:p w:rsidR="001E37D0" w:rsidRPr="0020012F" w:rsidRDefault="004727ED" w:rsidP="001E37D0">
            <w:pPr>
              <w:pStyle w:val="StandaardSV"/>
              <w:numPr>
                <w:ilvl w:val="0"/>
                <w:numId w:val="18"/>
              </w:numPr>
              <w:rPr>
                <w:szCs w:val="22"/>
              </w:rPr>
            </w:pPr>
            <w:r w:rsidRPr="0020012F">
              <w:rPr>
                <w:szCs w:val="22"/>
              </w:rPr>
              <w:t>g</w:t>
            </w:r>
            <w:r w:rsidR="001E37D0" w:rsidRPr="0020012F">
              <w:rPr>
                <w:szCs w:val="22"/>
              </w:rPr>
              <w:t>rote ondernemingen</w:t>
            </w:r>
          </w:p>
        </w:tc>
        <w:tc>
          <w:tcPr>
            <w:tcW w:w="2042" w:type="dxa"/>
          </w:tcPr>
          <w:p w:rsidR="001E37D0" w:rsidRPr="0020012F" w:rsidRDefault="001E37D0" w:rsidP="001E37D0">
            <w:pPr>
              <w:pStyle w:val="StandaardSV"/>
              <w:jc w:val="center"/>
              <w:rPr>
                <w:szCs w:val="22"/>
              </w:rPr>
            </w:pPr>
            <w:r w:rsidRPr="0020012F">
              <w:rPr>
                <w:szCs w:val="22"/>
              </w:rPr>
              <w:t>27,5%</w:t>
            </w:r>
          </w:p>
        </w:tc>
        <w:tc>
          <w:tcPr>
            <w:tcW w:w="2042" w:type="dxa"/>
          </w:tcPr>
          <w:p w:rsidR="001E37D0" w:rsidRPr="0020012F" w:rsidRDefault="001E37D0" w:rsidP="001E37D0">
            <w:pPr>
              <w:pStyle w:val="StandaardSV"/>
              <w:jc w:val="center"/>
              <w:rPr>
                <w:szCs w:val="22"/>
              </w:rPr>
            </w:pPr>
            <w:r w:rsidRPr="0020012F">
              <w:rPr>
                <w:szCs w:val="22"/>
              </w:rPr>
              <w:t>30%</w:t>
            </w:r>
          </w:p>
        </w:tc>
        <w:tc>
          <w:tcPr>
            <w:tcW w:w="2043" w:type="dxa"/>
          </w:tcPr>
          <w:p w:rsidR="001E37D0" w:rsidRPr="0020012F" w:rsidRDefault="001E37D0" w:rsidP="001E37D0">
            <w:pPr>
              <w:pStyle w:val="StandaardSV"/>
              <w:jc w:val="center"/>
              <w:rPr>
                <w:szCs w:val="22"/>
              </w:rPr>
            </w:pPr>
            <w:r w:rsidRPr="0020012F">
              <w:rPr>
                <w:szCs w:val="22"/>
              </w:rPr>
              <w:t>28%</w:t>
            </w:r>
          </w:p>
        </w:tc>
      </w:tr>
      <w:tr w:rsidR="001E37D0" w:rsidRPr="0020012F" w:rsidTr="004727ED">
        <w:tc>
          <w:tcPr>
            <w:tcW w:w="2977" w:type="dxa"/>
          </w:tcPr>
          <w:p w:rsidR="001E37D0" w:rsidRPr="0020012F" w:rsidRDefault="005C5EAF" w:rsidP="001E37D0">
            <w:pPr>
              <w:pStyle w:val="StandaardSV"/>
              <w:numPr>
                <w:ilvl w:val="0"/>
                <w:numId w:val="18"/>
              </w:numPr>
              <w:rPr>
                <w:szCs w:val="22"/>
              </w:rPr>
            </w:pPr>
            <w:proofErr w:type="spellStart"/>
            <w:r w:rsidRPr="0020012F">
              <w:rPr>
                <w:szCs w:val="22"/>
              </w:rPr>
              <w:t>k</w:t>
            </w:r>
            <w:r w:rsidR="001E37D0" w:rsidRPr="0020012F">
              <w:rPr>
                <w:szCs w:val="22"/>
              </w:rPr>
              <w:t>mo’s</w:t>
            </w:r>
            <w:proofErr w:type="spellEnd"/>
          </w:p>
        </w:tc>
        <w:tc>
          <w:tcPr>
            <w:tcW w:w="2042" w:type="dxa"/>
          </w:tcPr>
          <w:p w:rsidR="001E37D0" w:rsidRPr="0020012F" w:rsidRDefault="001E37D0" w:rsidP="001E37D0">
            <w:pPr>
              <w:pStyle w:val="StandaardSV"/>
              <w:jc w:val="center"/>
              <w:rPr>
                <w:szCs w:val="22"/>
              </w:rPr>
            </w:pPr>
            <w:r w:rsidRPr="0020012F">
              <w:rPr>
                <w:szCs w:val="22"/>
              </w:rPr>
              <w:t>15,5%</w:t>
            </w:r>
          </w:p>
        </w:tc>
        <w:tc>
          <w:tcPr>
            <w:tcW w:w="2042" w:type="dxa"/>
          </w:tcPr>
          <w:p w:rsidR="001E37D0" w:rsidRPr="0020012F" w:rsidRDefault="001E37D0" w:rsidP="001E37D0">
            <w:pPr>
              <w:pStyle w:val="StandaardSV"/>
              <w:jc w:val="center"/>
              <w:rPr>
                <w:szCs w:val="22"/>
              </w:rPr>
            </w:pPr>
            <w:r w:rsidRPr="0020012F">
              <w:rPr>
                <w:szCs w:val="22"/>
              </w:rPr>
              <w:t>14%</w:t>
            </w:r>
          </w:p>
        </w:tc>
        <w:tc>
          <w:tcPr>
            <w:tcW w:w="2043" w:type="dxa"/>
          </w:tcPr>
          <w:p w:rsidR="001E37D0" w:rsidRPr="0020012F" w:rsidRDefault="001E37D0" w:rsidP="001E37D0">
            <w:pPr>
              <w:pStyle w:val="StandaardSV"/>
              <w:jc w:val="center"/>
              <w:rPr>
                <w:szCs w:val="22"/>
              </w:rPr>
            </w:pPr>
            <w:r w:rsidRPr="0020012F">
              <w:rPr>
                <w:szCs w:val="22"/>
              </w:rPr>
              <w:t>16%</w:t>
            </w:r>
          </w:p>
        </w:tc>
      </w:tr>
      <w:tr w:rsidR="001E37D0" w:rsidRPr="0020012F" w:rsidTr="004727ED">
        <w:tc>
          <w:tcPr>
            <w:tcW w:w="2977" w:type="dxa"/>
          </w:tcPr>
          <w:p w:rsidR="001E37D0" w:rsidRPr="0020012F" w:rsidRDefault="001E37D0" w:rsidP="00A4543E">
            <w:pPr>
              <w:pStyle w:val="StandaardSV"/>
              <w:rPr>
                <w:szCs w:val="22"/>
              </w:rPr>
            </w:pPr>
            <w:r w:rsidRPr="0020012F">
              <w:rPr>
                <w:szCs w:val="22"/>
              </w:rPr>
              <w:t>Kennisinstellingen</w:t>
            </w:r>
          </w:p>
        </w:tc>
        <w:tc>
          <w:tcPr>
            <w:tcW w:w="2042" w:type="dxa"/>
          </w:tcPr>
          <w:p w:rsidR="001E37D0" w:rsidRPr="0020012F" w:rsidRDefault="001E37D0" w:rsidP="001E37D0">
            <w:pPr>
              <w:pStyle w:val="StandaardSV"/>
              <w:jc w:val="center"/>
              <w:rPr>
                <w:szCs w:val="22"/>
              </w:rPr>
            </w:pPr>
            <w:r w:rsidRPr="0020012F">
              <w:rPr>
                <w:szCs w:val="22"/>
              </w:rPr>
              <w:t>48%</w:t>
            </w:r>
          </w:p>
        </w:tc>
        <w:tc>
          <w:tcPr>
            <w:tcW w:w="2042" w:type="dxa"/>
          </w:tcPr>
          <w:p w:rsidR="001E37D0" w:rsidRPr="0020012F" w:rsidRDefault="001E37D0" w:rsidP="001E37D0">
            <w:pPr>
              <w:pStyle w:val="StandaardSV"/>
              <w:jc w:val="center"/>
              <w:rPr>
                <w:szCs w:val="22"/>
              </w:rPr>
            </w:pPr>
            <w:r w:rsidRPr="0020012F">
              <w:rPr>
                <w:szCs w:val="22"/>
              </w:rPr>
              <w:t>48%</w:t>
            </w:r>
          </w:p>
        </w:tc>
        <w:tc>
          <w:tcPr>
            <w:tcW w:w="2043" w:type="dxa"/>
          </w:tcPr>
          <w:p w:rsidR="001E37D0" w:rsidRPr="0020012F" w:rsidRDefault="001E37D0" w:rsidP="001E37D0">
            <w:pPr>
              <w:pStyle w:val="StandaardSV"/>
              <w:jc w:val="center"/>
              <w:rPr>
                <w:szCs w:val="22"/>
              </w:rPr>
            </w:pPr>
            <w:r w:rsidRPr="0020012F">
              <w:rPr>
                <w:szCs w:val="22"/>
              </w:rPr>
              <w:t>50%</w:t>
            </w:r>
          </w:p>
        </w:tc>
      </w:tr>
      <w:tr w:rsidR="001E37D0" w:rsidRPr="0020012F" w:rsidTr="004727ED">
        <w:tc>
          <w:tcPr>
            <w:tcW w:w="2977" w:type="dxa"/>
          </w:tcPr>
          <w:p w:rsidR="001E37D0" w:rsidRPr="0020012F" w:rsidRDefault="001E37D0" w:rsidP="00A4543E">
            <w:pPr>
              <w:pStyle w:val="StandaardSV"/>
              <w:rPr>
                <w:szCs w:val="22"/>
              </w:rPr>
            </w:pPr>
            <w:r w:rsidRPr="0020012F">
              <w:rPr>
                <w:szCs w:val="22"/>
              </w:rPr>
              <w:t>Intermediaire organisaties</w:t>
            </w:r>
          </w:p>
        </w:tc>
        <w:tc>
          <w:tcPr>
            <w:tcW w:w="2042" w:type="dxa"/>
          </w:tcPr>
          <w:p w:rsidR="001E37D0" w:rsidRPr="0020012F" w:rsidRDefault="001E37D0" w:rsidP="001E37D0">
            <w:pPr>
              <w:pStyle w:val="StandaardSV"/>
              <w:jc w:val="center"/>
              <w:rPr>
                <w:szCs w:val="22"/>
              </w:rPr>
            </w:pPr>
            <w:r w:rsidRPr="0020012F">
              <w:rPr>
                <w:szCs w:val="22"/>
              </w:rPr>
              <w:t>9%</w:t>
            </w:r>
          </w:p>
        </w:tc>
        <w:tc>
          <w:tcPr>
            <w:tcW w:w="2042" w:type="dxa"/>
          </w:tcPr>
          <w:p w:rsidR="001E37D0" w:rsidRPr="0020012F" w:rsidRDefault="001E37D0" w:rsidP="001E37D0">
            <w:pPr>
              <w:pStyle w:val="StandaardSV"/>
              <w:jc w:val="center"/>
              <w:rPr>
                <w:szCs w:val="22"/>
              </w:rPr>
            </w:pPr>
            <w:r w:rsidRPr="0020012F">
              <w:rPr>
                <w:szCs w:val="22"/>
              </w:rPr>
              <w:t>8%</w:t>
            </w:r>
          </w:p>
        </w:tc>
        <w:tc>
          <w:tcPr>
            <w:tcW w:w="2043" w:type="dxa"/>
          </w:tcPr>
          <w:p w:rsidR="001E37D0" w:rsidRPr="0020012F" w:rsidRDefault="001E37D0" w:rsidP="001E37D0">
            <w:pPr>
              <w:pStyle w:val="StandaardSV"/>
              <w:jc w:val="center"/>
              <w:rPr>
                <w:szCs w:val="22"/>
              </w:rPr>
            </w:pPr>
            <w:r w:rsidRPr="0020012F">
              <w:rPr>
                <w:szCs w:val="22"/>
              </w:rPr>
              <w:t>6%</w:t>
            </w:r>
          </w:p>
        </w:tc>
      </w:tr>
    </w:tbl>
    <w:p w:rsidR="001E37D0" w:rsidRPr="0020012F" w:rsidRDefault="002525FC" w:rsidP="00A4543E">
      <w:pPr>
        <w:pStyle w:val="StandaardSV"/>
        <w:rPr>
          <w:szCs w:val="22"/>
        </w:rPr>
      </w:pPr>
      <w:r w:rsidRPr="0020012F">
        <w:rPr>
          <w:szCs w:val="22"/>
        </w:rPr>
        <w:t xml:space="preserve">Bron: </w:t>
      </w:r>
      <w:r w:rsidRPr="0020012F">
        <w:rPr>
          <w:sz w:val="18"/>
          <w:szCs w:val="18"/>
        </w:rPr>
        <w:t>IWT-activiteitenverslag</w:t>
      </w:r>
    </w:p>
    <w:p w:rsidR="00A4543E" w:rsidRDefault="00A4543E" w:rsidP="00A4543E">
      <w:pPr>
        <w:pStyle w:val="StandaardSV"/>
      </w:pPr>
    </w:p>
    <w:p w:rsidR="000574FA" w:rsidRDefault="000574FA" w:rsidP="0020012F">
      <w:pPr>
        <w:pStyle w:val="Lijstalinea"/>
        <w:numPr>
          <w:ilvl w:val="0"/>
          <w:numId w:val="20"/>
        </w:numPr>
        <w:rPr>
          <w:b/>
          <w:bCs/>
          <w:sz w:val="22"/>
          <w:szCs w:val="22"/>
        </w:rPr>
      </w:pPr>
      <w:r w:rsidRPr="0020012F">
        <w:rPr>
          <w:b/>
          <w:bCs/>
          <w:sz w:val="22"/>
          <w:szCs w:val="22"/>
        </w:rPr>
        <w:t>Aantal gesteunde projecten</w:t>
      </w:r>
      <w:r w:rsidR="00F92952" w:rsidRPr="0020012F">
        <w:rPr>
          <w:b/>
          <w:bCs/>
          <w:sz w:val="22"/>
          <w:szCs w:val="22"/>
        </w:rPr>
        <w:t>*</w:t>
      </w:r>
    </w:p>
    <w:p w:rsidR="0020012F" w:rsidRPr="0020012F" w:rsidRDefault="0020012F" w:rsidP="0020012F">
      <w:pPr>
        <w:pStyle w:val="Lijstalinea"/>
        <w:rPr>
          <w:b/>
          <w:bCs/>
          <w:sz w:val="22"/>
          <w:szCs w:val="22"/>
        </w:rPr>
      </w:pPr>
    </w:p>
    <w:tbl>
      <w:tblPr>
        <w:tblStyle w:val="Tabelraster"/>
        <w:tblW w:w="5812" w:type="dxa"/>
        <w:tblInd w:w="108" w:type="dxa"/>
        <w:tblLayout w:type="fixed"/>
        <w:tblLook w:val="04A0" w:firstRow="1" w:lastRow="0" w:firstColumn="1" w:lastColumn="0" w:noHBand="0" w:noVBand="1"/>
      </w:tblPr>
      <w:tblGrid>
        <w:gridCol w:w="4678"/>
        <w:gridCol w:w="1134"/>
      </w:tblGrid>
      <w:tr w:rsidR="005C5EAF" w:rsidRPr="00545F67" w:rsidTr="000B2C80">
        <w:tc>
          <w:tcPr>
            <w:tcW w:w="4678" w:type="dxa"/>
          </w:tcPr>
          <w:p w:rsidR="005C5EAF" w:rsidRPr="0020012F" w:rsidRDefault="005C5EAF" w:rsidP="00E66C11">
            <w:pPr>
              <w:pStyle w:val="StandaardSV"/>
              <w:jc w:val="center"/>
              <w:rPr>
                <w:color w:val="1F497D" w:themeColor="text2"/>
                <w:szCs w:val="22"/>
              </w:rPr>
            </w:pPr>
          </w:p>
        </w:tc>
        <w:tc>
          <w:tcPr>
            <w:tcW w:w="1134" w:type="dxa"/>
          </w:tcPr>
          <w:p w:rsidR="005C5EAF" w:rsidRPr="0020012F" w:rsidRDefault="005C5EAF" w:rsidP="00E66C11">
            <w:pPr>
              <w:pStyle w:val="StandaardSV"/>
              <w:jc w:val="center"/>
              <w:rPr>
                <w:b/>
                <w:szCs w:val="22"/>
              </w:rPr>
            </w:pPr>
            <w:r w:rsidRPr="0020012F">
              <w:rPr>
                <w:b/>
                <w:szCs w:val="22"/>
              </w:rPr>
              <w:t>2012</w:t>
            </w:r>
          </w:p>
        </w:tc>
      </w:tr>
      <w:tr w:rsidR="005C5EAF" w:rsidRPr="00545F67" w:rsidTr="000B2C80">
        <w:tc>
          <w:tcPr>
            <w:tcW w:w="4678" w:type="dxa"/>
          </w:tcPr>
          <w:p w:rsidR="005C5EAF" w:rsidRPr="0020012F" w:rsidRDefault="005C5EAF" w:rsidP="00E66C11">
            <w:pPr>
              <w:pStyle w:val="StandaardSV"/>
              <w:rPr>
                <w:szCs w:val="22"/>
              </w:rPr>
            </w:pPr>
            <w:r w:rsidRPr="0020012F">
              <w:rPr>
                <w:szCs w:val="22"/>
              </w:rPr>
              <w:t>IWT-bedrijfssteun</w:t>
            </w:r>
          </w:p>
        </w:tc>
        <w:tc>
          <w:tcPr>
            <w:tcW w:w="1134" w:type="dxa"/>
          </w:tcPr>
          <w:p w:rsidR="005C5EAF" w:rsidRPr="0020012F" w:rsidRDefault="005C5EAF" w:rsidP="00E66C11">
            <w:pPr>
              <w:pStyle w:val="StandaardSV"/>
              <w:jc w:val="center"/>
              <w:rPr>
                <w:szCs w:val="22"/>
              </w:rPr>
            </w:pPr>
            <w:r w:rsidRPr="0020012F">
              <w:rPr>
                <w:szCs w:val="22"/>
              </w:rPr>
              <w:t>374</w:t>
            </w:r>
          </w:p>
        </w:tc>
      </w:tr>
      <w:tr w:rsidR="005C5EAF" w:rsidRPr="00545F67" w:rsidTr="000B2C80">
        <w:tc>
          <w:tcPr>
            <w:tcW w:w="4678" w:type="dxa"/>
          </w:tcPr>
          <w:p w:rsidR="005C5EAF" w:rsidRPr="0020012F" w:rsidRDefault="005C5EAF" w:rsidP="00E66C11">
            <w:pPr>
              <w:pStyle w:val="StandaardSV"/>
              <w:numPr>
                <w:ilvl w:val="0"/>
                <w:numId w:val="18"/>
              </w:numPr>
              <w:rPr>
                <w:szCs w:val="22"/>
              </w:rPr>
            </w:pPr>
            <w:r w:rsidRPr="0020012F">
              <w:rPr>
                <w:szCs w:val="22"/>
              </w:rPr>
              <w:t>O&amp;O-bedrijfsprojecten</w:t>
            </w:r>
          </w:p>
        </w:tc>
        <w:tc>
          <w:tcPr>
            <w:tcW w:w="1134" w:type="dxa"/>
          </w:tcPr>
          <w:p w:rsidR="005C5EAF" w:rsidRPr="0020012F" w:rsidRDefault="005C5EAF" w:rsidP="00E66C11">
            <w:pPr>
              <w:pStyle w:val="StandaardSV"/>
              <w:jc w:val="center"/>
              <w:rPr>
                <w:szCs w:val="22"/>
              </w:rPr>
            </w:pPr>
            <w:r w:rsidRPr="0020012F">
              <w:rPr>
                <w:szCs w:val="22"/>
              </w:rPr>
              <w:t>133</w:t>
            </w:r>
          </w:p>
        </w:tc>
      </w:tr>
      <w:tr w:rsidR="005C5EAF" w:rsidRPr="00545F67" w:rsidTr="000B2C80">
        <w:tc>
          <w:tcPr>
            <w:tcW w:w="4678" w:type="dxa"/>
          </w:tcPr>
          <w:p w:rsidR="005C5EAF" w:rsidRPr="0020012F" w:rsidRDefault="005C5EAF" w:rsidP="00E66C11">
            <w:pPr>
              <w:pStyle w:val="StandaardSV"/>
              <w:numPr>
                <w:ilvl w:val="0"/>
                <w:numId w:val="18"/>
              </w:numPr>
              <w:rPr>
                <w:szCs w:val="22"/>
              </w:rPr>
            </w:pPr>
            <w:proofErr w:type="spellStart"/>
            <w:r w:rsidRPr="0020012F">
              <w:rPr>
                <w:szCs w:val="22"/>
              </w:rPr>
              <w:t>kmo</w:t>
            </w:r>
            <w:proofErr w:type="spellEnd"/>
            <w:r w:rsidRPr="0020012F">
              <w:rPr>
                <w:szCs w:val="22"/>
              </w:rPr>
              <w:t>-programma</w:t>
            </w:r>
          </w:p>
        </w:tc>
        <w:tc>
          <w:tcPr>
            <w:tcW w:w="1134" w:type="dxa"/>
          </w:tcPr>
          <w:p w:rsidR="005C5EAF" w:rsidRPr="0020012F" w:rsidRDefault="005C5EAF" w:rsidP="00E66C11">
            <w:pPr>
              <w:pStyle w:val="StandaardSV"/>
              <w:jc w:val="center"/>
              <w:rPr>
                <w:szCs w:val="22"/>
              </w:rPr>
            </w:pPr>
            <w:r w:rsidRPr="0020012F">
              <w:rPr>
                <w:szCs w:val="22"/>
              </w:rPr>
              <w:t>241</w:t>
            </w:r>
          </w:p>
        </w:tc>
      </w:tr>
      <w:tr w:rsidR="005C5EAF" w:rsidRPr="00545F67" w:rsidTr="000B2C80">
        <w:tc>
          <w:tcPr>
            <w:tcW w:w="4678" w:type="dxa"/>
          </w:tcPr>
          <w:p w:rsidR="005C5EAF" w:rsidRPr="0020012F" w:rsidRDefault="005C5EAF" w:rsidP="00E66C11">
            <w:pPr>
              <w:pStyle w:val="StandaardSV"/>
              <w:numPr>
                <w:ilvl w:val="0"/>
                <w:numId w:val="18"/>
              </w:numPr>
              <w:rPr>
                <w:szCs w:val="22"/>
              </w:rPr>
            </w:pPr>
            <w:r w:rsidRPr="0020012F">
              <w:rPr>
                <w:szCs w:val="22"/>
              </w:rPr>
              <w:t>EUREKA*</w:t>
            </w:r>
          </w:p>
        </w:tc>
        <w:tc>
          <w:tcPr>
            <w:tcW w:w="1134" w:type="dxa"/>
          </w:tcPr>
          <w:p w:rsidR="005C5EAF" w:rsidRPr="0020012F" w:rsidRDefault="005C5EAF" w:rsidP="00E66C11">
            <w:pPr>
              <w:pStyle w:val="StandaardSV"/>
              <w:jc w:val="center"/>
              <w:rPr>
                <w:szCs w:val="22"/>
              </w:rPr>
            </w:pPr>
            <w:r w:rsidRPr="0020012F">
              <w:rPr>
                <w:szCs w:val="22"/>
              </w:rPr>
              <w:t>20</w:t>
            </w:r>
          </w:p>
        </w:tc>
      </w:tr>
      <w:tr w:rsidR="005C5EAF" w:rsidRPr="00545F67" w:rsidTr="000B2C80">
        <w:tc>
          <w:tcPr>
            <w:tcW w:w="4678" w:type="dxa"/>
          </w:tcPr>
          <w:p w:rsidR="005C5EAF" w:rsidRPr="0020012F" w:rsidRDefault="005C5EAF" w:rsidP="00E66C11">
            <w:pPr>
              <w:pStyle w:val="StandaardSV"/>
              <w:rPr>
                <w:szCs w:val="22"/>
              </w:rPr>
            </w:pPr>
            <w:r w:rsidRPr="0020012F">
              <w:rPr>
                <w:szCs w:val="22"/>
              </w:rPr>
              <w:t>VIS</w:t>
            </w:r>
          </w:p>
        </w:tc>
        <w:tc>
          <w:tcPr>
            <w:tcW w:w="1134" w:type="dxa"/>
          </w:tcPr>
          <w:p w:rsidR="005C5EAF" w:rsidRPr="0020012F" w:rsidRDefault="005C5EAF" w:rsidP="00E66C11">
            <w:pPr>
              <w:pStyle w:val="StandaardSV"/>
              <w:jc w:val="center"/>
              <w:rPr>
                <w:szCs w:val="22"/>
              </w:rPr>
            </w:pPr>
            <w:r w:rsidRPr="0020012F">
              <w:rPr>
                <w:szCs w:val="22"/>
              </w:rPr>
              <w:t>16</w:t>
            </w:r>
          </w:p>
        </w:tc>
      </w:tr>
      <w:tr w:rsidR="005C5EAF" w:rsidRPr="00545F67" w:rsidTr="000B2C80">
        <w:tc>
          <w:tcPr>
            <w:tcW w:w="4678" w:type="dxa"/>
          </w:tcPr>
          <w:p w:rsidR="005C5EAF" w:rsidRPr="0020012F" w:rsidRDefault="005C5EAF" w:rsidP="00E66C11">
            <w:pPr>
              <w:pStyle w:val="StandaardSV"/>
              <w:rPr>
                <w:szCs w:val="22"/>
              </w:rPr>
            </w:pPr>
            <w:r w:rsidRPr="0020012F">
              <w:rPr>
                <w:szCs w:val="22"/>
              </w:rPr>
              <w:t>TETRA</w:t>
            </w:r>
          </w:p>
        </w:tc>
        <w:tc>
          <w:tcPr>
            <w:tcW w:w="1134" w:type="dxa"/>
          </w:tcPr>
          <w:p w:rsidR="005C5EAF" w:rsidRPr="0020012F" w:rsidRDefault="005C5EAF" w:rsidP="00E66C11">
            <w:pPr>
              <w:pStyle w:val="StandaardSV"/>
              <w:jc w:val="center"/>
              <w:rPr>
                <w:szCs w:val="22"/>
              </w:rPr>
            </w:pPr>
            <w:r w:rsidRPr="0020012F">
              <w:rPr>
                <w:szCs w:val="22"/>
              </w:rPr>
              <w:t>33</w:t>
            </w:r>
          </w:p>
        </w:tc>
      </w:tr>
      <w:tr w:rsidR="005C5EAF" w:rsidRPr="00545F67" w:rsidTr="000B2C80">
        <w:tc>
          <w:tcPr>
            <w:tcW w:w="4678" w:type="dxa"/>
          </w:tcPr>
          <w:p w:rsidR="005C5EAF" w:rsidRPr="0020012F" w:rsidRDefault="005C5EAF" w:rsidP="00E66C11">
            <w:pPr>
              <w:pStyle w:val="StandaardSV"/>
              <w:rPr>
                <w:szCs w:val="22"/>
              </w:rPr>
            </w:pPr>
            <w:r w:rsidRPr="0020012F">
              <w:rPr>
                <w:szCs w:val="22"/>
              </w:rPr>
              <w:t>Doctorale specialisatiebeurzen**</w:t>
            </w:r>
          </w:p>
        </w:tc>
        <w:tc>
          <w:tcPr>
            <w:tcW w:w="1134" w:type="dxa"/>
          </w:tcPr>
          <w:p w:rsidR="005C5EAF" w:rsidRPr="0020012F" w:rsidRDefault="005C5EAF" w:rsidP="005C5EAF">
            <w:pPr>
              <w:pStyle w:val="StandaardSV"/>
              <w:jc w:val="center"/>
              <w:rPr>
                <w:szCs w:val="22"/>
              </w:rPr>
            </w:pPr>
            <w:r w:rsidRPr="0020012F">
              <w:rPr>
                <w:szCs w:val="22"/>
              </w:rPr>
              <w:t>200</w:t>
            </w:r>
          </w:p>
        </w:tc>
      </w:tr>
      <w:tr w:rsidR="005C5EAF" w:rsidRPr="00545F67" w:rsidTr="000B2C80">
        <w:tc>
          <w:tcPr>
            <w:tcW w:w="4678" w:type="dxa"/>
          </w:tcPr>
          <w:p w:rsidR="005C5EAF" w:rsidRPr="0020012F" w:rsidRDefault="005C5EAF" w:rsidP="00E66C11">
            <w:pPr>
              <w:pStyle w:val="StandaardSV"/>
              <w:rPr>
                <w:szCs w:val="22"/>
              </w:rPr>
            </w:pPr>
            <w:r w:rsidRPr="0020012F">
              <w:rPr>
                <w:szCs w:val="22"/>
              </w:rPr>
              <w:t xml:space="preserve">Innovatiemandaten (vroegere onderzoeksmandaten) </w:t>
            </w:r>
          </w:p>
        </w:tc>
        <w:tc>
          <w:tcPr>
            <w:tcW w:w="1134" w:type="dxa"/>
          </w:tcPr>
          <w:p w:rsidR="005C5EAF" w:rsidRPr="0020012F" w:rsidRDefault="005C5EAF" w:rsidP="00E66C11">
            <w:pPr>
              <w:pStyle w:val="StandaardSV"/>
              <w:jc w:val="center"/>
              <w:rPr>
                <w:szCs w:val="22"/>
              </w:rPr>
            </w:pPr>
            <w:r w:rsidRPr="0020012F">
              <w:rPr>
                <w:szCs w:val="22"/>
              </w:rPr>
              <w:t>15</w:t>
            </w:r>
          </w:p>
        </w:tc>
      </w:tr>
      <w:tr w:rsidR="005C5EAF" w:rsidRPr="00545F67" w:rsidTr="000B2C80">
        <w:tc>
          <w:tcPr>
            <w:tcW w:w="4678" w:type="dxa"/>
          </w:tcPr>
          <w:p w:rsidR="005C5EAF" w:rsidRPr="0020012F" w:rsidRDefault="005C5EAF" w:rsidP="00E66C11">
            <w:pPr>
              <w:pStyle w:val="StandaardSV"/>
              <w:rPr>
                <w:szCs w:val="22"/>
              </w:rPr>
            </w:pPr>
            <w:r w:rsidRPr="0020012F">
              <w:rPr>
                <w:szCs w:val="22"/>
              </w:rPr>
              <w:t>Strategisch basisonderzoek</w:t>
            </w:r>
          </w:p>
        </w:tc>
        <w:tc>
          <w:tcPr>
            <w:tcW w:w="1134" w:type="dxa"/>
          </w:tcPr>
          <w:p w:rsidR="005C5EAF" w:rsidRPr="0020012F" w:rsidRDefault="005C5EAF" w:rsidP="00E66C11">
            <w:pPr>
              <w:pStyle w:val="StandaardSV"/>
              <w:jc w:val="center"/>
              <w:rPr>
                <w:szCs w:val="22"/>
              </w:rPr>
            </w:pPr>
            <w:r w:rsidRPr="0020012F">
              <w:rPr>
                <w:szCs w:val="22"/>
              </w:rPr>
              <w:t>17</w:t>
            </w:r>
          </w:p>
        </w:tc>
      </w:tr>
      <w:tr w:rsidR="005C5EAF" w:rsidRPr="00545F67" w:rsidTr="000B2C80">
        <w:tc>
          <w:tcPr>
            <w:tcW w:w="4678" w:type="dxa"/>
          </w:tcPr>
          <w:p w:rsidR="005C5EAF" w:rsidRPr="0020012F" w:rsidRDefault="005C5EAF" w:rsidP="00E66C11">
            <w:pPr>
              <w:pStyle w:val="StandaardSV"/>
              <w:rPr>
                <w:szCs w:val="22"/>
              </w:rPr>
            </w:pPr>
            <w:r w:rsidRPr="0020012F">
              <w:rPr>
                <w:szCs w:val="22"/>
              </w:rPr>
              <w:t>Landbouwkundig onderzoek</w:t>
            </w:r>
          </w:p>
        </w:tc>
        <w:tc>
          <w:tcPr>
            <w:tcW w:w="1134" w:type="dxa"/>
          </w:tcPr>
          <w:p w:rsidR="005C5EAF" w:rsidRPr="0020012F" w:rsidRDefault="005C5EAF" w:rsidP="00E66C11">
            <w:pPr>
              <w:pStyle w:val="StandaardSV"/>
              <w:jc w:val="center"/>
              <w:rPr>
                <w:szCs w:val="22"/>
              </w:rPr>
            </w:pPr>
            <w:r w:rsidRPr="0020012F">
              <w:rPr>
                <w:szCs w:val="22"/>
              </w:rPr>
              <w:t>10</w:t>
            </w:r>
          </w:p>
        </w:tc>
      </w:tr>
      <w:tr w:rsidR="005C5EAF" w:rsidRPr="00545F67" w:rsidTr="000B2C80">
        <w:tc>
          <w:tcPr>
            <w:tcW w:w="4678" w:type="dxa"/>
          </w:tcPr>
          <w:p w:rsidR="005C5EAF" w:rsidRPr="0020012F" w:rsidRDefault="005C5EAF" w:rsidP="00E66C11">
            <w:pPr>
              <w:pStyle w:val="StandaardSV"/>
              <w:rPr>
                <w:szCs w:val="22"/>
              </w:rPr>
            </w:pPr>
            <w:r w:rsidRPr="0020012F">
              <w:rPr>
                <w:szCs w:val="22"/>
              </w:rPr>
              <w:t>Toegepast biomedisch onderzoek</w:t>
            </w:r>
          </w:p>
        </w:tc>
        <w:tc>
          <w:tcPr>
            <w:tcW w:w="1134" w:type="dxa"/>
          </w:tcPr>
          <w:p w:rsidR="005C5EAF" w:rsidRPr="0020012F" w:rsidRDefault="005C5EAF" w:rsidP="00E66C11">
            <w:pPr>
              <w:pStyle w:val="StandaardSV"/>
              <w:jc w:val="center"/>
              <w:rPr>
                <w:szCs w:val="22"/>
              </w:rPr>
            </w:pPr>
            <w:r w:rsidRPr="0020012F">
              <w:rPr>
                <w:szCs w:val="22"/>
              </w:rPr>
              <w:t>9</w:t>
            </w:r>
          </w:p>
        </w:tc>
      </w:tr>
      <w:tr w:rsidR="005C5EAF" w:rsidRPr="00545F67" w:rsidTr="000B2C80">
        <w:tc>
          <w:tcPr>
            <w:tcW w:w="4678" w:type="dxa"/>
          </w:tcPr>
          <w:p w:rsidR="005C5EAF" w:rsidRPr="0020012F" w:rsidRDefault="005C5EAF" w:rsidP="00E66C11">
            <w:pPr>
              <w:pStyle w:val="StandaardSV"/>
              <w:rPr>
                <w:szCs w:val="22"/>
              </w:rPr>
            </w:pPr>
            <w:proofErr w:type="spellStart"/>
            <w:r w:rsidRPr="0020012F">
              <w:rPr>
                <w:szCs w:val="22"/>
              </w:rPr>
              <w:t>Baekeland</w:t>
            </w:r>
            <w:proofErr w:type="spellEnd"/>
            <w:r w:rsidRPr="0020012F">
              <w:rPr>
                <w:szCs w:val="22"/>
              </w:rPr>
              <w:t>-mandaten</w:t>
            </w:r>
          </w:p>
        </w:tc>
        <w:tc>
          <w:tcPr>
            <w:tcW w:w="1134" w:type="dxa"/>
          </w:tcPr>
          <w:p w:rsidR="005C5EAF" w:rsidRPr="0020012F" w:rsidRDefault="005C5EAF" w:rsidP="00E66C11">
            <w:pPr>
              <w:pStyle w:val="StandaardSV"/>
              <w:jc w:val="center"/>
              <w:rPr>
                <w:szCs w:val="22"/>
              </w:rPr>
            </w:pPr>
            <w:r w:rsidRPr="0020012F">
              <w:rPr>
                <w:szCs w:val="22"/>
              </w:rPr>
              <w:t>20</w:t>
            </w:r>
          </w:p>
        </w:tc>
      </w:tr>
    </w:tbl>
    <w:p w:rsidR="002A6E17" w:rsidRPr="0020012F" w:rsidRDefault="002A6E17" w:rsidP="002A6E17">
      <w:pPr>
        <w:pStyle w:val="StandaardSV"/>
        <w:rPr>
          <w:sz w:val="18"/>
        </w:rPr>
      </w:pPr>
      <w:r w:rsidRPr="0020012F">
        <w:rPr>
          <w:sz w:val="18"/>
        </w:rPr>
        <w:t>Bron: IWT-activiteitenverslag</w:t>
      </w:r>
    </w:p>
    <w:p w:rsidR="004727ED" w:rsidRDefault="004727ED" w:rsidP="002A6E17">
      <w:pPr>
        <w:pStyle w:val="StandaardSV"/>
        <w:rPr>
          <w:color w:val="1F497D" w:themeColor="text2"/>
          <w:sz w:val="18"/>
        </w:rPr>
      </w:pPr>
    </w:p>
    <w:p w:rsidR="004727ED" w:rsidRPr="0020012F" w:rsidRDefault="004727ED" w:rsidP="004727ED">
      <w:pPr>
        <w:pStyle w:val="StandaardSV"/>
        <w:rPr>
          <w:sz w:val="18"/>
        </w:rPr>
      </w:pPr>
      <w:r w:rsidRPr="0020012F">
        <w:rPr>
          <w:sz w:val="18"/>
        </w:rPr>
        <w:t xml:space="preserve">Opmerkingen: </w:t>
      </w:r>
    </w:p>
    <w:p w:rsidR="004727ED" w:rsidRPr="0020012F" w:rsidRDefault="004727ED" w:rsidP="004727ED">
      <w:pPr>
        <w:pStyle w:val="StandaardSV"/>
        <w:ind w:left="113" w:hanging="113"/>
        <w:rPr>
          <w:sz w:val="18"/>
        </w:rPr>
      </w:pPr>
      <w:r w:rsidRPr="0020012F">
        <w:rPr>
          <w:sz w:val="18"/>
        </w:rPr>
        <w:t>*</w:t>
      </w:r>
      <w:r w:rsidRPr="0020012F">
        <w:rPr>
          <w:sz w:val="18"/>
        </w:rPr>
        <w:tab/>
        <w:t xml:space="preserve">Het gaat hierbij om de programma’s die gefinancierd worden op de IWT-begrotingslijnen. Projecten die gefinancierd worden op de Begrotingslijn ‘Initiatieven Vlaamse Regering, incl. innovatieve mediaprojecten’ worden niet opgenomen. </w:t>
      </w:r>
    </w:p>
    <w:p w:rsidR="00F92952" w:rsidRPr="00404B17" w:rsidRDefault="00F92952" w:rsidP="002A6E17">
      <w:pPr>
        <w:pStyle w:val="StandaardSV"/>
        <w:rPr>
          <w:szCs w:val="22"/>
        </w:rPr>
      </w:pPr>
    </w:p>
    <w:p w:rsidR="005C5EAF" w:rsidRPr="0020012F" w:rsidRDefault="005C5EAF" w:rsidP="00195A26">
      <w:pPr>
        <w:pStyle w:val="StandaardSV"/>
        <w:ind w:left="284"/>
      </w:pPr>
      <w:r w:rsidRPr="0020012F">
        <w:t>De cijfers met betrekking tot het aantal positief beoordeelde projectaanvragen moeten afgewogen worden tegenover het aantal behandelde projecten</w:t>
      </w:r>
      <w:r w:rsidR="002A6E17" w:rsidRPr="0020012F">
        <w:t xml:space="preserve"> tijdens het kalenderjaar</w:t>
      </w:r>
      <w:r w:rsidRPr="0020012F">
        <w:t xml:space="preserve"> en niet tot het aantal ingediende projecten</w:t>
      </w:r>
      <w:r w:rsidR="002A6E17" w:rsidRPr="0020012F">
        <w:t xml:space="preserve"> in het kalenderjaar</w:t>
      </w:r>
      <w:r w:rsidRPr="0020012F">
        <w:t xml:space="preserve">. </w:t>
      </w:r>
      <w:r w:rsidR="002A6E17" w:rsidRPr="0020012F">
        <w:t>De reden hiervoor is dat de behandeling van een projectaanvraag niet noodzakelijk in het kalenderjaar van indiening wordt afgerond.</w:t>
      </w:r>
    </w:p>
    <w:p w:rsidR="005C5EAF" w:rsidRPr="0020012F" w:rsidRDefault="005C5EAF" w:rsidP="00195A26">
      <w:pPr>
        <w:pStyle w:val="StandaardSV"/>
        <w:ind w:left="284" w:hanging="284"/>
      </w:pPr>
    </w:p>
    <w:p w:rsidR="005C5EAF" w:rsidRPr="0020012F" w:rsidRDefault="000574FA" w:rsidP="00195A26">
      <w:pPr>
        <w:pStyle w:val="StandaardSV"/>
        <w:ind w:left="284"/>
      </w:pPr>
      <w:r w:rsidRPr="0020012F">
        <w:lastRenderedPageBreak/>
        <w:t>De projectlijsten</w:t>
      </w:r>
      <w:r w:rsidR="00F92952" w:rsidRPr="0020012F">
        <w:t xml:space="preserve"> voor de O&amp;O-bedrijfssteun en het </w:t>
      </w:r>
      <w:proofErr w:type="spellStart"/>
      <w:r w:rsidR="00F92952" w:rsidRPr="0020012F">
        <w:t>kmo</w:t>
      </w:r>
      <w:proofErr w:type="spellEnd"/>
      <w:r w:rsidR="00F92952" w:rsidRPr="0020012F">
        <w:t>-programma</w:t>
      </w:r>
      <w:r w:rsidRPr="0020012F">
        <w:t>, opgesplitst per provincie bevinden zich</w:t>
      </w:r>
      <w:r w:rsidR="00F92952" w:rsidRPr="0020012F">
        <w:t xml:space="preserve"> </w:t>
      </w:r>
      <w:proofErr w:type="gramStart"/>
      <w:r w:rsidR="00F92952" w:rsidRPr="0020012F">
        <w:t>respectievelijk</w:t>
      </w:r>
      <w:proofErr w:type="gramEnd"/>
      <w:r w:rsidRPr="0020012F">
        <w:t xml:space="preserve"> in bijlage</w:t>
      </w:r>
      <w:r w:rsidR="00F92952" w:rsidRPr="0020012F">
        <w:t xml:space="preserve"> 1 en 2</w:t>
      </w:r>
      <w:r w:rsidRPr="0020012F">
        <w:t xml:space="preserve">. Conform de in het IWT-activiteitenverslag gevolgde aanpak worden projectlijsten opgemaakt voor deze projecten waarvoor in het welbepaalde kalenderjaar effectief een overeenkomst werd afgesloten. Dit betekent dat de lijst projecten bevat die </w:t>
      </w:r>
      <w:r w:rsidR="000B2C80" w:rsidRPr="0020012F">
        <w:t>eind</w:t>
      </w:r>
      <w:r w:rsidRPr="0020012F">
        <w:t xml:space="preserve"> 2011 werden behandeld, maar waarvoor de overeenkomst slechts in 2012 werd afgesloten en anderzijds dat projecten die in 2012 werden goedgekeurd maar waarvoor </w:t>
      </w:r>
      <w:r w:rsidR="000B2C80" w:rsidRPr="0020012F">
        <w:t xml:space="preserve">pas in 2013 </w:t>
      </w:r>
      <w:r w:rsidRPr="0020012F">
        <w:t xml:space="preserve">een overeenkomst werd afgesloten niet opgenomen worden in de </w:t>
      </w:r>
      <w:proofErr w:type="gramStart"/>
      <w:r w:rsidRPr="0020012F">
        <w:t xml:space="preserve">lijst. </w:t>
      </w:r>
      <w:proofErr w:type="gramEnd"/>
      <w:r w:rsidR="005C5EAF" w:rsidRPr="0020012F">
        <w:t xml:space="preserve">De opsplitsing per provincie is hierbij gebeurd op basis van het vestigingsadres van de </w:t>
      </w:r>
      <w:r w:rsidR="002A6E17" w:rsidRPr="0020012F">
        <w:t>hoofd</w:t>
      </w:r>
      <w:r w:rsidR="005C5EAF" w:rsidRPr="0020012F">
        <w:t>aanvrager, zonder rekening te houden met eventuele bedrijfspartners in het project.</w:t>
      </w:r>
      <w:r w:rsidRPr="0020012F">
        <w:t xml:space="preserve"> </w:t>
      </w:r>
    </w:p>
    <w:p w:rsidR="005C5EAF" w:rsidRDefault="005C5EAF" w:rsidP="00A4543E">
      <w:pPr>
        <w:pStyle w:val="StandaardSV"/>
      </w:pPr>
    </w:p>
    <w:p w:rsidR="000574FA" w:rsidRPr="00195A26" w:rsidRDefault="000574FA" w:rsidP="00195A26">
      <w:pPr>
        <w:pStyle w:val="StandaardSV"/>
        <w:numPr>
          <w:ilvl w:val="0"/>
          <w:numId w:val="20"/>
        </w:numPr>
        <w:ind w:left="284" w:hanging="284"/>
      </w:pPr>
      <w:r w:rsidRPr="00195A26">
        <w:t xml:space="preserve">De totale </w:t>
      </w:r>
      <w:r w:rsidR="00F92952" w:rsidRPr="00195A26">
        <w:t>vastlegging</w:t>
      </w:r>
      <w:r w:rsidR="000B2C80" w:rsidRPr="00195A26">
        <w:t>machtigingen voor subsidies (ex</w:t>
      </w:r>
      <w:r w:rsidR="00F92952" w:rsidRPr="00195A26">
        <w:t>c</w:t>
      </w:r>
      <w:r w:rsidR="000B2C80" w:rsidRPr="00195A26">
        <w:t>l</w:t>
      </w:r>
      <w:r w:rsidR="00F92952" w:rsidRPr="00195A26">
        <w:t xml:space="preserve">usief </w:t>
      </w:r>
      <w:r w:rsidR="000B2C80" w:rsidRPr="00195A26">
        <w:t>‘</w:t>
      </w:r>
      <w:r w:rsidR="00F92952" w:rsidRPr="00195A26">
        <w:t>Initiatieven Vlaamse Regering</w:t>
      </w:r>
      <w:r w:rsidR="000B2C80" w:rsidRPr="00195A26">
        <w:t>’)</w:t>
      </w:r>
      <w:r w:rsidRPr="00195A26">
        <w:t xml:space="preserve"> bedroegen </w:t>
      </w:r>
      <w:r w:rsidR="00F92952" w:rsidRPr="00195A26">
        <w:t xml:space="preserve">244,993 </w:t>
      </w:r>
      <w:r w:rsidRPr="00195A26">
        <w:t>m</w:t>
      </w:r>
      <w:r w:rsidR="00F92952" w:rsidRPr="00195A26">
        <w:t>iljoen</w:t>
      </w:r>
      <w:r w:rsidRPr="00195A26">
        <w:t xml:space="preserve"> euro in 2012. Hiervan werd effectief</w:t>
      </w:r>
      <w:r w:rsidR="00F92952" w:rsidRPr="00195A26">
        <w:t xml:space="preserve"> 244,961 miljoen euro benut. Dit is een benuttingsratio van nagenoeg 100%</w:t>
      </w:r>
    </w:p>
    <w:p w:rsidR="000574FA" w:rsidRPr="00195A26" w:rsidRDefault="000574FA" w:rsidP="005C5EAF">
      <w:pPr>
        <w:pStyle w:val="StandaardSV"/>
      </w:pPr>
    </w:p>
    <w:p w:rsidR="000574FA" w:rsidRPr="00195A26" w:rsidRDefault="00F92952" w:rsidP="00195A26">
      <w:pPr>
        <w:pStyle w:val="StandaardSV"/>
        <w:ind w:left="284"/>
      </w:pPr>
      <w:r w:rsidRPr="00195A26">
        <w:t>De vastleggingmachtigingen voor ‘Initiatieven Vlaamse Regering</w:t>
      </w:r>
      <w:r w:rsidR="00DF6BF3" w:rsidRPr="00195A26">
        <w:t xml:space="preserve"> (incl. e-media)</w:t>
      </w:r>
      <w:r w:rsidRPr="00195A26">
        <w:t>’ bedroegen in 2012 5</w:t>
      </w:r>
      <w:r w:rsidR="00DF6BF3" w:rsidRPr="00195A26">
        <w:t>8,810</w:t>
      </w:r>
      <w:r w:rsidRPr="00195A26">
        <w:t xml:space="preserve"> miljoen euro.</w:t>
      </w:r>
      <w:r w:rsidR="00DF6BF3" w:rsidRPr="00195A26">
        <w:t xml:space="preserve"> </w:t>
      </w:r>
    </w:p>
    <w:p w:rsidR="00A4543E" w:rsidRPr="00195A26" w:rsidRDefault="00A4543E" w:rsidP="00A4543E">
      <w:pPr>
        <w:pStyle w:val="StandaardSV"/>
      </w:pPr>
    </w:p>
    <w:p w:rsidR="00F92952" w:rsidRPr="00195A26" w:rsidRDefault="00F92952" w:rsidP="00195A26">
      <w:pPr>
        <w:pStyle w:val="StandaardSV"/>
        <w:numPr>
          <w:ilvl w:val="0"/>
          <w:numId w:val="20"/>
        </w:numPr>
        <w:ind w:left="284" w:hanging="284"/>
      </w:pPr>
      <w:r w:rsidRPr="00195A26">
        <w:t>Over de periode 2009-2012 zien we, met uitzondering voor 2010, een toename van de vastleggingmachtigingen van IWT. De grootste toename doet zich voor binnen de bedrijfssteun. Tijdens de volledige periode werd nagenoeg 100% van de beschikbare budgetten door IWT benut.</w:t>
      </w:r>
    </w:p>
    <w:p w:rsidR="00F92952" w:rsidRDefault="00F92952" w:rsidP="00A4543E">
      <w:pPr>
        <w:pStyle w:val="StandaardSV"/>
      </w:pPr>
    </w:p>
    <w:p w:rsidR="00F92952" w:rsidRPr="00195A26" w:rsidRDefault="00F92952" w:rsidP="00195A26">
      <w:pPr>
        <w:pStyle w:val="StandaardSV"/>
        <w:ind w:left="284"/>
      </w:pPr>
      <w:r w:rsidRPr="00195A26">
        <w:t>Ook voor de ‘Initiatieven Vlaamse Regering’ bedroeg de benuttingsratio circa 100% in de periode 2009-2012</w:t>
      </w:r>
    </w:p>
    <w:p w:rsidR="00195A26" w:rsidRPr="00A4543E" w:rsidRDefault="00195A26" w:rsidP="00A4543E">
      <w:pPr>
        <w:pStyle w:val="StandaardSV"/>
      </w:pPr>
    </w:p>
    <w:p w:rsidR="00EB336B" w:rsidRDefault="00F92952" w:rsidP="00EB336B">
      <w:pPr>
        <w:ind w:right="849"/>
        <w:rPr>
          <w:b/>
          <w:sz w:val="22"/>
          <w:lang w:val="nl-BE"/>
        </w:rPr>
      </w:pPr>
      <w:r>
        <w:rPr>
          <w:b/>
          <w:sz w:val="22"/>
          <w:lang w:val="nl-BE"/>
        </w:rPr>
        <w:t xml:space="preserve">Tabel: </w:t>
      </w:r>
      <w:r w:rsidR="00EB336B" w:rsidRPr="00F92952">
        <w:rPr>
          <w:b/>
          <w:sz w:val="22"/>
          <w:lang w:val="nl-BE"/>
        </w:rPr>
        <w:t xml:space="preserve">Evolutie van de vastleggingsmachtigingen (budget) in de periode 2009 -2012 (in </w:t>
      </w:r>
      <w:proofErr w:type="spellStart"/>
      <w:r w:rsidR="00EB336B" w:rsidRPr="00F92952">
        <w:rPr>
          <w:b/>
          <w:sz w:val="22"/>
          <w:lang w:val="nl-BE"/>
        </w:rPr>
        <w:t>mln</w:t>
      </w:r>
      <w:proofErr w:type="spellEnd"/>
      <w:r w:rsidR="00EB336B" w:rsidRPr="00F92952">
        <w:rPr>
          <w:b/>
          <w:sz w:val="22"/>
          <w:lang w:val="nl-BE"/>
        </w:rPr>
        <w:t xml:space="preserve"> euro)</w:t>
      </w:r>
    </w:p>
    <w:p w:rsidR="00195A26" w:rsidRPr="00F92952" w:rsidRDefault="00195A26" w:rsidP="00EB336B">
      <w:pPr>
        <w:ind w:right="849"/>
        <w:rPr>
          <w:b/>
          <w:sz w:val="22"/>
          <w:lang w:val="nl-BE"/>
        </w:rPr>
      </w:pPr>
    </w:p>
    <w:tbl>
      <w:tblPr>
        <w:tblStyle w:val="Tabelraster"/>
        <w:tblW w:w="4691" w:type="pct"/>
        <w:tblInd w:w="108" w:type="dxa"/>
        <w:tblLayout w:type="fixed"/>
        <w:tblLook w:val="0000" w:firstRow="0" w:lastRow="0" w:firstColumn="0" w:lastColumn="0" w:noHBand="0" w:noVBand="0"/>
      </w:tblPr>
      <w:tblGrid>
        <w:gridCol w:w="5102"/>
        <w:gridCol w:w="903"/>
        <w:gridCol w:w="903"/>
        <w:gridCol w:w="903"/>
        <w:gridCol w:w="903"/>
      </w:tblGrid>
      <w:tr w:rsidR="00EB336B" w:rsidRPr="00195A26" w:rsidTr="000B2C80">
        <w:trPr>
          <w:trHeight w:val="80"/>
        </w:trPr>
        <w:tc>
          <w:tcPr>
            <w:tcW w:w="2927" w:type="pct"/>
          </w:tcPr>
          <w:p w:rsidR="00EB336B" w:rsidRPr="00195A26" w:rsidRDefault="00EB336B" w:rsidP="00F92952">
            <w:pPr>
              <w:pStyle w:val="StandaardSV"/>
              <w:rPr>
                <w:b/>
                <w:szCs w:val="22"/>
              </w:rPr>
            </w:pPr>
            <w:r w:rsidRPr="00195A26">
              <w:rPr>
                <w:b/>
                <w:szCs w:val="22"/>
              </w:rPr>
              <w:t>Programma</w:t>
            </w:r>
          </w:p>
        </w:tc>
        <w:tc>
          <w:tcPr>
            <w:tcW w:w="518" w:type="pct"/>
          </w:tcPr>
          <w:p w:rsidR="00EB336B" w:rsidRPr="00195A26" w:rsidRDefault="00EB336B" w:rsidP="00F92952">
            <w:pPr>
              <w:pStyle w:val="StandaardSV"/>
              <w:rPr>
                <w:b/>
                <w:szCs w:val="22"/>
              </w:rPr>
            </w:pPr>
            <w:r w:rsidRPr="00195A26">
              <w:rPr>
                <w:b/>
                <w:szCs w:val="22"/>
              </w:rPr>
              <w:t>2009</w:t>
            </w:r>
          </w:p>
        </w:tc>
        <w:tc>
          <w:tcPr>
            <w:tcW w:w="518" w:type="pct"/>
          </w:tcPr>
          <w:p w:rsidR="00EB336B" w:rsidRPr="00195A26" w:rsidRDefault="00EB336B" w:rsidP="00F92952">
            <w:pPr>
              <w:pStyle w:val="StandaardSV"/>
              <w:rPr>
                <w:b/>
                <w:szCs w:val="22"/>
              </w:rPr>
            </w:pPr>
            <w:r w:rsidRPr="00195A26">
              <w:rPr>
                <w:b/>
                <w:szCs w:val="22"/>
              </w:rPr>
              <w:t>2010</w:t>
            </w:r>
          </w:p>
        </w:tc>
        <w:tc>
          <w:tcPr>
            <w:tcW w:w="518" w:type="pct"/>
          </w:tcPr>
          <w:p w:rsidR="00EB336B" w:rsidRPr="00195A26" w:rsidRDefault="00EB336B" w:rsidP="00F92952">
            <w:pPr>
              <w:pStyle w:val="StandaardSV"/>
              <w:rPr>
                <w:b/>
                <w:szCs w:val="22"/>
              </w:rPr>
            </w:pPr>
            <w:r w:rsidRPr="00195A26">
              <w:rPr>
                <w:b/>
                <w:szCs w:val="22"/>
              </w:rPr>
              <w:t>2011</w:t>
            </w:r>
          </w:p>
        </w:tc>
        <w:tc>
          <w:tcPr>
            <w:tcW w:w="518" w:type="pct"/>
          </w:tcPr>
          <w:p w:rsidR="00EB336B" w:rsidRPr="00195A26" w:rsidRDefault="00EB336B" w:rsidP="00F92952">
            <w:pPr>
              <w:pStyle w:val="StandaardSV"/>
              <w:rPr>
                <w:b/>
                <w:szCs w:val="22"/>
              </w:rPr>
            </w:pPr>
            <w:r w:rsidRPr="00195A26">
              <w:rPr>
                <w:b/>
                <w:szCs w:val="22"/>
              </w:rPr>
              <w:t>2012</w:t>
            </w:r>
          </w:p>
        </w:tc>
      </w:tr>
      <w:tr w:rsidR="00EB336B" w:rsidRPr="00195A26" w:rsidTr="000B2C80">
        <w:tc>
          <w:tcPr>
            <w:tcW w:w="2927" w:type="pct"/>
          </w:tcPr>
          <w:p w:rsidR="00EB336B" w:rsidRPr="00195A26" w:rsidRDefault="00F92952" w:rsidP="00F92952">
            <w:pPr>
              <w:pStyle w:val="StandaardSV"/>
              <w:rPr>
                <w:szCs w:val="22"/>
              </w:rPr>
            </w:pPr>
            <w:r w:rsidRPr="00195A26">
              <w:rPr>
                <w:szCs w:val="22"/>
              </w:rPr>
              <w:t>B</w:t>
            </w:r>
            <w:r w:rsidR="00EB336B" w:rsidRPr="00195A26">
              <w:rPr>
                <w:szCs w:val="22"/>
              </w:rPr>
              <w:t>edrijfslijn</w:t>
            </w:r>
            <w:r w:rsidRPr="00195A26">
              <w:rPr>
                <w:szCs w:val="22"/>
              </w:rPr>
              <w:t xml:space="preserve"> (O&amp;O-bedrijfsprojecten, </w:t>
            </w:r>
            <w:proofErr w:type="spellStart"/>
            <w:r w:rsidRPr="00195A26">
              <w:rPr>
                <w:szCs w:val="22"/>
              </w:rPr>
              <w:t>kmo</w:t>
            </w:r>
            <w:proofErr w:type="spellEnd"/>
            <w:r w:rsidRPr="00195A26">
              <w:rPr>
                <w:szCs w:val="22"/>
              </w:rPr>
              <w:t>-programma, VIS-programma, Innovatiemandaten)</w:t>
            </w:r>
          </w:p>
        </w:tc>
        <w:tc>
          <w:tcPr>
            <w:tcW w:w="518" w:type="pct"/>
          </w:tcPr>
          <w:p w:rsidR="00F92952" w:rsidRPr="00195A26" w:rsidRDefault="00EB336B" w:rsidP="00195A26">
            <w:pPr>
              <w:pStyle w:val="StandaardSV"/>
              <w:jc w:val="right"/>
              <w:rPr>
                <w:sz w:val="20"/>
              </w:rPr>
            </w:pPr>
            <w:r w:rsidRPr="00195A26">
              <w:rPr>
                <w:sz w:val="20"/>
              </w:rPr>
              <w:t>138,</w:t>
            </w:r>
            <w:r w:rsidR="00F92952" w:rsidRPr="00195A26">
              <w:rPr>
                <w:sz w:val="20"/>
              </w:rPr>
              <w:t>25</w:t>
            </w:r>
          </w:p>
          <w:p w:rsidR="00EB336B" w:rsidRPr="00195A26" w:rsidRDefault="00EB336B" w:rsidP="00195A26">
            <w:pPr>
              <w:pStyle w:val="StandaardSV"/>
              <w:jc w:val="right"/>
              <w:rPr>
                <w:sz w:val="20"/>
              </w:rPr>
            </w:pPr>
          </w:p>
        </w:tc>
        <w:tc>
          <w:tcPr>
            <w:tcW w:w="518" w:type="pct"/>
          </w:tcPr>
          <w:p w:rsidR="00EB336B" w:rsidRPr="00195A26" w:rsidRDefault="00EB336B" w:rsidP="00195A26">
            <w:pPr>
              <w:pStyle w:val="StandaardSV"/>
              <w:jc w:val="right"/>
              <w:rPr>
                <w:sz w:val="20"/>
              </w:rPr>
            </w:pPr>
            <w:r w:rsidRPr="00195A26">
              <w:rPr>
                <w:sz w:val="20"/>
              </w:rPr>
              <w:t>126,298</w:t>
            </w:r>
          </w:p>
          <w:p w:rsidR="00EB336B" w:rsidRPr="00195A26" w:rsidRDefault="00EB336B" w:rsidP="00195A26">
            <w:pPr>
              <w:pStyle w:val="StandaardSV"/>
              <w:jc w:val="right"/>
              <w:rPr>
                <w:sz w:val="20"/>
              </w:rPr>
            </w:pPr>
          </w:p>
        </w:tc>
        <w:tc>
          <w:tcPr>
            <w:tcW w:w="518" w:type="pct"/>
          </w:tcPr>
          <w:p w:rsidR="00EB336B" w:rsidRPr="00195A26" w:rsidRDefault="00EB336B" w:rsidP="00195A26">
            <w:pPr>
              <w:pStyle w:val="StandaardSV"/>
              <w:jc w:val="right"/>
              <w:rPr>
                <w:sz w:val="20"/>
              </w:rPr>
            </w:pPr>
            <w:r w:rsidRPr="00195A26">
              <w:rPr>
                <w:sz w:val="20"/>
              </w:rPr>
              <w:t>138,323</w:t>
            </w:r>
          </w:p>
          <w:p w:rsidR="00EB336B" w:rsidRPr="00195A26" w:rsidRDefault="00EB336B" w:rsidP="00195A26">
            <w:pPr>
              <w:pStyle w:val="StandaardSV"/>
              <w:jc w:val="right"/>
              <w:rPr>
                <w:sz w:val="20"/>
              </w:rPr>
            </w:pPr>
          </w:p>
        </w:tc>
        <w:tc>
          <w:tcPr>
            <w:tcW w:w="518" w:type="pct"/>
          </w:tcPr>
          <w:p w:rsidR="00EB336B" w:rsidRPr="00195A26" w:rsidRDefault="00EB336B" w:rsidP="00195A26">
            <w:pPr>
              <w:pStyle w:val="StandaardSV"/>
              <w:jc w:val="right"/>
              <w:rPr>
                <w:sz w:val="20"/>
              </w:rPr>
            </w:pPr>
            <w:r w:rsidRPr="00195A26">
              <w:rPr>
                <w:sz w:val="20"/>
              </w:rPr>
              <w:t>147,392</w:t>
            </w:r>
          </w:p>
          <w:p w:rsidR="00EB336B" w:rsidRPr="00195A26" w:rsidRDefault="00EB336B" w:rsidP="00195A26">
            <w:pPr>
              <w:pStyle w:val="StandaardSV"/>
              <w:jc w:val="right"/>
              <w:rPr>
                <w:sz w:val="20"/>
              </w:rPr>
            </w:pPr>
          </w:p>
        </w:tc>
      </w:tr>
      <w:tr w:rsidR="00F92952" w:rsidRPr="00195A26" w:rsidTr="000B2C80">
        <w:tc>
          <w:tcPr>
            <w:tcW w:w="2927" w:type="pct"/>
          </w:tcPr>
          <w:p w:rsidR="00F92952" w:rsidRPr="00195A26" w:rsidRDefault="00F92952" w:rsidP="00F92952">
            <w:pPr>
              <w:pStyle w:val="StandaardSV"/>
              <w:rPr>
                <w:szCs w:val="22"/>
              </w:rPr>
            </w:pPr>
            <w:r w:rsidRPr="00195A26">
              <w:rPr>
                <w:szCs w:val="22"/>
              </w:rPr>
              <w:t>Vlaams Innovatie Netwerk (VIN)</w:t>
            </w:r>
          </w:p>
        </w:tc>
        <w:tc>
          <w:tcPr>
            <w:tcW w:w="518" w:type="pct"/>
          </w:tcPr>
          <w:p w:rsidR="00F92952" w:rsidRPr="00195A26" w:rsidRDefault="00F92952" w:rsidP="00195A26">
            <w:pPr>
              <w:pStyle w:val="StandaardSV"/>
              <w:jc w:val="right"/>
              <w:rPr>
                <w:sz w:val="20"/>
              </w:rPr>
            </w:pPr>
            <w:r w:rsidRPr="00195A26">
              <w:rPr>
                <w:sz w:val="20"/>
              </w:rPr>
              <w:t>0,846</w:t>
            </w:r>
          </w:p>
        </w:tc>
        <w:tc>
          <w:tcPr>
            <w:tcW w:w="518" w:type="pct"/>
          </w:tcPr>
          <w:p w:rsidR="00F92952" w:rsidRPr="00195A26" w:rsidRDefault="00F92952" w:rsidP="00195A26">
            <w:pPr>
              <w:pStyle w:val="StandaardSV"/>
              <w:jc w:val="right"/>
              <w:rPr>
                <w:sz w:val="20"/>
              </w:rPr>
            </w:pPr>
            <w:r w:rsidRPr="00195A26">
              <w:rPr>
                <w:sz w:val="20"/>
              </w:rPr>
              <w:t>0,673</w:t>
            </w:r>
          </w:p>
        </w:tc>
        <w:tc>
          <w:tcPr>
            <w:tcW w:w="518" w:type="pct"/>
          </w:tcPr>
          <w:p w:rsidR="00F92952" w:rsidRPr="00195A26" w:rsidRDefault="00F92952" w:rsidP="00195A26">
            <w:pPr>
              <w:pStyle w:val="StandaardSV"/>
              <w:jc w:val="right"/>
              <w:rPr>
                <w:sz w:val="20"/>
              </w:rPr>
            </w:pPr>
            <w:r w:rsidRPr="00195A26">
              <w:rPr>
                <w:sz w:val="20"/>
              </w:rPr>
              <w:t>0,673</w:t>
            </w:r>
          </w:p>
        </w:tc>
        <w:tc>
          <w:tcPr>
            <w:tcW w:w="518" w:type="pct"/>
          </w:tcPr>
          <w:p w:rsidR="00F92952" w:rsidRPr="00195A26" w:rsidRDefault="00F92952" w:rsidP="00195A26">
            <w:pPr>
              <w:pStyle w:val="StandaardSV"/>
              <w:jc w:val="right"/>
              <w:rPr>
                <w:sz w:val="20"/>
              </w:rPr>
            </w:pPr>
            <w:r w:rsidRPr="00195A26">
              <w:rPr>
                <w:sz w:val="20"/>
              </w:rPr>
              <w:t>0,686</w:t>
            </w:r>
          </w:p>
        </w:tc>
      </w:tr>
      <w:tr w:rsidR="00EB336B" w:rsidRPr="00195A26" w:rsidTr="000B2C80">
        <w:tc>
          <w:tcPr>
            <w:tcW w:w="2927" w:type="pct"/>
          </w:tcPr>
          <w:p w:rsidR="00EB336B" w:rsidRPr="00195A26" w:rsidRDefault="00EB336B" w:rsidP="00F92952">
            <w:pPr>
              <w:pStyle w:val="StandaardSV"/>
              <w:rPr>
                <w:szCs w:val="22"/>
              </w:rPr>
            </w:pPr>
            <w:r w:rsidRPr="00195A26">
              <w:rPr>
                <w:szCs w:val="22"/>
              </w:rPr>
              <w:t>TETRA-fonds</w:t>
            </w:r>
          </w:p>
        </w:tc>
        <w:tc>
          <w:tcPr>
            <w:tcW w:w="518" w:type="pct"/>
          </w:tcPr>
          <w:p w:rsidR="00EB336B" w:rsidRPr="00195A26" w:rsidRDefault="00EB336B" w:rsidP="00195A26">
            <w:pPr>
              <w:pStyle w:val="StandaardSV"/>
              <w:jc w:val="right"/>
              <w:rPr>
                <w:sz w:val="20"/>
              </w:rPr>
            </w:pPr>
            <w:r w:rsidRPr="00195A26">
              <w:rPr>
                <w:sz w:val="20"/>
              </w:rPr>
              <w:t>8,899</w:t>
            </w:r>
          </w:p>
        </w:tc>
        <w:tc>
          <w:tcPr>
            <w:tcW w:w="518" w:type="pct"/>
          </w:tcPr>
          <w:p w:rsidR="00EB336B" w:rsidRPr="00195A26" w:rsidRDefault="00EB336B" w:rsidP="00195A26">
            <w:pPr>
              <w:pStyle w:val="StandaardSV"/>
              <w:jc w:val="right"/>
              <w:rPr>
                <w:sz w:val="20"/>
              </w:rPr>
            </w:pPr>
            <w:r w:rsidRPr="00195A26">
              <w:rPr>
                <w:sz w:val="20"/>
              </w:rPr>
              <w:t>8,031</w:t>
            </w:r>
          </w:p>
        </w:tc>
        <w:tc>
          <w:tcPr>
            <w:tcW w:w="518" w:type="pct"/>
          </w:tcPr>
          <w:p w:rsidR="00EB336B" w:rsidRPr="00195A26" w:rsidRDefault="00EB336B" w:rsidP="00195A26">
            <w:pPr>
              <w:pStyle w:val="StandaardSV"/>
              <w:jc w:val="right"/>
              <w:rPr>
                <w:sz w:val="20"/>
              </w:rPr>
            </w:pPr>
            <w:r w:rsidRPr="00195A26">
              <w:rPr>
                <w:sz w:val="20"/>
              </w:rPr>
              <w:t>8,454</w:t>
            </w:r>
          </w:p>
        </w:tc>
        <w:tc>
          <w:tcPr>
            <w:tcW w:w="518" w:type="pct"/>
          </w:tcPr>
          <w:p w:rsidR="00EB336B" w:rsidRPr="00195A26" w:rsidRDefault="00EB336B" w:rsidP="00195A26">
            <w:pPr>
              <w:pStyle w:val="StandaardSV"/>
              <w:jc w:val="right"/>
              <w:rPr>
                <w:sz w:val="20"/>
              </w:rPr>
            </w:pPr>
            <w:r w:rsidRPr="00195A26">
              <w:rPr>
                <w:sz w:val="20"/>
              </w:rPr>
              <w:t>8,454</w:t>
            </w:r>
          </w:p>
        </w:tc>
      </w:tr>
      <w:tr w:rsidR="00EB336B" w:rsidRPr="00195A26" w:rsidTr="000B2C80">
        <w:tc>
          <w:tcPr>
            <w:tcW w:w="2927" w:type="pct"/>
          </w:tcPr>
          <w:p w:rsidR="00EB336B" w:rsidRPr="00195A26" w:rsidRDefault="00F92952" w:rsidP="00F92952">
            <w:pPr>
              <w:pStyle w:val="StandaardSV"/>
              <w:rPr>
                <w:szCs w:val="22"/>
              </w:rPr>
            </w:pPr>
            <w:r w:rsidRPr="00195A26">
              <w:rPr>
                <w:szCs w:val="22"/>
              </w:rPr>
              <w:t xml:space="preserve">Specialisatiebeurzen en </w:t>
            </w:r>
            <w:proofErr w:type="spellStart"/>
            <w:r w:rsidRPr="00195A26">
              <w:rPr>
                <w:szCs w:val="22"/>
              </w:rPr>
              <w:t>Baekeland</w:t>
            </w:r>
            <w:proofErr w:type="spellEnd"/>
          </w:p>
        </w:tc>
        <w:tc>
          <w:tcPr>
            <w:tcW w:w="518" w:type="pct"/>
          </w:tcPr>
          <w:p w:rsidR="00EB336B" w:rsidRPr="00195A26" w:rsidRDefault="00F92952" w:rsidP="00195A26">
            <w:pPr>
              <w:pStyle w:val="StandaardSV"/>
              <w:jc w:val="right"/>
              <w:rPr>
                <w:sz w:val="20"/>
              </w:rPr>
            </w:pPr>
            <w:r w:rsidRPr="00195A26">
              <w:rPr>
                <w:sz w:val="20"/>
              </w:rPr>
              <w:t>28,790</w:t>
            </w:r>
          </w:p>
        </w:tc>
        <w:tc>
          <w:tcPr>
            <w:tcW w:w="518" w:type="pct"/>
          </w:tcPr>
          <w:p w:rsidR="00EB336B" w:rsidRPr="00195A26" w:rsidRDefault="00F92952" w:rsidP="00195A26">
            <w:pPr>
              <w:pStyle w:val="StandaardSV"/>
              <w:jc w:val="right"/>
              <w:rPr>
                <w:sz w:val="20"/>
              </w:rPr>
            </w:pPr>
            <w:r w:rsidRPr="00195A26">
              <w:rPr>
                <w:sz w:val="20"/>
              </w:rPr>
              <w:t>30,468</w:t>
            </w:r>
          </w:p>
        </w:tc>
        <w:tc>
          <w:tcPr>
            <w:tcW w:w="518" w:type="pct"/>
          </w:tcPr>
          <w:p w:rsidR="00EB336B" w:rsidRPr="00195A26" w:rsidRDefault="00F92952" w:rsidP="00195A26">
            <w:pPr>
              <w:pStyle w:val="StandaardSV"/>
              <w:jc w:val="right"/>
              <w:rPr>
                <w:sz w:val="20"/>
              </w:rPr>
            </w:pPr>
            <w:r w:rsidRPr="00195A26">
              <w:rPr>
                <w:sz w:val="20"/>
              </w:rPr>
              <w:t>32,587</w:t>
            </w:r>
          </w:p>
        </w:tc>
        <w:tc>
          <w:tcPr>
            <w:tcW w:w="518" w:type="pct"/>
          </w:tcPr>
          <w:p w:rsidR="00EB336B" w:rsidRPr="00195A26" w:rsidRDefault="00F92952" w:rsidP="00195A26">
            <w:pPr>
              <w:pStyle w:val="StandaardSV"/>
              <w:jc w:val="right"/>
              <w:rPr>
                <w:sz w:val="20"/>
              </w:rPr>
            </w:pPr>
            <w:r w:rsidRPr="00195A26">
              <w:rPr>
                <w:sz w:val="20"/>
              </w:rPr>
              <w:t>32,465</w:t>
            </w:r>
          </w:p>
        </w:tc>
      </w:tr>
      <w:tr w:rsidR="00EB336B" w:rsidRPr="00195A26" w:rsidTr="000B2C80">
        <w:tc>
          <w:tcPr>
            <w:tcW w:w="2927" w:type="pct"/>
          </w:tcPr>
          <w:p w:rsidR="00EB336B" w:rsidRPr="00195A26" w:rsidRDefault="00EB336B" w:rsidP="00F92952">
            <w:pPr>
              <w:pStyle w:val="StandaardSV"/>
              <w:rPr>
                <w:szCs w:val="22"/>
              </w:rPr>
            </w:pPr>
            <w:r w:rsidRPr="00195A26">
              <w:rPr>
                <w:szCs w:val="22"/>
              </w:rPr>
              <w:t xml:space="preserve">Strategisch </w:t>
            </w:r>
            <w:proofErr w:type="spellStart"/>
            <w:r w:rsidRPr="00195A26">
              <w:rPr>
                <w:szCs w:val="22"/>
              </w:rPr>
              <w:t>BasisOnderzoek</w:t>
            </w:r>
            <w:proofErr w:type="spellEnd"/>
          </w:p>
        </w:tc>
        <w:tc>
          <w:tcPr>
            <w:tcW w:w="518" w:type="pct"/>
          </w:tcPr>
          <w:p w:rsidR="00EB336B" w:rsidRPr="00195A26" w:rsidRDefault="00EB336B" w:rsidP="00195A26">
            <w:pPr>
              <w:pStyle w:val="StandaardSV"/>
              <w:jc w:val="right"/>
              <w:rPr>
                <w:sz w:val="20"/>
              </w:rPr>
            </w:pPr>
            <w:r w:rsidRPr="00195A26">
              <w:rPr>
                <w:sz w:val="20"/>
              </w:rPr>
              <w:t>38,604</w:t>
            </w:r>
          </w:p>
        </w:tc>
        <w:tc>
          <w:tcPr>
            <w:tcW w:w="518" w:type="pct"/>
          </w:tcPr>
          <w:p w:rsidR="00EB336B" w:rsidRPr="00195A26" w:rsidRDefault="00EB336B" w:rsidP="00195A26">
            <w:pPr>
              <w:pStyle w:val="StandaardSV"/>
              <w:jc w:val="right"/>
              <w:rPr>
                <w:sz w:val="20"/>
              </w:rPr>
            </w:pPr>
            <w:r w:rsidRPr="00195A26">
              <w:rPr>
                <w:sz w:val="20"/>
              </w:rPr>
              <w:t>34,840</w:t>
            </w:r>
          </w:p>
        </w:tc>
        <w:tc>
          <w:tcPr>
            <w:tcW w:w="518" w:type="pct"/>
          </w:tcPr>
          <w:p w:rsidR="00EB336B" w:rsidRPr="00195A26" w:rsidRDefault="00EB336B" w:rsidP="00195A26">
            <w:pPr>
              <w:pStyle w:val="StandaardSV"/>
              <w:jc w:val="right"/>
              <w:rPr>
                <w:sz w:val="20"/>
              </w:rPr>
            </w:pPr>
            <w:r w:rsidRPr="00195A26">
              <w:rPr>
                <w:sz w:val="20"/>
              </w:rPr>
              <w:t>36,674</w:t>
            </w:r>
          </w:p>
        </w:tc>
        <w:tc>
          <w:tcPr>
            <w:tcW w:w="518" w:type="pct"/>
          </w:tcPr>
          <w:p w:rsidR="00EB336B" w:rsidRPr="00195A26" w:rsidRDefault="00EB336B" w:rsidP="00195A26">
            <w:pPr>
              <w:pStyle w:val="StandaardSV"/>
              <w:jc w:val="right"/>
              <w:rPr>
                <w:sz w:val="20"/>
              </w:rPr>
            </w:pPr>
            <w:r w:rsidRPr="00195A26">
              <w:rPr>
                <w:sz w:val="20"/>
              </w:rPr>
              <w:t>39,174</w:t>
            </w:r>
          </w:p>
        </w:tc>
      </w:tr>
      <w:tr w:rsidR="00EB336B" w:rsidRPr="00195A26" w:rsidTr="000B2C80">
        <w:tc>
          <w:tcPr>
            <w:tcW w:w="2927" w:type="pct"/>
          </w:tcPr>
          <w:p w:rsidR="00EB336B" w:rsidRPr="00195A26" w:rsidRDefault="00EB336B" w:rsidP="00F92952">
            <w:pPr>
              <w:pStyle w:val="StandaardSV"/>
              <w:rPr>
                <w:szCs w:val="22"/>
              </w:rPr>
            </w:pPr>
            <w:r w:rsidRPr="00195A26">
              <w:rPr>
                <w:szCs w:val="22"/>
              </w:rPr>
              <w:t>Landbouwkundig Onderzoek</w:t>
            </w:r>
          </w:p>
        </w:tc>
        <w:tc>
          <w:tcPr>
            <w:tcW w:w="518" w:type="pct"/>
          </w:tcPr>
          <w:p w:rsidR="00EB336B" w:rsidRPr="00195A26" w:rsidRDefault="00EB336B" w:rsidP="00195A26">
            <w:pPr>
              <w:pStyle w:val="StandaardSV"/>
              <w:jc w:val="right"/>
              <w:rPr>
                <w:sz w:val="20"/>
              </w:rPr>
            </w:pPr>
            <w:r w:rsidRPr="00195A26">
              <w:rPr>
                <w:sz w:val="20"/>
              </w:rPr>
              <w:t>9,602</w:t>
            </w:r>
          </w:p>
        </w:tc>
        <w:tc>
          <w:tcPr>
            <w:tcW w:w="518" w:type="pct"/>
          </w:tcPr>
          <w:p w:rsidR="00EB336B" w:rsidRPr="00195A26" w:rsidRDefault="00EB336B" w:rsidP="00195A26">
            <w:pPr>
              <w:pStyle w:val="StandaardSV"/>
              <w:jc w:val="right"/>
              <w:rPr>
                <w:sz w:val="20"/>
              </w:rPr>
            </w:pPr>
            <w:r w:rsidRPr="00195A26">
              <w:rPr>
                <w:sz w:val="20"/>
              </w:rPr>
              <w:t>8,666</w:t>
            </w:r>
          </w:p>
        </w:tc>
        <w:tc>
          <w:tcPr>
            <w:tcW w:w="518" w:type="pct"/>
          </w:tcPr>
          <w:p w:rsidR="00EB336B" w:rsidRPr="00195A26" w:rsidRDefault="00EB336B" w:rsidP="00195A26">
            <w:pPr>
              <w:pStyle w:val="StandaardSV"/>
              <w:jc w:val="right"/>
              <w:rPr>
                <w:sz w:val="20"/>
              </w:rPr>
            </w:pPr>
            <w:r w:rsidRPr="00195A26">
              <w:rPr>
                <w:sz w:val="20"/>
              </w:rPr>
              <w:t>10,122</w:t>
            </w:r>
          </w:p>
        </w:tc>
        <w:tc>
          <w:tcPr>
            <w:tcW w:w="518" w:type="pct"/>
          </w:tcPr>
          <w:p w:rsidR="00EB336B" w:rsidRPr="00195A26" w:rsidRDefault="00EB336B" w:rsidP="00195A26">
            <w:pPr>
              <w:pStyle w:val="StandaardSV"/>
              <w:jc w:val="right"/>
              <w:rPr>
                <w:sz w:val="20"/>
              </w:rPr>
            </w:pPr>
            <w:r w:rsidRPr="00195A26">
              <w:rPr>
                <w:sz w:val="20"/>
              </w:rPr>
              <w:t>10,122</w:t>
            </w:r>
          </w:p>
        </w:tc>
      </w:tr>
      <w:tr w:rsidR="00EB336B" w:rsidRPr="00195A26" w:rsidTr="000B2C80">
        <w:tc>
          <w:tcPr>
            <w:tcW w:w="2927" w:type="pct"/>
          </w:tcPr>
          <w:p w:rsidR="00EB336B" w:rsidRPr="00195A26" w:rsidRDefault="00F92952" w:rsidP="00F92952">
            <w:pPr>
              <w:pStyle w:val="StandaardSV"/>
              <w:rPr>
                <w:szCs w:val="22"/>
              </w:rPr>
            </w:pPr>
            <w:r w:rsidRPr="00195A26">
              <w:rPr>
                <w:szCs w:val="22"/>
              </w:rPr>
              <w:t xml:space="preserve">Toegepast </w:t>
            </w:r>
            <w:proofErr w:type="spellStart"/>
            <w:r w:rsidRPr="00195A26">
              <w:rPr>
                <w:szCs w:val="22"/>
              </w:rPr>
              <w:t>BioMedisch</w:t>
            </w:r>
            <w:proofErr w:type="spellEnd"/>
            <w:r w:rsidRPr="00195A26">
              <w:rPr>
                <w:szCs w:val="22"/>
              </w:rPr>
              <w:t xml:space="preserve"> Onderzoek</w:t>
            </w:r>
          </w:p>
        </w:tc>
        <w:tc>
          <w:tcPr>
            <w:tcW w:w="518" w:type="pct"/>
          </w:tcPr>
          <w:p w:rsidR="00EB336B" w:rsidRPr="00195A26" w:rsidRDefault="00F92952" w:rsidP="00195A26">
            <w:pPr>
              <w:pStyle w:val="StandaardSV"/>
              <w:jc w:val="right"/>
              <w:rPr>
                <w:sz w:val="20"/>
              </w:rPr>
            </w:pPr>
            <w:r w:rsidRPr="00195A26">
              <w:rPr>
                <w:sz w:val="20"/>
              </w:rPr>
              <w:t>6,000</w:t>
            </w:r>
          </w:p>
        </w:tc>
        <w:tc>
          <w:tcPr>
            <w:tcW w:w="518" w:type="pct"/>
          </w:tcPr>
          <w:p w:rsidR="00EB336B" w:rsidRPr="00195A26" w:rsidRDefault="00F92952" w:rsidP="00195A26">
            <w:pPr>
              <w:pStyle w:val="StandaardSV"/>
              <w:jc w:val="right"/>
              <w:rPr>
                <w:sz w:val="20"/>
              </w:rPr>
            </w:pPr>
            <w:r w:rsidRPr="00195A26">
              <w:rPr>
                <w:sz w:val="20"/>
              </w:rPr>
              <w:t>5,415</w:t>
            </w:r>
          </w:p>
        </w:tc>
        <w:tc>
          <w:tcPr>
            <w:tcW w:w="518" w:type="pct"/>
          </w:tcPr>
          <w:p w:rsidR="00EB336B" w:rsidRPr="00195A26" w:rsidRDefault="00F92952" w:rsidP="00195A26">
            <w:pPr>
              <w:pStyle w:val="StandaardSV"/>
              <w:jc w:val="right"/>
              <w:rPr>
                <w:sz w:val="20"/>
              </w:rPr>
            </w:pPr>
            <w:r w:rsidRPr="00195A26">
              <w:rPr>
                <w:sz w:val="20"/>
              </w:rPr>
              <w:t>5,700</w:t>
            </w:r>
          </w:p>
        </w:tc>
        <w:tc>
          <w:tcPr>
            <w:tcW w:w="518" w:type="pct"/>
          </w:tcPr>
          <w:p w:rsidR="00EB336B" w:rsidRPr="00195A26" w:rsidRDefault="00F92952" w:rsidP="00195A26">
            <w:pPr>
              <w:pStyle w:val="StandaardSV"/>
              <w:jc w:val="right"/>
              <w:rPr>
                <w:sz w:val="20"/>
              </w:rPr>
            </w:pPr>
            <w:r w:rsidRPr="00195A26">
              <w:rPr>
                <w:sz w:val="20"/>
              </w:rPr>
              <w:t>6,700</w:t>
            </w:r>
          </w:p>
        </w:tc>
      </w:tr>
      <w:tr w:rsidR="00EB336B" w:rsidRPr="00195A26" w:rsidTr="000B2C80">
        <w:tc>
          <w:tcPr>
            <w:tcW w:w="2927" w:type="pct"/>
          </w:tcPr>
          <w:p w:rsidR="00EB336B" w:rsidRPr="00195A26" w:rsidRDefault="00EB336B" w:rsidP="00F92952">
            <w:pPr>
              <w:pStyle w:val="StandaardSV"/>
              <w:rPr>
                <w:szCs w:val="22"/>
              </w:rPr>
            </w:pPr>
            <w:r w:rsidRPr="00195A26">
              <w:rPr>
                <w:szCs w:val="22"/>
              </w:rPr>
              <w:t>Initiatieven Vlaamse Regering, incl. innovatieve mediaprojecten</w:t>
            </w:r>
          </w:p>
        </w:tc>
        <w:tc>
          <w:tcPr>
            <w:tcW w:w="518" w:type="pct"/>
          </w:tcPr>
          <w:p w:rsidR="00EB336B" w:rsidRPr="00195A26" w:rsidRDefault="00EB336B" w:rsidP="00195A26">
            <w:pPr>
              <w:pStyle w:val="StandaardSV"/>
              <w:jc w:val="right"/>
              <w:rPr>
                <w:sz w:val="20"/>
              </w:rPr>
            </w:pPr>
            <w:r w:rsidRPr="00195A26">
              <w:rPr>
                <w:sz w:val="20"/>
              </w:rPr>
              <w:t>49,693</w:t>
            </w:r>
          </w:p>
        </w:tc>
        <w:tc>
          <w:tcPr>
            <w:tcW w:w="518" w:type="pct"/>
          </w:tcPr>
          <w:p w:rsidR="00EB336B" w:rsidRPr="00195A26" w:rsidRDefault="00EB336B" w:rsidP="00195A26">
            <w:pPr>
              <w:pStyle w:val="StandaardSV"/>
              <w:jc w:val="right"/>
              <w:rPr>
                <w:sz w:val="20"/>
              </w:rPr>
            </w:pPr>
            <w:r w:rsidRPr="00195A26">
              <w:rPr>
                <w:sz w:val="20"/>
              </w:rPr>
              <w:t>26,560</w:t>
            </w:r>
          </w:p>
        </w:tc>
        <w:tc>
          <w:tcPr>
            <w:tcW w:w="518" w:type="pct"/>
          </w:tcPr>
          <w:p w:rsidR="00EB336B" w:rsidRPr="00195A26" w:rsidRDefault="00EB336B" w:rsidP="00195A26">
            <w:pPr>
              <w:pStyle w:val="StandaardSV"/>
              <w:jc w:val="right"/>
              <w:rPr>
                <w:sz w:val="20"/>
              </w:rPr>
            </w:pPr>
            <w:r w:rsidRPr="00195A26">
              <w:rPr>
                <w:sz w:val="20"/>
              </w:rPr>
              <w:t>59,049</w:t>
            </w:r>
          </w:p>
        </w:tc>
        <w:tc>
          <w:tcPr>
            <w:tcW w:w="518" w:type="pct"/>
          </w:tcPr>
          <w:p w:rsidR="00EB336B" w:rsidRPr="00195A26" w:rsidRDefault="00EB336B" w:rsidP="00195A26">
            <w:pPr>
              <w:pStyle w:val="StandaardSV"/>
              <w:jc w:val="right"/>
              <w:rPr>
                <w:sz w:val="20"/>
              </w:rPr>
            </w:pPr>
            <w:r w:rsidRPr="00195A26">
              <w:rPr>
                <w:sz w:val="20"/>
              </w:rPr>
              <w:t>55,810</w:t>
            </w:r>
          </w:p>
        </w:tc>
      </w:tr>
      <w:tr w:rsidR="00F92952" w:rsidRPr="00195A26" w:rsidTr="000B2C80">
        <w:tc>
          <w:tcPr>
            <w:tcW w:w="2927" w:type="pct"/>
          </w:tcPr>
          <w:p w:rsidR="00F92952" w:rsidRPr="00195A26" w:rsidRDefault="00F92952" w:rsidP="00F92952">
            <w:pPr>
              <w:pStyle w:val="StandaardSV"/>
              <w:rPr>
                <w:b/>
                <w:szCs w:val="22"/>
              </w:rPr>
            </w:pPr>
            <w:r w:rsidRPr="00195A26">
              <w:rPr>
                <w:b/>
                <w:szCs w:val="22"/>
              </w:rPr>
              <w:t xml:space="preserve">TOTAAL exclusief </w:t>
            </w:r>
            <w:proofErr w:type="spellStart"/>
            <w:r w:rsidRPr="00195A26">
              <w:rPr>
                <w:b/>
                <w:szCs w:val="22"/>
              </w:rPr>
              <w:t>Initatieven</w:t>
            </w:r>
            <w:proofErr w:type="spellEnd"/>
            <w:r w:rsidRPr="00195A26">
              <w:rPr>
                <w:b/>
                <w:szCs w:val="22"/>
              </w:rPr>
              <w:t xml:space="preserve"> Vlaamse Regering</w:t>
            </w:r>
          </w:p>
        </w:tc>
        <w:tc>
          <w:tcPr>
            <w:tcW w:w="518" w:type="pct"/>
          </w:tcPr>
          <w:p w:rsidR="00F92952" w:rsidRPr="00195A26" w:rsidRDefault="00F92952" w:rsidP="00195A26">
            <w:pPr>
              <w:pStyle w:val="StandaardSV"/>
              <w:jc w:val="right"/>
              <w:rPr>
                <w:b/>
                <w:sz w:val="20"/>
              </w:rPr>
            </w:pPr>
            <w:r w:rsidRPr="00195A26">
              <w:rPr>
                <w:b/>
                <w:sz w:val="20"/>
              </w:rPr>
              <w:t>230,991</w:t>
            </w:r>
          </w:p>
        </w:tc>
        <w:tc>
          <w:tcPr>
            <w:tcW w:w="518" w:type="pct"/>
          </w:tcPr>
          <w:p w:rsidR="00F92952" w:rsidRPr="00195A26" w:rsidRDefault="00F92952" w:rsidP="00195A26">
            <w:pPr>
              <w:pStyle w:val="StandaardSV"/>
              <w:jc w:val="right"/>
              <w:rPr>
                <w:b/>
                <w:sz w:val="20"/>
              </w:rPr>
            </w:pPr>
            <w:r w:rsidRPr="00195A26">
              <w:rPr>
                <w:b/>
                <w:sz w:val="20"/>
              </w:rPr>
              <w:t>214,391</w:t>
            </w:r>
          </w:p>
        </w:tc>
        <w:tc>
          <w:tcPr>
            <w:tcW w:w="518" w:type="pct"/>
          </w:tcPr>
          <w:p w:rsidR="00F92952" w:rsidRPr="00195A26" w:rsidRDefault="00F92952" w:rsidP="00195A26">
            <w:pPr>
              <w:pStyle w:val="StandaardSV"/>
              <w:jc w:val="right"/>
              <w:rPr>
                <w:b/>
                <w:sz w:val="20"/>
              </w:rPr>
            </w:pPr>
            <w:r w:rsidRPr="00195A26">
              <w:rPr>
                <w:b/>
                <w:sz w:val="20"/>
              </w:rPr>
              <w:t>232,533</w:t>
            </w:r>
          </w:p>
        </w:tc>
        <w:tc>
          <w:tcPr>
            <w:tcW w:w="518" w:type="pct"/>
          </w:tcPr>
          <w:p w:rsidR="00F92952" w:rsidRPr="00195A26" w:rsidRDefault="00F92952" w:rsidP="00195A26">
            <w:pPr>
              <w:pStyle w:val="StandaardSV"/>
              <w:jc w:val="right"/>
              <w:rPr>
                <w:b/>
                <w:sz w:val="20"/>
              </w:rPr>
            </w:pPr>
            <w:r w:rsidRPr="00195A26">
              <w:rPr>
                <w:b/>
                <w:sz w:val="20"/>
              </w:rPr>
              <w:t>244,993</w:t>
            </w:r>
          </w:p>
        </w:tc>
      </w:tr>
      <w:tr w:rsidR="00F92952" w:rsidRPr="00195A26" w:rsidTr="000B2C80">
        <w:trPr>
          <w:trHeight w:val="182"/>
        </w:trPr>
        <w:tc>
          <w:tcPr>
            <w:tcW w:w="2927" w:type="pct"/>
          </w:tcPr>
          <w:p w:rsidR="00F92952" w:rsidRPr="00195A26" w:rsidRDefault="00F92952" w:rsidP="00F92952">
            <w:pPr>
              <w:pStyle w:val="StandaardSV"/>
              <w:rPr>
                <w:b/>
                <w:szCs w:val="22"/>
              </w:rPr>
            </w:pPr>
            <w:r w:rsidRPr="00195A26">
              <w:rPr>
                <w:b/>
                <w:szCs w:val="22"/>
              </w:rPr>
              <w:t xml:space="preserve">TOTAAL inclusief Initiatieven Vlaamse Regering </w:t>
            </w:r>
          </w:p>
        </w:tc>
        <w:tc>
          <w:tcPr>
            <w:tcW w:w="518" w:type="pct"/>
          </w:tcPr>
          <w:p w:rsidR="00F92952" w:rsidRPr="00195A26" w:rsidRDefault="00F92952" w:rsidP="00195A26">
            <w:pPr>
              <w:pStyle w:val="StandaardSV"/>
              <w:jc w:val="right"/>
              <w:rPr>
                <w:b/>
                <w:sz w:val="20"/>
              </w:rPr>
            </w:pPr>
            <w:r w:rsidRPr="00195A26">
              <w:rPr>
                <w:b/>
                <w:sz w:val="20"/>
              </w:rPr>
              <w:t>280,684</w:t>
            </w:r>
          </w:p>
        </w:tc>
        <w:tc>
          <w:tcPr>
            <w:tcW w:w="518" w:type="pct"/>
          </w:tcPr>
          <w:p w:rsidR="00F92952" w:rsidRPr="00195A26" w:rsidRDefault="00F92952" w:rsidP="00195A26">
            <w:pPr>
              <w:pStyle w:val="StandaardSV"/>
              <w:jc w:val="right"/>
              <w:rPr>
                <w:b/>
                <w:sz w:val="20"/>
              </w:rPr>
            </w:pPr>
            <w:r w:rsidRPr="00195A26">
              <w:rPr>
                <w:b/>
                <w:sz w:val="20"/>
              </w:rPr>
              <w:t>240,951</w:t>
            </w:r>
          </w:p>
        </w:tc>
        <w:tc>
          <w:tcPr>
            <w:tcW w:w="518" w:type="pct"/>
          </w:tcPr>
          <w:p w:rsidR="00F92952" w:rsidRPr="00195A26" w:rsidRDefault="00F92952" w:rsidP="00195A26">
            <w:pPr>
              <w:pStyle w:val="StandaardSV"/>
              <w:jc w:val="right"/>
              <w:rPr>
                <w:b/>
                <w:sz w:val="20"/>
              </w:rPr>
            </w:pPr>
            <w:r w:rsidRPr="00195A26">
              <w:rPr>
                <w:b/>
                <w:sz w:val="20"/>
              </w:rPr>
              <w:t>291,582</w:t>
            </w:r>
          </w:p>
        </w:tc>
        <w:tc>
          <w:tcPr>
            <w:tcW w:w="518" w:type="pct"/>
          </w:tcPr>
          <w:p w:rsidR="00F92952" w:rsidRPr="00195A26" w:rsidRDefault="00F92952" w:rsidP="00195A26">
            <w:pPr>
              <w:pStyle w:val="StandaardSV"/>
              <w:jc w:val="right"/>
              <w:rPr>
                <w:b/>
                <w:sz w:val="20"/>
              </w:rPr>
            </w:pPr>
            <w:r w:rsidRPr="00195A26">
              <w:rPr>
                <w:b/>
                <w:sz w:val="20"/>
              </w:rPr>
              <w:t>300,803</w:t>
            </w:r>
          </w:p>
        </w:tc>
      </w:tr>
    </w:tbl>
    <w:p w:rsidR="00F92952" w:rsidRPr="00195A26" w:rsidRDefault="00F92952" w:rsidP="00EB336B">
      <w:pPr>
        <w:tabs>
          <w:tab w:val="left" w:pos="1134"/>
        </w:tabs>
        <w:ind w:right="-2"/>
        <w:rPr>
          <w:b/>
          <w:lang w:val="nl-BE"/>
        </w:rPr>
      </w:pPr>
    </w:p>
    <w:p w:rsidR="00EB336B" w:rsidRPr="00195A26" w:rsidRDefault="00F92952" w:rsidP="00EB336B">
      <w:pPr>
        <w:tabs>
          <w:tab w:val="left" w:pos="1134"/>
        </w:tabs>
        <w:ind w:right="-2"/>
        <w:rPr>
          <w:b/>
          <w:sz w:val="22"/>
          <w:lang w:val="nl-BE"/>
        </w:rPr>
      </w:pPr>
      <w:r w:rsidRPr="00195A26">
        <w:rPr>
          <w:b/>
          <w:sz w:val="22"/>
          <w:lang w:val="nl-BE"/>
        </w:rPr>
        <w:t xml:space="preserve">Tabel: </w:t>
      </w:r>
      <w:r w:rsidR="00EB336B" w:rsidRPr="00195A26">
        <w:rPr>
          <w:b/>
          <w:sz w:val="22"/>
          <w:lang w:val="nl-BE"/>
        </w:rPr>
        <w:t xml:space="preserve">Evolutie van de effectieve vastleggingen in de periode 2009-2012 (in </w:t>
      </w:r>
      <w:proofErr w:type="spellStart"/>
      <w:r w:rsidR="00EB336B" w:rsidRPr="00195A26">
        <w:rPr>
          <w:b/>
          <w:sz w:val="22"/>
          <w:lang w:val="nl-BE"/>
        </w:rPr>
        <w:t>mln</w:t>
      </w:r>
      <w:proofErr w:type="spellEnd"/>
      <w:r w:rsidR="00EB336B" w:rsidRPr="00195A26">
        <w:rPr>
          <w:b/>
          <w:sz w:val="22"/>
          <w:lang w:val="nl-BE"/>
        </w:rPr>
        <w:t xml:space="preserve"> euro)</w:t>
      </w:r>
    </w:p>
    <w:p w:rsidR="00195A26" w:rsidRPr="00195A26" w:rsidRDefault="00195A26" w:rsidP="00EB336B">
      <w:pPr>
        <w:tabs>
          <w:tab w:val="left" w:pos="1134"/>
        </w:tabs>
        <w:ind w:right="-2"/>
        <w:rPr>
          <w:b/>
          <w:sz w:val="22"/>
          <w:lang w:val="nl-BE"/>
        </w:rPr>
      </w:pPr>
    </w:p>
    <w:tbl>
      <w:tblPr>
        <w:tblStyle w:val="Tabelraster"/>
        <w:tblW w:w="4691" w:type="pct"/>
        <w:tblInd w:w="108" w:type="dxa"/>
        <w:tblLayout w:type="fixed"/>
        <w:tblLook w:val="0000" w:firstRow="0" w:lastRow="0" w:firstColumn="0" w:lastColumn="0" w:noHBand="0" w:noVBand="0"/>
      </w:tblPr>
      <w:tblGrid>
        <w:gridCol w:w="5073"/>
        <w:gridCol w:w="911"/>
        <w:gridCol w:w="910"/>
        <w:gridCol w:w="910"/>
        <w:gridCol w:w="910"/>
      </w:tblGrid>
      <w:tr w:rsidR="00EB336B" w:rsidRPr="00195A26" w:rsidTr="000B2C80">
        <w:trPr>
          <w:trHeight w:val="80"/>
        </w:trPr>
        <w:tc>
          <w:tcPr>
            <w:tcW w:w="2911" w:type="pct"/>
          </w:tcPr>
          <w:p w:rsidR="00EB336B" w:rsidRPr="00195A26" w:rsidRDefault="00EB336B" w:rsidP="00F92952">
            <w:pPr>
              <w:pStyle w:val="StandaardSV"/>
              <w:rPr>
                <w:b/>
                <w:szCs w:val="22"/>
              </w:rPr>
            </w:pPr>
            <w:r w:rsidRPr="00195A26">
              <w:rPr>
                <w:b/>
                <w:szCs w:val="22"/>
              </w:rPr>
              <w:t>Programma</w:t>
            </w:r>
          </w:p>
        </w:tc>
        <w:tc>
          <w:tcPr>
            <w:tcW w:w="523" w:type="pct"/>
          </w:tcPr>
          <w:p w:rsidR="00EB336B" w:rsidRPr="00195A26" w:rsidRDefault="00EB336B" w:rsidP="00F92952">
            <w:pPr>
              <w:pStyle w:val="StandaardSV"/>
              <w:rPr>
                <w:b/>
                <w:sz w:val="18"/>
                <w:szCs w:val="18"/>
              </w:rPr>
            </w:pPr>
            <w:r w:rsidRPr="00195A26">
              <w:rPr>
                <w:b/>
                <w:sz w:val="18"/>
                <w:szCs w:val="18"/>
              </w:rPr>
              <w:t>2009</w:t>
            </w:r>
          </w:p>
        </w:tc>
        <w:tc>
          <w:tcPr>
            <w:tcW w:w="522" w:type="pct"/>
          </w:tcPr>
          <w:p w:rsidR="00EB336B" w:rsidRPr="00195A26" w:rsidRDefault="00EB336B" w:rsidP="00F92952">
            <w:pPr>
              <w:pStyle w:val="StandaardSV"/>
              <w:rPr>
                <w:b/>
                <w:sz w:val="18"/>
                <w:szCs w:val="18"/>
              </w:rPr>
            </w:pPr>
            <w:r w:rsidRPr="00195A26">
              <w:rPr>
                <w:b/>
                <w:sz w:val="18"/>
                <w:szCs w:val="18"/>
              </w:rPr>
              <w:t>2010</w:t>
            </w:r>
          </w:p>
        </w:tc>
        <w:tc>
          <w:tcPr>
            <w:tcW w:w="522" w:type="pct"/>
          </w:tcPr>
          <w:p w:rsidR="00EB336B" w:rsidRPr="00195A26" w:rsidRDefault="00EB336B" w:rsidP="00F92952">
            <w:pPr>
              <w:pStyle w:val="StandaardSV"/>
              <w:rPr>
                <w:b/>
                <w:sz w:val="18"/>
                <w:szCs w:val="18"/>
              </w:rPr>
            </w:pPr>
            <w:r w:rsidRPr="00195A26">
              <w:rPr>
                <w:b/>
                <w:sz w:val="18"/>
                <w:szCs w:val="18"/>
              </w:rPr>
              <w:t>2011</w:t>
            </w:r>
          </w:p>
        </w:tc>
        <w:tc>
          <w:tcPr>
            <w:tcW w:w="522" w:type="pct"/>
          </w:tcPr>
          <w:p w:rsidR="00EB336B" w:rsidRPr="00195A26" w:rsidRDefault="00EB336B" w:rsidP="00F92952">
            <w:pPr>
              <w:pStyle w:val="StandaardSV"/>
              <w:rPr>
                <w:b/>
                <w:sz w:val="18"/>
                <w:szCs w:val="18"/>
              </w:rPr>
            </w:pPr>
            <w:r w:rsidRPr="00195A26">
              <w:rPr>
                <w:b/>
                <w:sz w:val="18"/>
                <w:szCs w:val="18"/>
              </w:rPr>
              <w:t>2012</w:t>
            </w:r>
          </w:p>
        </w:tc>
      </w:tr>
      <w:tr w:rsidR="00F92952" w:rsidRPr="00195A26" w:rsidTr="000B2C80">
        <w:tc>
          <w:tcPr>
            <w:tcW w:w="2911" w:type="pct"/>
          </w:tcPr>
          <w:p w:rsidR="00F92952" w:rsidRPr="00195A26" w:rsidRDefault="00F92952" w:rsidP="00C171E5">
            <w:pPr>
              <w:pStyle w:val="StandaardSV"/>
              <w:rPr>
                <w:szCs w:val="22"/>
              </w:rPr>
            </w:pPr>
            <w:r w:rsidRPr="00195A26">
              <w:rPr>
                <w:szCs w:val="22"/>
              </w:rPr>
              <w:t xml:space="preserve">Bedrijfslijn (O&amp;O-bedrijfsprojecten, </w:t>
            </w:r>
            <w:proofErr w:type="spellStart"/>
            <w:r w:rsidRPr="00195A26">
              <w:rPr>
                <w:szCs w:val="22"/>
              </w:rPr>
              <w:t>kmo</w:t>
            </w:r>
            <w:proofErr w:type="spellEnd"/>
            <w:r w:rsidRPr="00195A26">
              <w:rPr>
                <w:szCs w:val="22"/>
              </w:rPr>
              <w:t>-programma, VIS-programma, Innovatiemandaten)</w:t>
            </w:r>
          </w:p>
        </w:tc>
        <w:tc>
          <w:tcPr>
            <w:tcW w:w="523" w:type="pct"/>
          </w:tcPr>
          <w:p w:rsidR="00F92952" w:rsidRPr="00195A26" w:rsidRDefault="00F92952" w:rsidP="00F92952">
            <w:pPr>
              <w:pStyle w:val="StandaardSV"/>
              <w:rPr>
                <w:sz w:val="18"/>
                <w:szCs w:val="18"/>
              </w:rPr>
            </w:pPr>
            <w:r w:rsidRPr="00195A26">
              <w:rPr>
                <w:sz w:val="18"/>
                <w:szCs w:val="18"/>
              </w:rPr>
              <w:t>138,235</w:t>
            </w:r>
          </w:p>
        </w:tc>
        <w:tc>
          <w:tcPr>
            <w:tcW w:w="522" w:type="pct"/>
          </w:tcPr>
          <w:p w:rsidR="00F92952" w:rsidRPr="00195A26" w:rsidRDefault="00F92952" w:rsidP="00F92952">
            <w:pPr>
              <w:pStyle w:val="StandaardSV"/>
              <w:rPr>
                <w:sz w:val="18"/>
                <w:szCs w:val="18"/>
              </w:rPr>
            </w:pPr>
            <w:r w:rsidRPr="00195A26">
              <w:rPr>
                <w:sz w:val="18"/>
                <w:szCs w:val="18"/>
              </w:rPr>
              <w:t>126,298</w:t>
            </w:r>
          </w:p>
        </w:tc>
        <w:tc>
          <w:tcPr>
            <w:tcW w:w="522" w:type="pct"/>
          </w:tcPr>
          <w:p w:rsidR="00F92952" w:rsidRPr="00195A26" w:rsidRDefault="00F92952" w:rsidP="00F92952">
            <w:pPr>
              <w:pStyle w:val="StandaardSV"/>
              <w:rPr>
                <w:sz w:val="18"/>
                <w:szCs w:val="18"/>
              </w:rPr>
            </w:pPr>
            <w:r w:rsidRPr="00195A26">
              <w:rPr>
                <w:sz w:val="18"/>
                <w:szCs w:val="18"/>
              </w:rPr>
              <w:t>138,307</w:t>
            </w:r>
          </w:p>
        </w:tc>
        <w:tc>
          <w:tcPr>
            <w:tcW w:w="522" w:type="pct"/>
          </w:tcPr>
          <w:p w:rsidR="00F92952" w:rsidRPr="00195A26" w:rsidRDefault="00F92952" w:rsidP="00F92952">
            <w:pPr>
              <w:pStyle w:val="StandaardSV"/>
              <w:rPr>
                <w:sz w:val="18"/>
                <w:szCs w:val="18"/>
              </w:rPr>
            </w:pPr>
            <w:r w:rsidRPr="00195A26">
              <w:rPr>
                <w:sz w:val="18"/>
                <w:szCs w:val="18"/>
              </w:rPr>
              <w:t>147,386</w:t>
            </w:r>
          </w:p>
        </w:tc>
      </w:tr>
      <w:tr w:rsidR="00EB336B" w:rsidRPr="00195A26" w:rsidTr="000B2C80">
        <w:tc>
          <w:tcPr>
            <w:tcW w:w="2911" w:type="pct"/>
          </w:tcPr>
          <w:p w:rsidR="00EB336B" w:rsidRPr="00195A26" w:rsidRDefault="00EB336B" w:rsidP="00F92952">
            <w:pPr>
              <w:pStyle w:val="StandaardSV"/>
              <w:rPr>
                <w:szCs w:val="22"/>
              </w:rPr>
            </w:pPr>
            <w:r w:rsidRPr="00195A26">
              <w:rPr>
                <w:szCs w:val="22"/>
              </w:rPr>
              <w:t>Vlaams Innovatie Netwerk (VIN)</w:t>
            </w:r>
          </w:p>
        </w:tc>
        <w:tc>
          <w:tcPr>
            <w:tcW w:w="523" w:type="pct"/>
          </w:tcPr>
          <w:p w:rsidR="00EB336B" w:rsidRPr="00195A26" w:rsidRDefault="00EB336B" w:rsidP="00F92952">
            <w:pPr>
              <w:pStyle w:val="StandaardSV"/>
              <w:rPr>
                <w:sz w:val="18"/>
                <w:szCs w:val="18"/>
              </w:rPr>
            </w:pPr>
            <w:r w:rsidRPr="00195A26">
              <w:rPr>
                <w:sz w:val="18"/>
                <w:szCs w:val="18"/>
              </w:rPr>
              <w:t>0,546</w:t>
            </w:r>
          </w:p>
        </w:tc>
        <w:tc>
          <w:tcPr>
            <w:tcW w:w="522" w:type="pct"/>
          </w:tcPr>
          <w:p w:rsidR="00EB336B" w:rsidRPr="00195A26" w:rsidRDefault="00EB336B" w:rsidP="00F92952">
            <w:pPr>
              <w:pStyle w:val="StandaardSV"/>
              <w:rPr>
                <w:sz w:val="18"/>
                <w:szCs w:val="18"/>
              </w:rPr>
            </w:pPr>
            <w:r w:rsidRPr="00195A26">
              <w:rPr>
                <w:sz w:val="18"/>
                <w:szCs w:val="18"/>
              </w:rPr>
              <w:t>0,499</w:t>
            </w:r>
          </w:p>
        </w:tc>
        <w:tc>
          <w:tcPr>
            <w:tcW w:w="522" w:type="pct"/>
          </w:tcPr>
          <w:p w:rsidR="00EB336B" w:rsidRPr="00195A26" w:rsidRDefault="00EB336B" w:rsidP="00F92952">
            <w:pPr>
              <w:pStyle w:val="StandaardSV"/>
              <w:rPr>
                <w:sz w:val="18"/>
                <w:szCs w:val="18"/>
              </w:rPr>
            </w:pPr>
            <w:r w:rsidRPr="00195A26">
              <w:rPr>
                <w:sz w:val="18"/>
                <w:szCs w:val="18"/>
              </w:rPr>
              <w:t>0,654</w:t>
            </w:r>
          </w:p>
        </w:tc>
        <w:tc>
          <w:tcPr>
            <w:tcW w:w="522" w:type="pct"/>
          </w:tcPr>
          <w:p w:rsidR="00EB336B" w:rsidRPr="00195A26" w:rsidRDefault="00EB336B" w:rsidP="00F92952">
            <w:pPr>
              <w:pStyle w:val="StandaardSV"/>
              <w:rPr>
                <w:sz w:val="18"/>
                <w:szCs w:val="18"/>
              </w:rPr>
            </w:pPr>
            <w:r w:rsidRPr="00195A26">
              <w:rPr>
                <w:sz w:val="18"/>
                <w:szCs w:val="18"/>
              </w:rPr>
              <w:t>0,663</w:t>
            </w:r>
          </w:p>
        </w:tc>
      </w:tr>
      <w:tr w:rsidR="00EB336B" w:rsidRPr="00195A26" w:rsidTr="000B2C80">
        <w:tc>
          <w:tcPr>
            <w:tcW w:w="2911" w:type="pct"/>
          </w:tcPr>
          <w:p w:rsidR="00EB336B" w:rsidRPr="00195A26" w:rsidRDefault="00EB336B" w:rsidP="00F92952">
            <w:pPr>
              <w:pStyle w:val="StandaardSV"/>
              <w:rPr>
                <w:szCs w:val="22"/>
              </w:rPr>
            </w:pPr>
            <w:r w:rsidRPr="00195A26">
              <w:rPr>
                <w:szCs w:val="22"/>
              </w:rPr>
              <w:t>TETRA-fonds</w:t>
            </w:r>
          </w:p>
        </w:tc>
        <w:tc>
          <w:tcPr>
            <w:tcW w:w="523" w:type="pct"/>
          </w:tcPr>
          <w:p w:rsidR="00EB336B" w:rsidRPr="00195A26" w:rsidRDefault="00EB336B" w:rsidP="00F92952">
            <w:pPr>
              <w:pStyle w:val="StandaardSV"/>
              <w:rPr>
                <w:sz w:val="18"/>
                <w:szCs w:val="18"/>
              </w:rPr>
            </w:pPr>
            <w:r w:rsidRPr="00195A26">
              <w:rPr>
                <w:sz w:val="18"/>
                <w:szCs w:val="18"/>
              </w:rPr>
              <w:t>8,899</w:t>
            </w:r>
          </w:p>
        </w:tc>
        <w:tc>
          <w:tcPr>
            <w:tcW w:w="522" w:type="pct"/>
          </w:tcPr>
          <w:p w:rsidR="00EB336B" w:rsidRPr="00195A26" w:rsidRDefault="00EB336B" w:rsidP="00F92952">
            <w:pPr>
              <w:pStyle w:val="StandaardSV"/>
              <w:rPr>
                <w:sz w:val="18"/>
                <w:szCs w:val="18"/>
              </w:rPr>
            </w:pPr>
            <w:r w:rsidRPr="00195A26">
              <w:rPr>
                <w:sz w:val="18"/>
                <w:szCs w:val="18"/>
              </w:rPr>
              <w:t>7,941</w:t>
            </w:r>
          </w:p>
        </w:tc>
        <w:tc>
          <w:tcPr>
            <w:tcW w:w="522" w:type="pct"/>
          </w:tcPr>
          <w:p w:rsidR="00EB336B" w:rsidRPr="00195A26" w:rsidRDefault="00EB336B" w:rsidP="00F92952">
            <w:pPr>
              <w:pStyle w:val="StandaardSV"/>
              <w:rPr>
                <w:sz w:val="18"/>
                <w:szCs w:val="18"/>
              </w:rPr>
            </w:pPr>
            <w:r w:rsidRPr="00195A26">
              <w:rPr>
                <w:sz w:val="18"/>
                <w:szCs w:val="18"/>
              </w:rPr>
              <w:t>8,298</w:t>
            </w:r>
          </w:p>
        </w:tc>
        <w:tc>
          <w:tcPr>
            <w:tcW w:w="522" w:type="pct"/>
          </w:tcPr>
          <w:p w:rsidR="00EB336B" w:rsidRPr="00195A26" w:rsidRDefault="00EB336B" w:rsidP="00F92952">
            <w:pPr>
              <w:pStyle w:val="StandaardSV"/>
              <w:rPr>
                <w:sz w:val="18"/>
                <w:szCs w:val="18"/>
              </w:rPr>
            </w:pPr>
            <w:r w:rsidRPr="00195A26">
              <w:rPr>
                <w:sz w:val="18"/>
                <w:szCs w:val="18"/>
              </w:rPr>
              <w:t>8,451</w:t>
            </w:r>
          </w:p>
        </w:tc>
      </w:tr>
      <w:tr w:rsidR="00F92952" w:rsidRPr="00195A26" w:rsidTr="000B2C80">
        <w:tc>
          <w:tcPr>
            <w:tcW w:w="2911" w:type="pct"/>
          </w:tcPr>
          <w:p w:rsidR="00F92952" w:rsidRPr="00195A26" w:rsidRDefault="00F92952" w:rsidP="00C171E5">
            <w:pPr>
              <w:pStyle w:val="StandaardSV"/>
              <w:rPr>
                <w:szCs w:val="22"/>
              </w:rPr>
            </w:pPr>
            <w:r w:rsidRPr="00195A26">
              <w:rPr>
                <w:szCs w:val="22"/>
              </w:rPr>
              <w:t xml:space="preserve">Specialisatiebeurzen en </w:t>
            </w:r>
            <w:proofErr w:type="spellStart"/>
            <w:r w:rsidRPr="00195A26">
              <w:rPr>
                <w:szCs w:val="22"/>
              </w:rPr>
              <w:t>Baekeland</w:t>
            </w:r>
            <w:proofErr w:type="spellEnd"/>
          </w:p>
        </w:tc>
        <w:tc>
          <w:tcPr>
            <w:tcW w:w="523" w:type="pct"/>
          </w:tcPr>
          <w:p w:rsidR="00F92952" w:rsidRPr="00195A26" w:rsidRDefault="00F92952" w:rsidP="00C171E5">
            <w:pPr>
              <w:pStyle w:val="StandaardSV"/>
              <w:rPr>
                <w:sz w:val="18"/>
                <w:szCs w:val="18"/>
              </w:rPr>
            </w:pPr>
            <w:r w:rsidRPr="00195A26">
              <w:rPr>
                <w:sz w:val="18"/>
                <w:szCs w:val="18"/>
              </w:rPr>
              <w:t>28,790</w:t>
            </w:r>
          </w:p>
        </w:tc>
        <w:tc>
          <w:tcPr>
            <w:tcW w:w="522" w:type="pct"/>
          </w:tcPr>
          <w:p w:rsidR="00F92952" w:rsidRPr="00195A26" w:rsidRDefault="00F92952" w:rsidP="00C171E5">
            <w:pPr>
              <w:pStyle w:val="StandaardSV"/>
              <w:rPr>
                <w:sz w:val="18"/>
                <w:szCs w:val="18"/>
              </w:rPr>
            </w:pPr>
            <w:r w:rsidRPr="00195A26">
              <w:rPr>
                <w:sz w:val="18"/>
                <w:szCs w:val="18"/>
              </w:rPr>
              <w:t>30,468</w:t>
            </w:r>
          </w:p>
        </w:tc>
        <w:tc>
          <w:tcPr>
            <w:tcW w:w="522" w:type="pct"/>
          </w:tcPr>
          <w:p w:rsidR="00F92952" w:rsidRPr="00195A26" w:rsidRDefault="00F92952" w:rsidP="00C171E5">
            <w:pPr>
              <w:pStyle w:val="StandaardSV"/>
              <w:rPr>
                <w:sz w:val="18"/>
                <w:szCs w:val="18"/>
              </w:rPr>
            </w:pPr>
            <w:r w:rsidRPr="00195A26">
              <w:rPr>
                <w:sz w:val="18"/>
                <w:szCs w:val="18"/>
              </w:rPr>
              <w:t>32,587</w:t>
            </w:r>
          </w:p>
        </w:tc>
        <w:tc>
          <w:tcPr>
            <w:tcW w:w="522" w:type="pct"/>
          </w:tcPr>
          <w:p w:rsidR="00F92952" w:rsidRPr="00195A26" w:rsidRDefault="00F92952" w:rsidP="00C171E5">
            <w:pPr>
              <w:pStyle w:val="StandaardSV"/>
              <w:rPr>
                <w:sz w:val="18"/>
                <w:szCs w:val="18"/>
              </w:rPr>
            </w:pPr>
            <w:r w:rsidRPr="00195A26">
              <w:rPr>
                <w:sz w:val="18"/>
                <w:szCs w:val="18"/>
              </w:rPr>
              <w:t>32,465</w:t>
            </w:r>
          </w:p>
        </w:tc>
      </w:tr>
      <w:tr w:rsidR="00F92952" w:rsidRPr="00195A26" w:rsidTr="000B2C80">
        <w:tc>
          <w:tcPr>
            <w:tcW w:w="2911" w:type="pct"/>
          </w:tcPr>
          <w:p w:rsidR="00F92952" w:rsidRPr="00195A26" w:rsidRDefault="00F92952" w:rsidP="00F92952">
            <w:pPr>
              <w:pStyle w:val="StandaardSV"/>
              <w:rPr>
                <w:szCs w:val="22"/>
              </w:rPr>
            </w:pPr>
            <w:r w:rsidRPr="00195A26">
              <w:rPr>
                <w:szCs w:val="22"/>
              </w:rPr>
              <w:t xml:space="preserve">Strategisch </w:t>
            </w:r>
            <w:proofErr w:type="spellStart"/>
            <w:r w:rsidRPr="00195A26">
              <w:rPr>
                <w:szCs w:val="22"/>
              </w:rPr>
              <w:t>BasisOnderzoek</w:t>
            </w:r>
            <w:proofErr w:type="spellEnd"/>
          </w:p>
        </w:tc>
        <w:tc>
          <w:tcPr>
            <w:tcW w:w="523" w:type="pct"/>
          </w:tcPr>
          <w:p w:rsidR="00F92952" w:rsidRPr="00195A26" w:rsidRDefault="00F92952" w:rsidP="00F92952">
            <w:pPr>
              <w:pStyle w:val="StandaardSV"/>
              <w:rPr>
                <w:sz w:val="18"/>
                <w:szCs w:val="18"/>
              </w:rPr>
            </w:pPr>
            <w:r w:rsidRPr="00195A26">
              <w:rPr>
                <w:sz w:val="18"/>
                <w:szCs w:val="18"/>
              </w:rPr>
              <w:t>38,604</w:t>
            </w:r>
          </w:p>
        </w:tc>
        <w:tc>
          <w:tcPr>
            <w:tcW w:w="522" w:type="pct"/>
          </w:tcPr>
          <w:p w:rsidR="00F92952" w:rsidRPr="00195A26" w:rsidRDefault="00F92952" w:rsidP="00F92952">
            <w:pPr>
              <w:pStyle w:val="StandaardSV"/>
              <w:rPr>
                <w:sz w:val="18"/>
                <w:szCs w:val="18"/>
              </w:rPr>
            </w:pPr>
            <w:r w:rsidRPr="00195A26">
              <w:rPr>
                <w:sz w:val="18"/>
                <w:szCs w:val="18"/>
              </w:rPr>
              <w:t>34,840</w:t>
            </w:r>
          </w:p>
        </w:tc>
        <w:tc>
          <w:tcPr>
            <w:tcW w:w="522" w:type="pct"/>
          </w:tcPr>
          <w:p w:rsidR="00F92952" w:rsidRPr="00195A26" w:rsidRDefault="00F92952" w:rsidP="00F92952">
            <w:pPr>
              <w:pStyle w:val="StandaardSV"/>
              <w:rPr>
                <w:sz w:val="18"/>
                <w:szCs w:val="18"/>
              </w:rPr>
            </w:pPr>
            <w:r w:rsidRPr="00195A26">
              <w:rPr>
                <w:sz w:val="18"/>
                <w:szCs w:val="18"/>
              </w:rPr>
              <w:t>36,674</w:t>
            </w:r>
          </w:p>
        </w:tc>
        <w:tc>
          <w:tcPr>
            <w:tcW w:w="522" w:type="pct"/>
          </w:tcPr>
          <w:p w:rsidR="00F92952" w:rsidRPr="00195A26" w:rsidRDefault="00F92952" w:rsidP="00F92952">
            <w:pPr>
              <w:pStyle w:val="StandaardSV"/>
              <w:rPr>
                <w:sz w:val="18"/>
                <w:szCs w:val="18"/>
              </w:rPr>
            </w:pPr>
            <w:r w:rsidRPr="00195A26">
              <w:rPr>
                <w:sz w:val="18"/>
                <w:szCs w:val="18"/>
              </w:rPr>
              <w:t>39,174</w:t>
            </w:r>
          </w:p>
        </w:tc>
      </w:tr>
      <w:tr w:rsidR="00F92952" w:rsidRPr="00195A26" w:rsidTr="000B2C80">
        <w:tc>
          <w:tcPr>
            <w:tcW w:w="2911" w:type="pct"/>
          </w:tcPr>
          <w:p w:rsidR="00F92952" w:rsidRPr="00195A26" w:rsidRDefault="00F92952" w:rsidP="00F92952">
            <w:pPr>
              <w:pStyle w:val="StandaardSV"/>
              <w:rPr>
                <w:szCs w:val="22"/>
              </w:rPr>
            </w:pPr>
            <w:r w:rsidRPr="00195A26">
              <w:rPr>
                <w:szCs w:val="22"/>
              </w:rPr>
              <w:t>Landbouwkundig Onderzoek</w:t>
            </w:r>
          </w:p>
        </w:tc>
        <w:tc>
          <w:tcPr>
            <w:tcW w:w="523" w:type="pct"/>
          </w:tcPr>
          <w:p w:rsidR="00F92952" w:rsidRPr="00195A26" w:rsidRDefault="00F92952" w:rsidP="00F92952">
            <w:pPr>
              <w:pStyle w:val="StandaardSV"/>
              <w:rPr>
                <w:sz w:val="18"/>
                <w:szCs w:val="18"/>
              </w:rPr>
            </w:pPr>
            <w:r w:rsidRPr="00195A26">
              <w:rPr>
                <w:sz w:val="18"/>
                <w:szCs w:val="18"/>
              </w:rPr>
              <w:t>9,594</w:t>
            </w:r>
          </w:p>
        </w:tc>
        <w:tc>
          <w:tcPr>
            <w:tcW w:w="522" w:type="pct"/>
          </w:tcPr>
          <w:p w:rsidR="00F92952" w:rsidRPr="00195A26" w:rsidRDefault="00F92952" w:rsidP="00F92952">
            <w:pPr>
              <w:pStyle w:val="StandaardSV"/>
              <w:rPr>
                <w:sz w:val="18"/>
                <w:szCs w:val="18"/>
              </w:rPr>
            </w:pPr>
            <w:r w:rsidRPr="00195A26">
              <w:rPr>
                <w:sz w:val="18"/>
                <w:szCs w:val="18"/>
              </w:rPr>
              <w:t>8,640</w:t>
            </w:r>
          </w:p>
        </w:tc>
        <w:tc>
          <w:tcPr>
            <w:tcW w:w="522" w:type="pct"/>
          </w:tcPr>
          <w:p w:rsidR="00F92952" w:rsidRPr="00195A26" w:rsidRDefault="00F92952" w:rsidP="00F92952">
            <w:pPr>
              <w:pStyle w:val="StandaardSV"/>
              <w:rPr>
                <w:sz w:val="18"/>
                <w:szCs w:val="18"/>
              </w:rPr>
            </w:pPr>
            <w:r w:rsidRPr="00195A26">
              <w:rPr>
                <w:sz w:val="18"/>
                <w:szCs w:val="18"/>
              </w:rPr>
              <w:t>10,122</w:t>
            </w:r>
          </w:p>
        </w:tc>
        <w:tc>
          <w:tcPr>
            <w:tcW w:w="522" w:type="pct"/>
          </w:tcPr>
          <w:p w:rsidR="00F92952" w:rsidRPr="00195A26" w:rsidRDefault="00F92952" w:rsidP="00F92952">
            <w:pPr>
              <w:pStyle w:val="StandaardSV"/>
              <w:rPr>
                <w:sz w:val="18"/>
                <w:szCs w:val="18"/>
              </w:rPr>
            </w:pPr>
            <w:r w:rsidRPr="00195A26">
              <w:rPr>
                <w:sz w:val="18"/>
                <w:szCs w:val="18"/>
              </w:rPr>
              <w:t>10,122</w:t>
            </w:r>
          </w:p>
        </w:tc>
      </w:tr>
      <w:tr w:rsidR="00F92952" w:rsidRPr="00195A26" w:rsidTr="000B2C80">
        <w:tc>
          <w:tcPr>
            <w:tcW w:w="2911" w:type="pct"/>
          </w:tcPr>
          <w:p w:rsidR="00F92952" w:rsidRPr="00195A26" w:rsidRDefault="00F92952" w:rsidP="00F92952">
            <w:pPr>
              <w:pStyle w:val="StandaardSV"/>
              <w:rPr>
                <w:szCs w:val="22"/>
              </w:rPr>
            </w:pPr>
            <w:r w:rsidRPr="00195A26">
              <w:rPr>
                <w:szCs w:val="22"/>
              </w:rPr>
              <w:t xml:space="preserve">Toegepast </w:t>
            </w:r>
            <w:proofErr w:type="spellStart"/>
            <w:r w:rsidRPr="00195A26">
              <w:rPr>
                <w:szCs w:val="22"/>
              </w:rPr>
              <w:t>BioMedisch</w:t>
            </w:r>
            <w:proofErr w:type="spellEnd"/>
            <w:r w:rsidRPr="00195A26">
              <w:rPr>
                <w:szCs w:val="22"/>
              </w:rPr>
              <w:t xml:space="preserve"> Onderzoek</w:t>
            </w:r>
          </w:p>
        </w:tc>
        <w:tc>
          <w:tcPr>
            <w:tcW w:w="523" w:type="pct"/>
          </w:tcPr>
          <w:p w:rsidR="00F92952" w:rsidRPr="00195A26" w:rsidRDefault="00F92952" w:rsidP="00F92952">
            <w:pPr>
              <w:pStyle w:val="StandaardSV"/>
              <w:rPr>
                <w:sz w:val="18"/>
                <w:szCs w:val="18"/>
              </w:rPr>
            </w:pPr>
            <w:r w:rsidRPr="00195A26">
              <w:rPr>
                <w:sz w:val="18"/>
                <w:szCs w:val="18"/>
              </w:rPr>
              <w:t>6,000</w:t>
            </w:r>
          </w:p>
        </w:tc>
        <w:tc>
          <w:tcPr>
            <w:tcW w:w="522" w:type="pct"/>
          </w:tcPr>
          <w:p w:rsidR="00F92952" w:rsidRPr="00195A26" w:rsidRDefault="00F92952" w:rsidP="00F92952">
            <w:pPr>
              <w:pStyle w:val="StandaardSV"/>
              <w:rPr>
                <w:sz w:val="18"/>
                <w:szCs w:val="18"/>
              </w:rPr>
            </w:pPr>
            <w:r w:rsidRPr="00195A26">
              <w:rPr>
                <w:sz w:val="18"/>
                <w:szCs w:val="18"/>
              </w:rPr>
              <w:t>5,415</w:t>
            </w:r>
          </w:p>
        </w:tc>
        <w:tc>
          <w:tcPr>
            <w:tcW w:w="522" w:type="pct"/>
          </w:tcPr>
          <w:p w:rsidR="00F92952" w:rsidRPr="00195A26" w:rsidRDefault="00F92952" w:rsidP="00F92952">
            <w:pPr>
              <w:pStyle w:val="StandaardSV"/>
              <w:rPr>
                <w:sz w:val="18"/>
                <w:szCs w:val="18"/>
              </w:rPr>
            </w:pPr>
            <w:r w:rsidRPr="00195A26">
              <w:rPr>
                <w:sz w:val="18"/>
                <w:szCs w:val="18"/>
              </w:rPr>
              <w:t>5,415</w:t>
            </w:r>
          </w:p>
        </w:tc>
        <w:tc>
          <w:tcPr>
            <w:tcW w:w="522" w:type="pct"/>
          </w:tcPr>
          <w:p w:rsidR="00F92952" w:rsidRPr="00195A26" w:rsidRDefault="00F92952" w:rsidP="00F92952">
            <w:pPr>
              <w:pStyle w:val="StandaardSV"/>
              <w:rPr>
                <w:sz w:val="18"/>
                <w:szCs w:val="18"/>
              </w:rPr>
            </w:pPr>
            <w:r w:rsidRPr="00195A26">
              <w:rPr>
                <w:sz w:val="18"/>
                <w:szCs w:val="18"/>
              </w:rPr>
              <w:t>6,700</w:t>
            </w:r>
          </w:p>
        </w:tc>
      </w:tr>
      <w:tr w:rsidR="00F92952" w:rsidRPr="00195A26" w:rsidTr="000B2C80">
        <w:tc>
          <w:tcPr>
            <w:tcW w:w="2911" w:type="pct"/>
          </w:tcPr>
          <w:p w:rsidR="00F92952" w:rsidRPr="00195A26" w:rsidRDefault="00F92952" w:rsidP="00F92952">
            <w:pPr>
              <w:pStyle w:val="StandaardSV"/>
              <w:rPr>
                <w:szCs w:val="22"/>
              </w:rPr>
            </w:pPr>
            <w:r w:rsidRPr="00195A26">
              <w:rPr>
                <w:szCs w:val="22"/>
              </w:rPr>
              <w:t>Initiatieven Vlaamse Regering, incl. innovatieve mediaprojecten</w:t>
            </w:r>
          </w:p>
        </w:tc>
        <w:tc>
          <w:tcPr>
            <w:tcW w:w="523" w:type="pct"/>
          </w:tcPr>
          <w:p w:rsidR="00F92952" w:rsidRPr="00195A26" w:rsidRDefault="00F92952" w:rsidP="00F92952">
            <w:pPr>
              <w:pStyle w:val="StandaardSV"/>
              <w:rPr>
                <w:sz w:val="18"/>
                <w:szCs w:val="18"/>
              </w:rPr>
            </w:pPr>
            <w:r w:rsidRPr="00195A26">
              <w:rPr>
                <w:sz w:val="18"/>
                <w:szCs w:val="18"/>
              </w:rPr>
              <w:t>49,693</w:t>
            </w:r>
          </w:p>
        </w:tc>
        <w:tc>
          <w:tcPr>
            <w:tcW w:w="522" w:type="pct"/>
          </w:tcPr>
          <w:p w:rsidR="00F92952" w:rsidRPr="00195A26" w:rsidRDefault="00F92952" w:rsidP="00F92952">
            <w:pPr>
              <w:pStyle w:val="StandaardSV"/>
              <w:rPr>
                <w:sz w:val="18"/>
                <w:szCs w:val="18"/>
              </w:rPr>
            </w:pPr>
            <w:r w:rsidRPr="00195A26">
              <w:rPr>
                <w:sz w:val="18"/>
                <w:szCs w:val="18"/>
              </w:rPr>
              <w:t>26,560</w:t>
            </w:r>
          </w:p>
        </w:tc>
        <w:tc>
          <w:tcPr>
            <w:tcW w:w="522" w:type="pct"/>
          </w:tcPr>
          <w:p w:rsidR="00F92952" w:rsidRPr="00195A26" w:rsidRDefault="00F92952" w:rsidP="00F92952">
            <w:pPr>
              <w:pStyle w:val="StandaardSV"/>
              <w:rPr>
                <w:sz w:val="18"/>
                <w:szCs w:val="18"/>
              </w:rPr>
            </w:pPr>
            <w:r w:rsidRPr="00195A26">
              <w:rPr>
                <w:sz w:val="18"/>
                <w:szCs w:val="18"/>
              </w:rPr>
              <w:t>59,022</w:t>
            </w:r>
          </w:p>
        </w:tc>
        <w:tc>
          <w:tcPr>
            <w:tcW w:w="522" w:type="pct"/>
          </w:tcPr>
          <w:p w:rsidR="00F92952" w:rsidRPr="00195A26" w:rsidRDefault="00F92952" w:rsidP="00F92952">
            <w:pPr>
              <w:pStyle w:val="StandaardSV"/>
              <w:rPr>
                <w:sz w:val="18"/>
                <w:szCs w:val="18"/>
              </w:rPr>
            </w:pPr>
            <w:r w:rsidRPr="00195A26">
              <w:rPr>
                <w:sz w:val="18"/>
                <w:szCs w:val="18"/>
              </w:rPr>
              <w:t>55,158</w:t>
            </w:r>
          </w:p>
        </w:tc>
      </w:tr>
      <w:tr w:rsidR="00F92952" w:rsidRPr="00195A26" w:rsidTr="000B2C80">
        <w:tc>
          <w:tcPr>
            <w:tcW w:w="2911" w:type="pct"/>
          </w:tcPr>
          <w:p w:rsidR="00F92952" w:rsidRPr="00195A26" w:rsidRDefault="00F92952" w:rsidP="00F92952">
            <w:pPr>
              <w:pStyle w:val="StandaardSV"/>
              <w:rPr>
                <w:b/>
                <w:szCs w:val="22"/>
              </w:rPr>
            </w:pPr>
            <w:r w:rsidRPr="00195A26">
              <w:rPr>
                <w:b/>
                <w:szCs w:val="22"/>
              </w:rPr>
              <w:t xml:space="preserve">TOTAAL exclusief </w:t>
            </w:r>
            <w:proofErr w:type="spellStart"/>
            <w:r w:rsidRPr="00195A26">
              <w:rPr>
                <w:b/>
                <w:szCs w:val="22"/>
              </w:rPr>
              <w:t>Initatieven</w:t>
            </w:r>
            <w:proofErr w:type="spellEnd"/>
            <w:r w:rsidRPr="00195A26">
              <w:rPr>
                <w:b/>
                <w:szCs w:val="22"/>
              </w:rPr>
              <w:t xml:space="preserve"> Vlaamse Regering</w:t>
            </w:r>
          </w:p>
        </w:tc>
        <w:tc>
          <w:tcPr>
            <w:tcW w:w="523" w:type="pct"/>
          </w:tcPr>
          <w:p w:rsidR="00F92952" w:rsidRPr="00195A26" w:rsidRDefault="00F92952" w:rsidP="00F92952">
            <w:pPr>
              <w:pStyle w:val="StandaardSV"/>
              <w:rPr>
                <w:b/>
                <w:sz w:val="18"/>
                <w:szCs w:val="18"/>
              </w:rPr>
            </w:pPr>
            <w:r w:rsidRPr="00195A26">
              <w:rPr>
                <w:b/>
                <w:sz w:val="18"/>
                <w:szCs w:val="18"/>
              </w:rPr>
              <w:t>230,668</w:t>
            </w:r>
          </w:p>
        </w:tc>
        <w:tc>
          <w:tcPr>
            <w:tcW w:w="522" w:type="pct"/>
          </w:tcPr>
          <w:p w:rsidR="00F92952" w:rsidRPr="00195A26" w:rsidRDefault="00F92952" w:rsidP="00F92952">
            <w:pPr>
              <w:pStyle w:val="StandaardSV"/>
              <w:rPr>
                <w:b/>
                <w:sz w:val="18"/>
                <w:szCs w:val="18"/>
              </w:rPr>
            </w:pPr>
            <w:r w:rsidRPr="00195A26">
              <w:rPr>
                <w:b/>
                <w:sz w:val="18"/>
                <w:szCs w:val="18"/>
              </w:rPr>
              <w:t>214,101</w:t>
            </w:r>
          </w:p>
        </w:tc>
        <w:tc>
          <w:tcPr>
            <w:tcW w:w="522" w:type="pct"/>
          </w:tcPr>
          <w:p w:rsidR="00F92952" w:rsidRPr="00195A26" w:rsidRDefault="00F92952" w:rsidP="00F92952">
            <w:pPr>
              <w:pStyle w:val="StandaardSV"/>
              <w:rPr>
                <w:b/>
                <w:sz w:val="18"/>
                <w:szCs w:val="18"/>
              </w:rPr>
            </w:pPr>
            <w:r w:rsidRPr="00195A26">
              <w:rPr>
                <w:b/>
                <w:sz w:val="18"/>
                <w:szCs w:val="18"/>
              </w:rPr>
              <w:t>232,057</w:t>
            </w:r>
          </w:p>
        </w:tc>
        <w:tc>
          <w:tcPr>
            <w:tcW w:w="522" w:type="pct"/>
          </w:tcPr>
          <w:p w:rsidR="00F92952" w:rsidRPr="00195A26" w:rsidRDefault="00F92952" w:rsidP="00F92952">
            <w:pPr>
              <w:pStyle w:val="StandaardSV"/>
              <w:rPr>
                <w:b/>
                <w:sz w:val="18"/>
                <w:szCs w:val="18"/>
              </w:rPr>
            </w:pPr>
            <w:r w:rsidRPr="00195A26">
              <w:rPr>
                <w:b/>
                <w:sz w:val="18"/>
                <w:szCs w:val="18"/>
              </w:rPr>
              <w:t>244,961</w:t>
            </w:r>
          </w:p>
        </w:tc>
      </w:tr>
      <w:tr w:rsidR="00F92952" w:rsidRPr="00195A26" w:rsidTr="000B2C80">
        <w:tc>
          <w:tcPr>
            <w:tcW w:w="2911" w:type="pct"/>
          </w:tcPr>
          <w:p w:rsidR="00F92952" w:rsidRPr="00195A26" w:rsidRDefault="00F92952" w:rsidP="00F92952">
            <w:pPr>
              <w:pStyle w:val="StandaardSV"/>
              <w:rPr>
                <w:b/>
                <w:szCs w:val="22"/>
              </w:rPr>
            </w:pPr>
            <w:r w:rsidRPr="00195A26">
              <w:rPr>
                <w:b/>
                <w:szCs w:val="22"/>
              </w:rPr>
              <w:lastRenderedPageBreak/>
              <w:t xml:space="preserve">TOTAAL inclusief Initiatieven Vlaamse Regering </w:t>
            </w:r>
          </w:p>
        </w:tc>
        <w:tc>
          <w:tcPr>
            <w:tcW w:w="523" w:type="pct"/>
          </w:tcPr>
          <w:p w:rsidR="00F92952" w:rsidRPr="00195A26" w:rsidRDefault="00F92952" w:rsidP="00F92952">
            <w:pPr>
              <w:pStyle w:val="StandaardSV"/>
              <w:rPr>
                <w:b/>
                <w:sz w:val="18"/>
                <w:szCs w:val="18"/>
              </w:rPr>
            </w:pPr>
            <w:r w:rsidRPr="00195A26">
              <w:rPr>
                <w:b/>
                <w:sz w:val="18"/>
                <w:szCs w:val="18"/>
              </w:rPr>
              <w:t>280,361</w:t>
            </w:r>
          </w:p>
        </w:tc>
        <w:tc>
          <w:tcPr>
            <w:tcW w:w="522" w:type="pct"/>
          </w:tcPr>
          <w:p w:rsidR="00F92952" w:rsidRPr="00195A26" w:rsidRDefault="00F92952" w:rsidP="00F92952">
            <w:pPr>
              <w:pStyle w:val="StandaardSV"/>
              <w:rPr>
                <w:b/>
                <w:sz w:val="18"/>
                <w:szCs w:val="18"/>
              </w:rPr>
            </w:pPr>
            <w:r w:rsidRPr="00195A26">
              <w:rPr>
                <w:b/>
                <w:sz w:val="18"/>
                <w:szCs w:val="18"/>
              </w:rPr>
              <w:t>240,661</w:t>
            </w:r>
          </w:p>
        </w:tc>
        <w:tc>
          <w:tcPr>
            <w:tcW w:w="522" w:type="pct"/>
          </w:tcPr>
          <w:p w:rsidR="00F92952" w:rsidRPr="00195A26" w:rsidRDefault="00F92952" w:rsidP="00F92952">
            <w:pPr>
              <w:pStyle w:val="StandaardSV"/>
              <w:rPr>
                <w:b/>
                <w:sz w:val="18"/>
                <w:szCs w:val="18"/>
              </w:rPr>
            </w:pPr>
            <w:r w:rsidRPr="00195A26">
              <w:rPr>
                <w:b/>
                <w:sz w:val="18"/>
                <w:szCs w:val="18"/>
              </w:rPr>
              <w:t>291,079</w:t>
            </w:r>
          </w:p>
        </w:tc>
        <w:tc>
          <w:tcPr>
            <w:tcW w:w="522" w:type="pct"/>
          </w:tcPr>
          <w:p w:rsidR="00F92952" w:rsidRPr="00195A26" w:rsidRDefault="00F92952" w:rsidP="00F92952">
            <w:pPr>
              <w:pStyle w:val="StandaardSV"/>
              <w:rPr>
                <w:b/>
                <w:sz w:val="18"/>
                <w:szCs w:val="18"/>
              </w:rPr>
            </w:pPr>
            <w:r w:rsidRPr="00195A26">
              <w:rPr>
                <w:b/>
                <w:sz w:val="18"/>
                <w:szCs w:val="18"/>
              </w:rPr>
              <w:t>300,119</w:t>
            </w:r>
          </w:p>
        </w:tc>
      </w:tr>
    </w:tbl>
    <w:p w:rsidR="006F29F5" w:rsidRPr="00195A26" w:rsidRDefault="006F29F5" w:rsidP="00EB336B"/>
    <w:p w:rsidR="00F92952" w:rsidRPr="00195A26" w:rsidRDefault="00F92952" w:rsidP="00F92952">
      <w:pPr>
        <w:tabs>
          <w:tab w:val="left" w:pos="1134"/>
        </w:tabs>
        <w:ind w:right="-2"/>
        <w:rPr>
          <w:b/>
          <w:sz w:val="22"/>
          <w:lang w:val="nl-BE"/>
        </w:rPr>
      </w:pPr>
      <w:proofErr w:type="gramStart"/>
      <w:r w:rsidRPr="00195A26">
        <w:rPr>
          <w:b/>
          <w:sz w:val="22"/>
          <w:lang w:val="nl-BE"/>
        </w:rPr>
        <w:t>Tabel :</w:t>
      </w:r>
      <w:proofErr w:type="gramEnd"/>
      <w:r w:rsidRPr="00195A26">
        <w:rPr>
          <w:b/>
          <w:sz w:val="22"/>
          <w:lang w:val="nl-BE"/>
        </w:rPr>
        <w:t xml:space="preserve"> Benuttingsratio van de IWT-</w:t>
      </w:r>
      <w:proofErr w:type="spellStart"/>
      <w:r w:rsidRPr="00195A26">
        <w:rPr>
          <w:b/>
          <w:sz w:val="22"/>
          <w:lang w:val="nl-BE"/>
        </w:rPr>
        <w:t>budgetten</w:t>
      </w:r>
      <w:proofErr w:type="spellEnd"/>
      <w:r w:rsidRPr="00195A26">
        <w:rPr>
          <w:b/>
          <w:sz w:val="22"/>
          <w:lang w:val="nl-BE"/>
        </w:rPr>
        <w:t xml:space="preserve"> (effectieve vastlegging/</w:t>
      </w:r>
      <w:proofErr w:type="spellStart"/>
      <w:r w:rsidRPr="00195A26">
        <w:rPr>
          <w:b/>
          <w:sz w:val="22"/>
          <w:lang w:val="nl-BE"/>
        </w:rPr>
        <w:t>vastleggingsmatchtiging</w:t>
      </w:r>
      <w:proofErr w:type="spellEnd"/>
      <w:r w:rsidRPr="00195A26">
        <w:rPr>
          <w:b/>
          <w:sz w:val="22"/>
          <w:lang w:val="nl-BE"/>
        </w:rPr>
        <w:t>)</w:t>
      </w:r>
    </w:p>
    <w:p w:rsidR="00195A26" w:rsidRPr="00195A26" w:rsidRDefault="00195A26" w:rsidP="00F92952">
      <w:pPr>
        <w:tabs>
          <w:tab w:val="left" w:pos="1134"/>
        </w:tabs>
        <w:ind w:right="-2"/>
        <w:rPr>
          <w:b/>
          <w:sz w:val="22"/>
          <w:lang w:val="nl-BE"/>
        </w:rPr>
      </w:pPr>
    </w:p>
    <w:tbl>
      <w:tblPr>
        <w:tblStyle w:val="Tabelraster"/>
        <w:tblW w:w="4691" w:type="pct"/>
        <w:tblInd w:w="108" w:type="dxa"/>
        <w:tblLayout w:type="fixed"/>
        <w:tblLook w:val="0000" w:firstRow="0" w:lastRow="0" w:firstColumn="0" w:lastColumn="0" w:noHBand="0" w:noVBand="0"/>
      </w:tblPr>
      <w:tblGrid>
        <w:gridCol w:w="5073"/>
        <w:gridCol w:w="911"/>
        <w:gridCol w:w="910"/>
        <w:gridCol w:w="910"/>
        <w:gridCol w:w="910"/>
      </w:tblGrid>
      <w:tr w:rsidR="00F92952" w:rsidRPr="00195A26" w:rsidTr="000B2C80">
        <w:trPr>
          <w:trHeight w:val="80"/>
        </w:trPr>
        <w:tc>
          <w:tcPr>
            <w:tcW w:w="2911" w:type="pct"/>
          </w:tcPr>
          <w:p w:rsidR="00F92952" w:rsidRPr="00195A26" w:rsidRDefault="00F92952" w:rsidP="00C171E5">
            <w:pPr>
              <w:pStyle w:val="StandaardSV"/>
              <w:rPr>
                <w:b/>
                <w:szCs w:val="22"/>
              </w:rPr>
            </w:pPr>
            <w:r w:rsidRPr="00195A26">
              <w:rPr>
                <w:b/>
                <w:szCs w:val="22"/>
              </w:rPr>
              <w:t>Programma</w:t>
            </w:r>
          </w:p>
        </w:tc>
        <w:tc>
          <w:tcPr>
            <w:tcW w:w="523" w:type="pct"/>
          </w:tcPr>
          <w:p w:rsidR="00F92952" w:rsidRPr="00195A26" w:rsidRDefault="00F92952" w:rsidP="00C171E5">
            <w:pPr>
              <w:pStyle w:val="StandaardSV"/>
              <w:rPr>
                <w:b/>
                <w:sz w:val="18"/>
                <w:szCs w:val="18"/>
              </w:rPr>
            </w:pPr>
            <w:r w:rsidRPr="00195A26">
              <w:rPr>
                <w:b/>
                <w:sz w:val="18"/>
                <w:szCs w:val="18"/>
              </w:rPr>
              <w:t>2009</w:t>
            </w:r>
          </w:p>
        </w:tc>
        <w:tc>
          <w:tcPr>
            <w:tcW w:w="522" w:type="pct"/>
          </w:tcPr>
          <w:p w:rsidR="00F92952" w:rsidRPr="00195A26" w:rsidRDefault="00F92952" w:rsidP="00C171E5">
            <w:pPr>
              <w:pStyle w:val="StandaardSV"/>
              <w:rPr>
                <w:b/>
                <w:sz w:val="18"/>
                <w:szCs w:val="18"/>
              </w:rPr>
            </w:pPr>
            <w:r w:rsidRPr="00195A26">
              <w:rPr>
                <w:b/>
                <w:sz w:val="18"/>
                <w:szCs w:val="18"/>
              </w:rPr>
              <w:t>2010</w:t>
            </w:r>
          </w:p>
        </w:tc>
        <w:tc>
          <w:tcPr>
            <w:tcW w:w="522" w:type="pct"/>
          </w:tcPr>
          <w:p w:rsidR="00F92952" w:rsidRPr="00195A26" w:rsidRDefault="00F92952" w:rsidP="00C171E5">
            <w:pPr>
              <w:pStyle w:val="StandaardSV"/>
              <w:rPr>
                <w:b/>
                <w:sz w:val="18"/>
                <w:szCs w:val="18"/>
              </w:rPr>
            </w:pPr>
            <w:r w:rsidRPr="00195A26">
              <w:rPr>
                <w:b/>
                <w:sz w:val="18"/>
                <w:szCs w:val="18"/>
              </w:rPr>
              <w:t>2011</w:t>
            </w:r>
          </w:p>
        </w:tc>
        <w:tc>
          <w:tcPr>
            <w:tcW w:w="522" w:type="pct"/>
          </w:tcPr>
          <w:p w:rsidR="00F92952" w:rsidRPr="00195A26" w:rsidRDefault="00F92952" w:rsidP="00C171E5">
            <w:pPr>
              <w:pStyle w:val="StandaardSV"/>
              <w:rPr>
                <w:b/>
                <w:sz w:val="18"/>
                <w:szCs w:val="18"/>
              </w:rPr>
            </w:pPr>
            <w:r w:rsidRPr="00195A26">
              <w:rPr>
                <w:b/>
                <w:sz w:val="18"/>
                <w:szCs w:val="18"/>
              </w:rPr>
              <w:t>2012</w:t>
            </w:r>
          </w:p>
        </w:tc>
      </w:tr>
      <w:tr w:rsidR="00F92952" w:rsidRPr="00195A26" w:rsidTr="000B2C80">
        <w:tc>
          <w:tcPr>
            <w:tcW w:w="2911" w:type="pct"/>
          </w:tcPr>
          <w:p w:rsidR="00F92952" w:rsidRPr="00195A26" w:rsidRDefault="00F92952" w:rsidP="00C171E5">
            <w:pPr>
              <w:pStyle w:val="StandaardSV"/>
              <w:rPr>
                <w:szCs w:val="22"/>
              </w:rPr>
            </w:pPr>
            <w:r w:rsidRPr="00195A26">
              <w:rPr>
                <w:szCs w:val="22"/>
              </w:rPr>
              <w:t xml:space="preserve">Bedrijfslijn (O&amp;O-bedrijfsprojecten, </w:t>
            </w:r>
            <w:proofErr w:type="spellStart"/>
            <w:r w:rsidRPr="00195A26">
              <w:rPr>
                <w:szCs w:val="22"/>
              </w:rPr>
              <w:t>kmo</w:t>
            </w:r>
            <w:proofErr w:type="spellEnd"/>
            <w:r w:rsidRPr="00195A26">
              <w:rPr>
                <w:szCs w:val="22"/>
              </w:rPr>
              <w:t>-programma, VIS-programma, Innovatiemandaten)</w:t>
            </w:r>
          </w:p>
        </w:tc>
        <w:tc>
          <w:tcPr>
            <w:tcW w:w="523"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1,00</w:t>
            </w:r>
          </w:p>
        </w:tc>
      </w:tr>
      <w:tr w:rsidR="00F92952" w:rsidRPr="00195A26" w:rsidTr="000B2C80">
        <w:tc>
          <w:tcPr>
            <w:tcW w:w="2911" w:type="pct"/>
          </w:tcPr>
          <w:p w:rsidR="00F92952" w:rsidRPr="00195A26" w:rsidRDefault="00F92952" w:rsidP="00C171E5">
            <w:pPr>
              <w:pStyle w:val="StandaardSV"/>
              <w:rPr>
                <w:szCs w:val="22"/>
              </w:rPr>
            </w:pPr>
            <w:r w:rsidRPr="00195A26">
              <w:rPr>
                <w:szCs w:val="22"/>
              </w:rPr>
              <w:t>Vlaams Innovatie Netwerk (VIN)</w:t>
            </w:r>
          </w:p>
        </w:tc>
        <w:tc>
          <w:tcPr>
            <w:tcW w:w="523" w:type="pct"/>
          </w:tcPr>
          <w:p w:rsidR="00F92952" w:rsidRPr="00195A26" w:rsidRDefault="00F92952">
            <w:pPr>
              <w:jc w:val="both"/>
              <w:rPr>
                <w:sz w:val="18"/>
                <w:szCs w:val="18"/>
              </w:rPr>
            </w:pPr>
            <w:r w:rsidRPr="00195A26">
              <w:rPr>
                <w:sz w:val="18"/>
                <w:szCs w:val="18"/>
              </w:rPr>
              <w:t>0,65</w:t>
            </w:r>
          </w:p>
        </w:tc>
        <w:tc>
          <w:tcPr>
            <w:tcW w:w="522" w:type="pct"/>
          </w:tcPr>
          <w:p w:rsidR="00F92952" w:rsidRPr="00195A26" w:rsidRDefault="00F92952">
            <w:pPr>
              <w:jc w:val="both"/>
              <w:rPr>
                <w:sz w:val="18"/>
                <w:szCs w:val="18"/>
              </w:rPr>
            </w:pPr>
            <w:r w:rsidRPr="00195A26">
              <w:rPr>
                <w:sz w:val="18"/>
                <w:szCs w:val="18"/>
              </w:rPr>
              <w:t>0,74</w:t>
            </w:r>
          </w:p>
        </w:tc>
        <w:tc>
          <w:tcPr>
            <w:tcW w:w="522" w:type="pct"/>
          </w:tcPr>
          <w:p w:rsidR="00F92952" w:rsidRPr="00195A26" w:rsidRDefault="00F92952">
            <w:pPr>
              <w:jc w:val="both"/>
              <w:rPr>
                <w:sz w:val="18"/>
                <w:szCs w:val="18"/>
              </w:rPr>
            </w:pPr>
            <w:r w:rsidRPr="00195A26">
              <w:rPr>
                <w:sz w:val="18"/>
                <w:szCs w:val="18"/>
              </w:rPr>
              <w:t>0,97</w:t>
            </w:r>
          </w:p>
        </w:tc>
        <w:tc>
          <w:tcPr>
            <w:tcW w:w="522" w:type="pct"/>
          </w:tcPr>
          <w:p w:rsidR="00F92952" w:rsidRPr="00195A26" w:rsidRDefault="00F92952">
            <w:pPr>
              <w:jc w:val="both"/>
              <w:rPr>
                <w:sz w:val="18"/>
                <w:szCs w:val="18"/>
              </w:rPr>
            </w:pPr>
            <w:r w:rsidRPr="00195A26">
              <w:rPr>
                <w:sz w:val="18"/>
                <w:szCs w:val="18"/>
              </w:rPr>
              <w:t>0,97</w:t>
            </w:r>
          </w:p>
        </w:tc>
      </w:tr>
      <w:tr w:rsidR="00F92952" w:rsidRPr="00195A26" w:rsidTr="000B2C80">
        <w:tc>
          <w:tcPr>
            <w:tcW w:w="2911" w:type="pct"/>
          </w:tcPr>
          <w:p w:rsidR="00F92952" w:rsidRPr="00195A26" w:rsidRDefault="00F92952" w:rsidP="00C171E5">
            <w:pPr>
              <w:pStyle w:val="StandaardSV"/>
              <w:rPr>
                <w:szCs w:val="22"/>
              </w:rPr>
            </w:pPr>
            <w:r w:rsidRPr="00195A26">
              <w:rPr>
                <w:szCs w:val="22"/>
              </w:rPr>
              <w:t>TETRA-fonds</w:t>
            </w:r>
          </w:p>
        </w:tc>
        <w:tc>
          <w:tcPr>
            <w:tcW w:w="523"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0,99</w:t>
            </w:r>
          </w:p>
        </w:tc>
        <w:tc>
          <w:tcPr>
            <w:tcW w:w="522" w:type="pct"/>
          </w:tcPr>
          <w:p w:rsidR="00F92952" w:rsidRPr="00195A26" w:rsidRDefault="00F92952">
            <w:pPr>
              <w:jc w:val="both"/>
              <w:rPr>
                <w:sz w:val="18"/>
                <w:szCs w:val="18"/>
              </w:rPr>
            </w:pPr>
            <w:r w:rsidRPr="00195A26">
              <w:rPr>
                <w:sz w:val="18"/>
                <w:szCs w:val="18"/>
              </w:rPr>
              <w:t>0,98</w:t>
            </w:r>
          </w:p>
        </w:tc>
        <w:tc>
          <w:tcPr>
            <w:tcW w:w="522" w:type="pct"/>
          </w:tcPr>
          <w:p w:rsidR="00F92952" w:rsidRPr="00195A26" w:rsidRDefault="00F92952">
            <w:pPr>
              <w:jc w:val="both"/>
              <w:rPr>
                <w:sz w:val="18"/>
                <w:szCs w:val="18"/>
              </w:rPr>
            </w:pPr>
            <w:r w:rsidRPr="00195A26">
              <w:rPr>
                <w:sz w:val="18"/>
                <w:szCs w:val="18"/>
              </w:rPr>
              <w:t>1,00</w:t>
            </w:r>
          </w:p>
        </w:tc>
      </w:tr>
      <w:tr w:rsidR="00F92952" w:rsidRPr="00195A26" w:rsidTr="000B2C80">
        <w:tc>
          <w:tcPr>
            <w:tcW w:w="2911" w:type="pct"/>
          </w:tcPr>
          <w:p w:rsidR="00F92952" w:rsidRPr="00195A26" w:rsidRDefault="00F92952" w:rsidP="00C171E5">
            <w:pPr>
              <w:pStyle w:val="StandaardSV"/>
              <w:rPr>
                <w:szCs w:val="22"/>
              </w:rPr>
            </w:pPr>
            <w:r w:rsidRPr="00195A26">
              <w:rPr>
                <w:szCs w:val="22"/>
              </w:rPr>
              <w:t xml:space="preserve">Specialisatiebeurzen en </w:t>
            </w:r>
            <w:proofErr w:type="spellStart"/>
            <w:r w:rsidRPr="00195A26">
              <w:rPr>
                <w:szCs w:val="22"/>
              </w:rPr>
              <w:t>Baekeland</w:t>
            </w:r>
            <w:proofErr w:type="spellEnd"/>
          </w:p>
        </w:tc>
        <w:tc>
          <w:tcPr>
            <w:tcW w:w="523" w:type="pct"/>
          </w:tcPr>
          <w:p w:rsidR="00F92952" w:rsidRPr="00195A26" w:rsidRDefault="00F92952" w:rsidP="00F92952">
            <w:pPr>
              <w:pStyle w:val="StandaardSV"/>
              <w:rPr>
                <w:sz w:val="18"/>
                <w:szCs w:val="18"/>
              </w:rPr>
            </w:pPr>
            <w:r w:rsidRPr="00195A26">
              <w:rPr>
                <w:sz w:val="18"/>
                <w:szCs w:val="18"/>
              </w:rPr>
              <w:t>1,00</w:t>
            </w:r>
          </w:p>
        </w:tc>
        <w:tc>
          <w:tcPr>
            <w:tcW w:w="522" w:type="pct"/>
          </w:tcPr>
          <w:p w:rsidR="00F92952" w:rsidRPr="00195A26" w:rsidRDefault="00F92952" w:rsidP="00F92952">
            <w:pPr>
              <w:pStyle w:val="StandaardSV"/>
              <w:rPr>
                <w:sz w:val="18"/>
                <w:szCs w:val="18"/>
              </w:rPr>
            </w:pPr>
            <w:r w:rsidRPr="00195A26">
              <w:rPr>
                <w:sz w:val="18"/>
                <w:szCs w:val="18"/>
              </w:rPr>
              <w:t>1,00</w:t>
            </w:r>
          </w:p>
        </w:tc>
        <w:tc>
          <w:tcPr>
            <w:tcW w:w="522" w:type="pct"/>
          </w:tcPr>
          <w:p w:rsidR="00F92952" w:rsidRPr="00195A26" w:rsidRDefault="00F92952" w:rsidP="00F92952">
            <w:pPr>
              <w:pStyle w:val="StandaardSV"/>
              <w:rPr>
                <w:sz w:val="18"/>
                <w:szCs w:val="18"/>
              </w:rPr>
            </w:pPr>
            <w:r w:rsidRPr="00195A26">
              <w:rPr>
                <w:sz w:val="18"/>
                <w:szCs w:val="18"/>
              </w:rPr>
              <w:t>1,00</w:t>
            </w:r>
          </w:p>
        </w:tc>
        <w:tc>
          <w:tcPr>
            <w:tcW w:w="522" w:type="pct"/>
          </w:tcPr>
          <w:p w:rsidR="00F92952" w:rsidRPr="00195A26" w:rsidRDefault="00F92952" w:rsidP="00F92952">
            <w:pPr>
              <w:pStyle w:val="StandaardSV"/>
              <w:rPr>
                <w:sz w:val="18"/>
                <w:szCs w:val="18"/>
              </w:rPr>
            </w:pPr>
            <w:r w:rsidRPr="00195A26">
              <w:rPr>
                <w:sz w:val="18"/>
                <w:szCs w:val="18"/>
              </w:rPr>
              <w:t>1,00</w:t>
            </w:r>
          </w:p>
        </w:tc>
      </w:tr>
      <w:tr w:rsidR="00F92952" w:rsidRPr="00195A26" w:rsidTr="000B2C80">
        <w:tc>
          <w:tcPr>
            <w:tcW w:w="2911" w:type="pct"/>
          </w:tcPr>
          <w:p w:rsidR="00F92952" w:rsidRPr="00195A26" w:rsidRDefault="00F92952" w:rsidP="00C171E5">
            <w:pPr>
              <w:pStyle w:val="StandaardSV"/>
              <w:rPr>
                <w:szCs w:val="22"/>
              </w:rPr>
            </w:pPr>
            <w:r w:rsidRPr="00195A26">
              <w:rPr>
                <w:szCs w:val="22"/>
              </w:rPr>
              <w:t xml:space="preserve">Strategisch </w:t>
            </w:r>
            <w:proofErr w:type="spellStart"/>
            <w:r w:rsidRPr="00195A26">
              <w:rPr>
                <w:szCs w:val="22"/>
              </w:rPr>
              <w:t>BasisOnderzoek</w:t>
            </w:r>
            <w:proofErr w:type="spellEnd"/>
          </w:p>
        </w:tc>
        <w:tc>
          <w:tcPr>
            <w:tcW w:w="523"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1,00</w:t>
            </w:r>
          </w:p>
        </w:tc>
      </w:tr>
      <w:tr w:rsidR="00F92952" w:rsidRPr="00195A26" w:rsidTr="000B2C80">
        <w:tc>
          <w:tcPr>
            <w:tcW w:w="2911" w:type="pct"/>
          </w:tcPr>
          <w:p w:rsidR="00F92952" w:rsidRPr="00195A26" w:rsidRDefault="00F92952" w:rsidP="00C171E5">
            <w:pPr>
              <w:pStyle w:val="StandaardSV"/>
              <w:rPr>
                <w:szCs w:val="22"/>
              </w:rPr>
            </w:pPr>
            <w:r w:rsidRPr="00195A26">
              <w:rPr>
                <w:szCs w:val="22"/>
              </w:rPr>
              <w:t>Landbouwkundig Onderzoek</w:t>
            </w:r>
          </w:p>
        </w:tc>
        <w:tc>
          <w:tcPr>
            <w:tcW w:w="523"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1,00</w:t>
            </w:r>
          </w:p>
        </w:tc>
      </w:tr>
      <w:tr w:rsidR="00F92952" w:rsidRPr="00195A26" w:rsidTr="000B2C80">
        <w:tc>
          <w:tcPr>
            <w:tcW w:w="2911" w:type="pct"/>
          </w:tcPr>
          <w:p w:rsidR="00F92952" w:rsidRPr="00195A26" w:rsidRDefault="00F92952" w:rsidP="00C171E5">
            <w:pPr>
              <w:pStyle w:val="StandaardSV"/>
              <w:rPr>
                <w:szCs w:val="22"/>
              </w:rPr>
            </w:pPr>
            <w:r w:rsidRPr="00195A26">
              <w:rPr>
                <w:szCs w:val="22"/>
              </w:rPr>
              <w:t xml:space="preserve">Toegepast </w:t>
            </w:r>
            <w:proofErr w:type="spellStart"/>
            <w:r w:rsidRPr="00195A26">
              <w:rPr>
                <w:szCs w:val="22"/>
              </w:rPr>
              <w:t>BioMedisch</w:t>
            </w:r>
            <w:proofErr w:type="spellEnd"/>
            <w:r w:rsidRPr="00195A26">
              <w:rPr>
                <w:szCs w:val="22"/>
              </w:rPr>
              <w:t xml:space="preserve"> Onderzoek</w:t>
            </w:r>
          </w:p>
        </w:tc>
        <w:tc>
          <w:tcPr>
            <w:tcW w:w="523"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0,95</w:t>
            </w:r>
          </w:p>
        </w:tc>
        <w:tc>
          <w:tcPr>
            <w:tcW w:w="522" w:type="pct"/>
          </w:tcPr>
          <w:p w:rsidR="00F92952" w:rsidRPr="00195A26" w:rsidRDefault="00F92952">
            <w:pPr>
              <w:jc w:val="both"/>
              <w:rPr>
                <w:sz w:val="18"/>
                <w:szCs w:val="18"/>
              </w:rPr>
            </w:pPr>
            <w:r w:rsidRPr="00195A26">
              <w:rPr>
                <w:sz w:val="18"/>
                <w:szCs w:val="18"/>
              </w:rPr>
              <w:t>1,00</w:t>
            </w:r>
          </w:p>
        </w:tc>
      </w:tr>
      <w:tr w:rsidR="00F92952" w:rsidRPr="00195A26" w:rsidTr="000B2C80">
        <w:tc>
          <w:tcPr>
            <w:tcW w:w="2911" w:type="pct"/>
          </w:tcPr>
          <w:p w:rsidR="00F92952" w:rsidRPr="00195A26" w:rsidRDefault="00F92952" w:rsidP="00C171E5">
            <w:pPr>
              <w:pStyle w:val="StandaardSV"/>
              <w:rPr>
                <w:szCs w:val="22"/>
              </w:rPr>
            </w:pPr>
            <w:r w:rsidRPr="00195A26">
              <w:rPr>
                <w:szCs w:val="22"/>
              </w:rPr>
              <w:t>Initiatieven Vlaamse Regering, incl. innovatieve mediaprojecten</w:t>
            </w:r>
          </w:p>
        </w:tc>
        <w:tc>
          <w:tcPr>
            <w:tcW w:w="523"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1,00</w:t>
            </w:r>
          </w:p>
        </w:tc>
        <w:tc>
          <w:tcPr>
            <w:tcW w:w="522" w:type="pct"/>
          </w:tcPr>
          <w:p w:rsidR="00F92952" w:rsidRPr="00195A26" w:rsidRDefault="00F92952">
            <w:pPr>
              <w:jc w:val="both"/>
              <w:rPr>
                <w:sz w:val="18"/>
                <w:szCs w:val="18"/>
              </w:rPr>
            </w:pPr>
            <w:r w:rsidRPr="00195A26">
              <w:rPr>
                <w:sz w:val="18"/>
                <w:szCs w:val="18"/>
              </w:rPr>
              <w:t>0,99</w:t>
            </w:r>
          </w:p>
        </w:tc>
      </w:tr>
      <w:tr w:rsidR="00F92952" w:rsidRPr="00195A26" w:rsidTr="000B2C80">
        <w:tc>
          <w:tcPr>
            <w:tcW w:w="2911" w:type="pct"/>
          </w:tcPr>
          <w:p w:rsidR="00F92952" w:rsidRPr="00195A26" w:rsidRDefault="00F92952" w:rsidP="00F92952">
            <w:pPr>
              <w:pStyle w:val="StandaardSV"/>
              <w:rPr>
                <w:b/>
                <w:szCs w:val="22"/>
              </w:rPr>
            </w:pPr>
            <w:r w:rsidRPr="00195A26">
              <w:rPr>
                <w:b/>
                <w:szCs w:val="22"/>
              </w:rPr>
              <w:t xml:space="preserve">TOTAAL exclusief </w:t>
            </w:r>
            <w:proofErr w:type="spellStart"/>
            <w:r w:rsidRPr="00195A26">
              <w:rPr>
                <w:b/>
                <w:szCs w:val="22"/>
              </w:rPr>
              <w:t>Initatieven</w:t>
            </w:r>
            <w:proofErr w:type="spellEnd"/>
            <w:r w:rsidRPr="00195A26">
              <w:rPr>
                <w:b/>
                <w:szCs w:val="22"/>
              </w:rPr>
              <w:t xml:space="preserve"> Vlaamse Regering</w:t>
            </w:r>
          </w:p>
        </w:tc>
        <w:tc>
          <w:tcPr>
            <w:tcW w:w="523" w:type="pct"/>
          </w:tcPr>
          <w:p w:rsidR="00F92952" w:rsidRPr="00195A26" w:rsidRDefault="00F92952" w:rsidP="00F92952">
            <w:pPr>
              <w:pStyle w:val="StandaardSV"/>
              <w:rPr>
                <w:b/>
                <w:sz w:val="18"/>
                <w:szCs w:val="18"/>
              </w:rPr>
            </w:pPr>
            <w:r w:rsidRPr="00195A26">
              <w:rPr>
                <w:b/>
                <w:sz w:val="18"/>
                <w:szCs w:val="18"/>
              </w:rPr>
              <w:t>0,999</w:t>
            </w:r>
          </w:p>
        </w:tc>
        <w:tc>
          <w:tcPr>
            <w:tcW w:w="522" w:type="pct"/>
          </w:tcPr>
          <w:p w:rsidR="00F92952" w:rsidRPr="00195A26" w:rsidRDefault="00F92952" w:rsidP="00F92952">
            <w:pPr>
              <w:pStyle w:val="StandaardSV"/>
              <w:rPr>
                <w:b/>
                <w:sz w:val="18"/>
                <w:szCs w:val="18"/>
              </w:rPr>
            </w:pPr>
            <w:r w:rsidRPr="00195A26">
              <w:rPr>
                <w:b/>
                <w:sz w:val="18"/>
                <w:szCs w:val="18"/>
              </w:rPr>
              <w:t>0,999</w:t>
            </w:r>
          </w:p>
        </w:tc>
        <w:tc>
          <w:tcPr>
            <w:tcW w:w="522" w:type="pct"/>
          </w:tcPr>
          <w:p w:rsidR="00F92952" w:rsidRPr="00195A26" w:rsidRDefault="00F92952" w:rsidP="00F92952">
            <w:pPr>
              <w:pStyle w:val="StandaardSV"/>
              <w:rPr>
                <w:b/>
                <w:sz w:val="18"/>
                <w:szCs w:val="18"/>
              </w:rPr>
            </w:pPr>
            <w:r w:rsidRPr="00195A26">
              <w:rPr>
                <w:b/>
                <w:sz w:val="18"/>
                <w:szCs w:val="18"/>
              </w:rPr>
              <w:t>0,998</w:t>
            </w:r>
          </w:p>
        </w:tc>
        <w:tc>
          <w:tcPr>
            <w:tcW w:w="522" w:type="pct"/>
          </w:tcPr>
          <w:p w:rsidR="00F92952" w:rsidRPr="00195A26" w:rsidRDefault="00F92952" w:rsidP="00F92952">
            <w:pPr>
              <w:pStyle w:val="StandaardSV"/>
              <w:rPr>
                <w:b/>
                <w:sz w:val="18"/>
                <w:szCs w:val="18"/>
              </w:rPr>
            </w:pPr>
            <w:r w:rsidRPr="00195A26">
              <w:rPr>
                <w:b/>
                <w:sz w:val="18"/>
                <w:szCs w:val="18"/>
              </w:rPr>
              <w:t>1,000</w:t>
            </w:r>
          </w:p>
        </w:tc>
      </w:tr>
      <w:tr w:rsidR="00F92952" w:rsidRPr="00195A26" w:rsidTr="000B2C80">
        <w:tc>
          <w:tcPr>
            <w:tcW w:w="2911" w:type="pct"/>
          </w:tcPr>
          <w:p w:rsidR="00F92952" w:rsidRPr="00195A26" w:rsidRDefault="00F92952" w:rsidP="00F92952">
            <w:pPr>
              <w:pStyle w:val="StandaardSV"/>
              <w:rPr>
                <w:b/>
                <w:szCs w:val="22"/>
              </w:rPr>
            </w:pPr>
            <w:r w:rsidRPr="00195A26">
              <w:rPr>
                <w:b/>
                <w:szCs w:val="22"/>
              </w:rPr>
              <w:t xml:space="preserve">TOTAAL inclusief Initiatieven Vlaamse Regering </w:t>
            </w:r>
          </w:p>
        </w:tc>
        <w:tc>
          <w:tcPr>
            <w:tcW w:w="523" w:type="pct"/>
          </w:tcPr>
          <w:p w:rsidR="00F92952" w:rsidRPr="00195A26" w:rsidRDefault="00F92952" w:rsidP="00F92952">
            <w:pPr>
              <w:pStyle w:val="StandaardSV"/>
              <w:rPr>
                <w:b/>
                <w:sz w:val="18"/>
                <w:szCs w:val="18"/>
              </w:rPr>
            </w:pPr>
            <w:r w:rsidRPr="00195A26">
              <w:rPr>
                <w:b/>
                <w:sz w:val="18"/>
                <w:szCs w:val="18"/>
              </w:rPr>
              <w:t>0,999</w:t>
            </w:r>
          </w:p>
        </w:tc>
        <w:tc>
          <w:tcPr>
            <w:tcW w:w="522" w:type="pct"/>
          </w:tcPr>
          <w:p w:rsidR="00F92952" w:rsidRPr="00195A26" w:rsidRDefault="00F92952" w:rsidP="00F92952">
            <w:pPr>
              <w:pStyle w:val="StandaardSV"/>
              <w:rPr>
                <w:b/>
                <w:sz w:val="18"/>
                <w:szCs w:val="18"/>
              </w:rPr>
            </w:pPr>
            <w:r w:rsidRPr="00195A26">
              <w:rPr>
                <w:b/>
                <w:sz w:val="18"/>
                <w:szCs w:val="18"/>
              </w:rPr>
              <w:t>0,999</w:t>
            </w:r>
          </w:p>
        </w:tc>
        <w:tc>
          <w:tcPr>
            <w:tcW w:w="522" w:type="pct"/>
          </w:tcPr>
          <w:p w:rsidR="00F92952" w:rsidRPr="00195A26" w:rsidRDefault="00F92952" w:rsidP="00F92952">
            <w:pPr>
              <w:pStyle w:val="StandaardSV"/>
              <w:rPr>
                <w:b/>
                <w:sz w:val="18"/>
                <w:szCs w:val="18"/>
              </w:rPr>
            </w:pPr>
            <w:r w:rsidRPr="00195A26">
              <w:rPr>
                <w:b/>
                <w:sz w:val="18"/>
                <w:szCs w:val="18"/>
              </w:rPr>
              <w:t>0,998</w:t>
            </w:r>
          </w:p>
        </w:tc>
        <w:tc>
          <w:tcPr>
            <w:tcW w:w="522" w:type="pct"/>
          </w:tcPr>
          <w:p w:rsidR="00F92952" w:rsidRPr="00195A26" w:rsidRDefault="00F92952" w:rsidP="00F92952">
            <w:pPr>
              <w:pStyle w:val="StandaardSV"/>
              <w:rPr>
                <w:b/>
                <w:sz w:val="18"/>
                <w:szCs w:val="18"/>
              </w:rPr>
            </w:pPr>
            <w:r w:rsidRPr="00195A26">
              <w:rPr>
                <w:b/>
                <w:sz w:val="18"/>
                <w:szCs w:val="18"/>
              </w:rPr>
              <w:t>0,998</w:t>
            </w:r>
          </w:p>
        </w:tc>
      </w:tr>
    </w:tbl>
    <w:p w:rsidR="00F92952" w:rsidRDefault="00F92952" w:rsidP="00EB336B"/>
    <w:p w:rsidR="00E82917" w:rsidRDefault="00E82917" w:rsidP="00EB336B"/>
    <w:p w:rsidR="00E82917" w:rsidRPr="00404B17" w:rsidRDefault="00E82917" w:rsidP="00E82917">
      <w:pPr>
        <w:rPr>
          <w:sz w:val="22"/>
          <w:szCs w:val="22"/>
        </w:rPr>
      </w:pPr>
      <w:r w:rsidRPr="00404B17">
        <w:rPr>
          <w:b/>
          <w:bCs/>
          <w:smallCaps/>
          <w:color w:val="FF0000"/>
          <w:sz w:val="22"/>
          <w:szCs w:val="22"/>
          <w:u w:val="single"/>
        </w:rPr>
        <w:t>bijlagen</w:t>
      </w:r>
    </w:p>
    <w:p w:rsidR="00E82917" w:rsidRDefault="00E82917" w:rsidP="00E82917">
      <w:pPr>
        <w:rPr>
          <w:szCs w:val="22"/>
        </w:rPr>
      </w:pPr>
    </w:p>
    <w:p w:rsidR="00E82917" w:rsidRPr="00404B17" w:rsidRDefault="00E82917" w:rsidP="00404B17">
      <w:pPr>
        <w:pStyle w:val="Lijstalinea"/>
        <w:widowControl w:val="0"/>
        <w:numPr>
          <w:ilvl w:val="0"/>
          <w:numId w:val="22"/>
        </w:numPr>
        <w:tabs>
          <w:tab w:val="left" w:pos="566"/>
        </w:tabs>
        <w:autoSpaceDE w:val="0"/>
        <w:autoSpaceDN w:val="0"/>
        <w:adjustRightInd w:val="0"/>
        <w:jc w:val="both"/>
        <w:rPr>
          <w:szCs w:val="24"/>
        </w:rPr>
      </w:pPr>
      <w:r w:rsidRPr="00404B17">
        <w:rPr>
          <w:szCs w:val="24"/>
        </w:rPr>
        <w:t>Gesteunde projecten binnen de O&amp;O-bedrijfssteun</w:t>
      </w:r>
    </w:p>
    <w:p w:rsidR="00E82917" w:rsidRPr="00404B17" w:rsidRDefault="00E82917" w:rsidP="00404B17">
      <w:pPr>
        <w:pStyle w:val="Lijstalinea"/>
        <w:widowControl w:val="0"/>
        <w:numPr>
          <w:ilvl w:val="0"/>
          <w:numId w:val="22"/>
        </w:numPr>
        <w:tabs>
          <w:tab w:val="left" w:pos="566"/>
        </w:tabs>
        <w:autoSpaceDE w:val="0"/>
        <w:autoSpaceDN w:val="0"/>
        <w:adjustRightInd w:val="0"/>
        <w:jc w:val="both"/>
        <w:rPr>
          <w:szCs w:val="24"/>
        </w:rPr>
      </w:pPr>
      <w:r w:rsidRPr="00404B17">
        <w:rPr>
          <w:szCs w:val="24"/>
        </w:rPr>
        <w:t xml:space="preserve">Gesteunde projecten binnen het </w:t>
      </w:r>
      <w:proofErr w:type="spellStart"/>
      <w:r w:rsidRPr="00404B17">
        <w:rPr>
          <w:szCs w:val="24"/>
        </w:rPr>
        <w:t>kmo</w:t>
      </w:r>
      <w:proofErr w:type="spellEnd"/>
      <w:r w:rsidRPr="00404B17">
        <w:rPr>
          <w:szCs w:val="24"/>
        </w:rPr>
        <w:t>-programma</w:t>
      </w:r>
      <w:bookmarkStart w:id="0" w:name="_GoBack"/>
      <w:bookmarkEnd w:id="0"/>
    </w:p>
    <w:sectPr w:rsidR="00E82917" w:rsidRPr="00404B17" w:rsidSect="00F92952">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29F635D"/>
    <w:multiLevelType w:val="hybridMultilevel"/>
    <w:tmpl w:val="55728EF2"/>
    <w:lvl w:ilvl="0" w:tplc="04130011">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32E23FC6"/>
    <w:multiLevelType w:val="hybridMultilevel"/>
    <w:tmpl w:val="D9D69F7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36437858"/>
    <w:multiLevelType w:val="hybridMultilevel"/>
    <w:tmpl w:val="123E2782"/>
    <w:lvl w:ilvl="0" w:tplc="24AAD592">
      <w:start w:val="1"/>
      <w:numFmt w:val="decimal"/>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39CA3821"/>
    <w:multiLevelType w:val="hybridMultilevel"/>
    <w:tmpl w:val="FB9069E6"/>
    <w:lvl w:ilvl="0" w:tplc="08130001">
      <w:start w:val="3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12F718E"/>
    <w:multiLevelType w:val="hybridMultilevel"/>
    <w:tmpl w:val="5B809A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4EA00C0D"/>
    <w:multiLevelType w:val="hybridMultilevel"/>
    <w:tmpl w:val="F88CC0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84D49D7"/>
    <w:multiLevelType w:val="hybridMultilevel"/>
    <w:tmpl w:val="FEE65CD2"/>
    <w:lvl w:ilvl="0" w:tplc="DC56871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5FDE0A43"/>
    <w:multiLevelType w:val="hybridMultilevel"/>
    <w:tmpl w:val="1EEC956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61821274"/>
    <w:multiLevelType w:val="hybridMultilevel"/>
    <w:tmpl w:val="B47C7C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5"/>
  </w:num>
  <w:num w:numId="2">
    <w:abstractNumId w:val="5"/>
  </w:num>
  <w:num w:numId="3">
    <w:abstractNumId w:val="1"/>
  </w:num>
  <w:num w:numId="4">
    <w:abstractNumId w:val="17"/>
  </w:num>
  <w:num w:numId="5">
    <w:abstractNumId w:val="12"/>
  </w:num>
  <w:num w:numId="6">
    <w:abstractNumId w:val="4"/>
  </w:num>
  <w:num w:numId="7">
    <w:abstractNumId w:val="3"/>
  </w:num>
  <w:num w:numId="8">
    <w:abstractNumId w:val="14"/>
  </w:num>
  <w:num w:numId="9">
    <w:abstractNumId w:val="7"/>
  </w:num>
  <w:num w:numId="10">
    <w:abstractNumId w:val="0"/>
  </w:num>
  <w:num w:numId="11">
    <w:abstractNumId w:val="20"/>
  </w:num>
  <w:num w:numId="12">
    <w:abstractNumId w:val="2"/>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18"/>
  </w:num>
  <w:num w:numId="18">
    <w:abstractNumId w:val="16"/>
  </w:num>
  <w:num w:numId="19">
    <w:abstractNumId w:val="11"/>
  </w:num>
  <w:num w:numId="20">
    <w:abstractNumId w:val="10"/>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37B3A"/>
    <w:rsid w:val="000464A2"/>
    <w:rsid w:val="00050D58"/>
    <w:rsid w:val="000574FA"/>
    <w:rsid w:val="00070064"/>
    <w:rsid w:val="00071DA4"/>
    <w:rsid w:val="00080040"/>
    <w:rsid w:val="000B174A"/>
    <w:rsid w:val="000B2C80"/>
    <w:rsid w:val="001452D0"/>
    <w:rsid w:val="00171F2E"/>
    <w:rsid w:val="00187BFC"/>
    <w:rsid w:val="00195A26"/>
    <w:rsid w:val="001C3346"/>
    <w:rsid w:val="001E37D0"/>
    <w:rsid w:val="001E4BBA"/>
    <w:rsid w:val="0020012F"/>
    <w:rsid w:val="002525FC"/>
    <w:rsid w:val="002A6E17"/>
    <w:rsid w:val="00343A8F"/>
    <w:rsid w:val="003927E4"/>
    <w:rsid w:val="00404B17"/>
    <w:rsid w:val="00427E2D"/>
    <w:rsid w:val="004434B3"/>
    <w:rsid w:val="004727ED"/>
    <w:rsid w:val="004D7979"/>
    <w:rsid w:val="004E2507"/>
    <w:rsid w:val="004F31C8"/>
    <w:rsid w:val="005051B9"/>
    <w:rsid w:val="00545F67"/>
    <w:rsid w:val="005A0D53"/>
    <w:rsid w:val="005C5EAF"/>
    <w:rsid w:val="00667CE6"/>
    <w:rsid w:val="00693743"/>
    <w:rsid w:val="006F29F5"/>
    <w:rsid w:val="006F49EA"/>
    <w:rsid w:val="0076364E"/>
    <w:rsid w:val="007820E4"/>
    <w:rsid w:val="0078435B"/>
    <w:rsid w:val="007862DC"/>
    <w:rsid w:val="007A7738"/>
    <w:rsid w:val="007E2BBA"/>
    <w:rsid w:val="0083747B"/>
    <w:rsid w:val="00842F2E"/>
    <w:rsid w:val="00844521"/>
    <w:rsid w:val="00941198"/>
    <w:rsid w:val="00975F5F"/>
    <w:rsid w:val="009864CE"/>
    <w:rsid w:val="009C170D"/>
    <w:rsid w:val="009E427F"/>
    <w:rsid w:val="009F10A6"/>
    <w:rsid w:val="00A06EE8"/>
    <w:rsid w:val="00A4543E"/>
    <w:rsid w:val="00AB0E6C"/>
    <w:rsid w:val="00AB5E4F"/>
    <w:rsid w:val="00AD78E8"/>
    <w:rsid w:val="00B6547D"/>
    <w:rsid w:val="00BC5E6B"/>
    <w:rsid w:val="00BD07FB"/>
    <w:rsid w:val="00BF3DF6"/>
    <w:rsid w:val="00C035B6"/>
    <w:rsid w:val="00C538DA"/>
    <w:rsid w:val="00C56510"/>
    <w:rsid w:val="00C75C7E"/>
    <w:rsid w:val="00CB2006"/>
    <w:rsid w:val="00CC63C8"/>
    <w:rsid w:val="00CF4E65"/>
    <w:rsid w:val="00D27643"/>
    <w:rsid w:val="00D9185A"/>
    <w:rsid w:val="00DF6517"/>
    <w:rsid w:val="00DF6BF3"/>
    <w:rsid w:val="00E01A50"/>
    <w:rsid w:val="00E82917"/>
    <w:rsid w:val="00EA3AEA"/>
    <w:rsid w:val="00EA7B92"/>
    <w:rsid w:val="00EB336B"/>
    <w:rsid w:val="00EE1632"/>
    <w:rsid w:val="00EE3A01"/>
    <w:rsid w:val="00EF296F"/>
    <w:rsid w:val="00F52CAF"/>
    <w:rsid w:val="00F92952"/>
    <w:rsid w:val="00FC1093"/>
    <w:rsid w:val="00FC466E"/>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D8DF4B-2B2B-471A-9C77-D340C1D2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27E4"/>
    <w:rPr>
      <w:sz w:val="24"/>
      <w:lang w:val="nl-NL" w:eastAsia="nl-NL"/>
    </w:rPr>
  </w:style>
  <w:style w:type="paragraph" w:styleId="Kop1">
    <w:name w:val="heading 1"/>
    <w:basedOn w:val="Standaard"/>
    <w:next w:val="Standaard"/>
    <w:qFormat/>
    <w:rsid w:val="003927E4"/>
    <w:pPr>
      <w:keepNext/>
      <w:numPr>
        <w:numId w:val="2"/>
      </w:numPr>
      <w:jc w:val="both"/>
      <w:outlineLvl w:val="0"/>
    </w:pPr>
    <w:rPr>
      <w:b/>
      <w:caps/>
    </w:rPr>
  </w:style>
  <w:style w:type="paragraph" w:styleId="Kop2">
    <w:name w:val="heading 2"/>
    <w:basedOn w:val="Standaard"/>
    <w:next w:val="Standaard"/>
    <w:qFormat/>
    <w:rsid w:val="003927E4"/>
    <w:pPr>
      <w:keepNext/>
      <w:tabs>
        <w:tab w:val="num" w:pos="567"/>
      </w:tabs>
      <w:ind w:left="567" w:hanging="567"/>
      <w:outlineLvl w:val="1"/>
    </w:pPr>
    <w:rPr>
      <w:b/>
    </w:rPr>
  </w:style>
  <w:style w:type="paragraph" w:styleId="Kop3">
    <w:name w:val="heading 3"/>
    <w:basedOn w:val="Standaard"/>
    <w:next w:val="Standaard"/>
    <w:qFormat/>
    <w:rsid w:val="003927E4"/>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3927E4"/>
    <w:pPr>
      <w:framePr w:w="7920" w:h="1980" w:hRule="exact" w:hSpace="141" w:wrap="auto" w:hAnchor="page" w:xAlign="center" w:yAlign="bottom"/>
      <w:ind w:left="2880"/>
    </w:pPr>
  </w:style>
  <w:style w:type="paragraph" w:styleId="Afzender">
    <w:name w:val="envelope return"/>
    <w:basedOn w:val="Standaard"/>
    <w:rsid w:val="003927E4"/>
  </w:style>
  <w:style w:type="paragraph" w:styleId="Inhopg1">
    <w:name w:val="toc 1"/>
    <w:basedOn w:val="Standaard"/>
    <w:next w:val="Standaard"/>
    <w:autoRedefine/>
    <w:semiHidden/>
    <w:rsid w:val="003927E4"/>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3927E4"/>
    <w:pPr>
      <w:tabs>
        <w:tab w:val="right" w:leader="dot" w:pos="9741"/>
      </w:tabs>
      <w:spacing w:before="80" w:after="80"/>
      <w:ind w:left="1134" w:hanging="567"/>
    </w:pPr>
    <w:rPr>
      <w:noProof/>
    </w:rPr>
  </w:style>
  <w:style w:type="paragraph" w:styleId="Inhopg3">
    <w:name w:val="toc 3"/>
    <w:basedOn w:val="Standaard"/>
    <w:next w:val="Standaard"/>
    <w:autoRedefine/>
    <w:semiHidden/>
    <w:rsid w:val="003927E4"/>
    <w:pPr>
      <w:tabs>
        <w:tab w:val="right" w:leader="dot" w:pos="9741"/>
      </w:tabs>
      <w:spacing w:before="40" w:after="40"/>
      <w:ind w:left="1701" w:hanging="567"/>
    </w:pPr>
    <w:rPr>
      <w:i/>
    </w:rPr>
  </w:style>
  <w:style w:type="paragraph" w:styleId="Plattetekst2">
    <w:name w:val="Body Text 2"/>
    <w:basedOn w:val="Standaard"/>
    <w:rsid w:val="003927E4"/>
    <w:pPr>
      <w:jc w:val="both"/>
    </w:pPr>
    <w:rPr>
      <w:i/>
      <w:sz w:val="22"/>
    </w:rPr>
  </w:style>
  <w:style w:type="paragraph" w:styleId="Ballontekst">
    <w:name w:val="Balloon Text"/>
    <w:basedOn w:val="Standaard"/>
    <w:link w:val="BallontekstChar"/>
    <w:rsid w:val="007820E4"/>
    <w:rPr>
      <w:rFonts w:ascii="Tahoma" w:hAnsi="Tahoma" w:cs="Tahoma"/>
      <w:sz w:val="16"/>
      <w:szCs w:val="16"/>
    </w:rPr>
  </w:style>
  <w:style w:type="paragraph" w:customStyle="1" w:styleId="SVVlaamsParlement">
    <w:name w:val="SV Vlaams Parlement"/>
    <w:basedOn w:val="Standaard"/>
    <w:rsid w:val="003927E4"/>
    <w:pPr>
      <w:jc w:val="both"/>
    </w:pPr>
    <w:rPr>
      <w:b/>
      <w:smallCaps/>
      <w:sz w:val="22"/>
    </w:rPr>
  </w:style>
  <w:style w:type="paragraph" w:customStyle="1" w:styleId="SVTitel">
    <w:name w:val="SV Titel"/>
    <w:basedOn w:val="Standaard"/>
    <w:rsid w:val="003927E4"/>
    <w:pPr>
      <w:jc w:val="both"/>
    </w:pPr>
    <w:rPr>
      <w:i/>
      <w:sz w:val="22"/>
    </w:rPr>
  </w:style>
  <w:style w:type="paragraph" w:customStyle="1" w:styleId="StandaardSV">
    <w:name w:val="Standaard SV"/>
    <w:basedOn w:val="Standaard"/>
    <w:rsid w:val="003927E4"/>
    <w:pPr>
      <w:jc w:val="both"/>
    </w:pPr>
    <w:rPr>
      <w:sz w:val="22"/>
    </w:rPr>
  </w:style>
  <w:style w:type="character" w:customStyle="1" w:styleId="BallontekstChar">
    <w:name w:val="Ballontekst Char"/>
    <w:basedOn w:val="Standaardalinea-lettertype"/>
    <w:link w:val="Ballontekst"/>
    <w:rsid w:val="007820E4"/>
    <w:rPr>
      <w:rFonts w:ascii="Tahoma" w:hAnsi="Tahoma" w:cs="Tahoma"/>
      <w:sz w:val="16"/>
      <w:szCs w:val="16"/>
      <w:lang w:val="nl-NL" w:eastAsia="nl-NL"/>
    </w:rPr>
  </w:style>
  <w:style w:type="table" w:styleId="Tabelraster">
    <w:name w:val="Table Grid"/>
    <w:basedOn w:val="Standaardtabel"/>
    <w:rsid w:val="00782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B5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13030">
      <w:bodyDiv w:val="1"/>
      <w:marLeft w:val="0"/>
      <w:marRight w:val="0"/>
      <w:marTop w:val="0"/>
      <w:marBottom w:val="0"/>
      <w:divBdr>
        <w:top w:val="none" w:sz="0" w:space="0" w:color="auto"/>
        <w:left w:val="none" w:sz="0" w:space="0" w:color="auto"/>
        <w:bottom w:val="none" w:sz="0" w:space="0" w:color="auto"/>
        <w:right w:val="none" w:sz="0" w:space="0" w:color="auto"/>
      </w:divBdr>
    </w:div>
    <w:div w:id="730617369">
      <w:bodyDiv w:val="1"/>
      <w:marLeft w:val="0"/>
      <w:marRight w:val="0"/>
      <w:marTop w:val="0"/>
      <w:marBottom w:val="0"/>
      <w:divBdr>
        <w:top w:val="none" w:sz="0" w:space="0" w:color="auto"/>
        <w:left w:val="none" w:sz="0" w:space="0" w:color="auto"/>
        <w:bottom w:val="none" w:sz="0" w:space="0" w:color="auto"/>
        <w:right w:val="none" w:sz="0" w:space="0" w:color="auto"/>
      </w:divBdr>
    </w:div>
    <w:div w:id="1068839346">
      <w:bodyDiv w:val="1"/>
      <w:marLeft w:val="0"/>
      <w:marRight w:val="0"/>
      <w:marTop w:val="0"/>
      <w:marBottom w:val="0"/>
      <w:divBdr>
        <w:top w:val="none" w:sz="0" w:space="0" w:color="auto"/>
        <w:left w:val="none" w:sz="0" w:space="0" w:color="auto"/>
        <w:bottom w:val="none" w:sz="0" w:space="0" w:color="auto"/>
        <w:right w:val="none" w:sz="0" w:space="0" w:color="auto"/>
      </w:divBdr>
    </w:div>
    <w:div w:id="20008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1454</Words>
  <Characters>7999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Bjorn De Vuyst</cp:lastModifiedBy>
  <cp:revision>3</cp:revision>
  <cp:lastPrinted>2013-06-06T10:25:00Z</cp:lastPrinted>
  <dcterms:created xsi:type="dcterms:W3CDTF">2013-06-17T12:31:00Z</dcterms:created>
  <dcterms:modified xsi:type="dcterms:W3CDTF">2013-06-21T11:43:00Z</dcterms:modified>
</cp:coreProperties>
</file>