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90A9" w14:textId="1F9EE4F2" w:rsidR="0068216A" w:rsidRPr="00D03794" w:rsidRDefault="009C1433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975564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BC47788" w14:textId="7E934DC6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975564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3B2A8DB3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6A8AD814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6B905F1D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1C9DD24D" w14:textId="68FE68E7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975564">
            <w:rPr>
              <w:sz w:val="22"/>
              <w:szCs w:val="22"/>
              <w:lang w:val="nl-BE"/>
            </w:rPr>
            <w:t>732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75564">
            <w:rPr>
              <w:sz w:val="22"/>
              <w:szCs w:val="22"/>
              <w:lang w:val="nl-BE"/>
            </w:rPr>
            <w:t>15 mei 2013</w:t>
          </w:r>
        </w:sdtContent>
      </w:sdt>
    </w:p>
    <w:p w14:paraId="6D9983B3" w14:textId="0F55D922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9C1433">
            <w:rPr>
              <w:b/>
              <w:caps/>
              <w:sz w:val="18"/>
              <w:szCs w:val="22"/>
              <w:lang w:val="nl-BE"/>
            </w:rPr>
            <w:t>Bjö</w:t>
          </w:r>
          <w:r w:rsidR="00975564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355E5EEB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71FACF9E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9C14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FBC46E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7EAB7651" w14:textId="77777777" w:rsidR="00CB244B" w:rsidRPr="00CB244B" w:rsidRDefault="00CB244B" w:rsidP="00651886">
      <w:pPr>
        <w:pStyle w:val="StandaardSV"/>
      </w:pPr>
    </w:p>
    <w:p w14:paraId="27B4BDE0" w14:textId="77777777" w:rsidR="00975564" w:rsidRDefault="00975564" w:rsidP="00975564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  <w:rPr>
          <w:b/>
        </w:rPr>
      </w:pPr>
      <w:r>
        <w:t xml:space="preserve">In onderstaande tabel vindt u het aantal </w:t>
      </w:r>
      <w:proofErr w:type="spellStart"/>
      <w:r>
        <w:t>IBO’s</w:t>
      </w:r>
      <w:proofErr w:type="spellEnd"/>
      <w:r>
        <w:t xml:space="preserve"> die door jongeren onder de 25 jaar werden ingevuld:</w:t>
      </w:r>
    </w:p>
    <w:p w14:paraId="5BE51304" w14:textId="77777777" w:rsidR="00975564" w:rsidRDefault="00975564" w:rsidP="00975564">
      <w:pPr>
        <w:pStyle w:val="StandaardSV"/>
        <w:tabs>
          <w:tab w:val="left" w:pos="360"/>
        </w:tabs>
        <w:rPr>
          <w:b/>
        </w:rPr>
      </w:pPr>
    </w:p>
    <w:tbl>
      <w:tblPr>
        <w:tblW w:w="3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75564" w14:paraId="604068CE" w14:textId="77777777" w:rsidTr="00975564">
        <w:trPr>
          <w:trHeight w:val="300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1755B8" w14:textId="77777777" w:rsidR="00975564" w:rsidRDefault="009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Aantal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IBO's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gestart door -25-jarigen</w:t>
            </w:r>
          </w:p>
        </w:tc>
      </w:tr>
      <w:tr w:rsidR="00975564" w14:paraId="551DD784" w14:textId="77777777" w:rsidTr="00975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9582" w14:textId="77777777" w:rsidR="00975564" w:rsidRDefault="009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5A91" w14:textId="77777777" w:rsidR="00975564" w:rsidRDefault="009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4B4F" w14:textId="77777777" w:rsidR="00975564" w:rsidRDefault="009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1FF59" w14:textId="77777777" w:rsidR="00975564" w:rsidRDefault="00975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975564" w14:paraId="32C0C4AF" w14:textId="77777777" w:rsidTr="00975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C93A" w14:textId="77777777" w:rsidR="00975564" w:rsidRDefault="009755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B3F4" w14:textId="77777777" w:rsidR="00975564" w:rsidRDefault="009755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1511D" w14:textId="77777777" w:rsidR="00975564" w:rsidRDefault="009755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1853A" w14:textId="77777777" w:rsidR="00975564" w:rsidRDefault="009755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6.496</w:t>
            </w:r>
          </w:p>
        </w:tc>
      </w:tr>
    </w:tbl>
    <w:p w14:paraId="28463369" w14:textId="77777777" w:rsidR="00975564" w:rsidRDefault="00975564" w:rsidP="00975564">
      <w:pPr>
        <w:pStyle w:val="StandaardSV"/>
        <w:tabs>
          <w:tab w:val="left" w:pos="360"/>
        </w:tabs>
        <w:rPr>
          <w:b/>
        </w:rPr>
      </w:pPr>
    </w:p>
    <w:p w14:paraId="70EFA2B6" w14:textId="3DBBDBF6" w:rsidR="00975564" w:rsidRDefault="00975564" w:rsidP="00975564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</w:pPr>
      <w:r w:rsidRPr="00975564">
        <w:t>We legg</w:t>
      </w:r>
      <w:r>
        <w:t xml:space="preserve">en geen streefcijfers op naar aandelen van bepaalde groepen binnen IBO. De maatregel wordt in functie van de behoefte van de werkzoekende en de werkgever voorgesteld. </w:t>
      </w:r>
    </w:p>
    <w:p w14:paraId="6B77ACE3" w14:textId="77777777" w:rsidR="009C1433" w:rsidRDefault="009C1433" w:rsidP="009C1433">
      <w:pPr>
        <w:pStyle w:val="StandaardSV"/>
        <w:ind w:left="360"/>
      </w:pPr>
    </w:p>
    <w:p w14:paraId="6AF230B3" w14:textId="741C3596" w:rsidR="00975564" w:rsidRDefault="00975564" w:rsidP="00975564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</w:pPr>
      <w:r>
        <w:t xml:space="preserve">We hebben geen standaardmonitoring van het aantal eenoudergezinnen in IBO, het aandeel van de vier prioritaire kansengroepen wordt jaarlijks opgevolgd via de evaluatie van de VDAB-beheersovereenkomst. </w:t>
      </w:r>
      <w:r w:rsidR="0097658C">
        <w:t xml:space="preserve">In 2009 en 2010 werd het aantal allochtonen nog via de oude methode vastgesteld, er is een breuk in de tijdreeks. </w:t>
      </w:r>
    </w:p>
    <w:p w14:paraId="6A2F8465" w14:textId="5DF955A1" w:rsidR="00975564" w:rsidRDefault="00975564" w:rsidP="00975564">
      <w:pPr>
        <w:pStyle w:val="StandaardSV"/>
        <w:ind w:left="360"/>
        <w:rPr>
          <w:rFonts w:asciiTheme="minorHAnsi" w:hAnsiTheme="minorHAnsi" w:cstheme="minorHAnsi"/>
          <w:noProof/>
          <w:lang w:val="nl-BE" w:eastAsia="nl-BE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77"/>
        <w:gridCol w:w="1895"/>
        <w:gridCol w:w="1804"/>
        <w:gridCol w:w="1660"/>
        <w:gridCol w:w="1890"/>
      </w:tblGrid>
      <w:tr w:rsidR="0097658C" w14:paraId="2C0ECE83" w14:textId="77777777" w:rsidTr="0097658C">
        <w:tc>
          <w:tcPr>
            <w:tcW w:w="1863" w:type="dxa"/>
          </w:tcPr>
          <w:p w14:paraId="18C7B4AF" w14:textId="77777777" w:rsidR="0097658C" w:rsidRDefault="0097658C" w:rsidP="00975564">
            <w:pPr>
              <w:pStyle w:val="StandaardSV"/>
            </w:pPr>
          </w:p>
        </w:tc>
        <w:tc>
          <w:tcPr>
            <w:tcW w:w="1935" w:type="dxa"/>
          </w:tcPr>
          <w:p w14:paraId="406B5971" w14:textId="66D63647" w:rsidR="0097658C" w:rsidRDefault="0097658C" w:rsidP="00975564">
            <w:pPr>
              <w:pStyle w:val="StandaardSV"/>
            </w:pPr>
            <w:r>
              <w:t>kortgeschoolden</w:t>
            </w:r>
          </w:p>
        </w:tc>
        <w:tc>
          <w:tcPr>
            <w:tcW w:w="1905" w:type="dxa"/>
          </w:tcPr>
          <w:p w14:paraId="715322E8" w14:textId="42ED4212" w:rsidR="0097658C" w:rsidRDefault="0097658C" w:rsidP="00975564">
            <w:pPr>
              <w:pStyle w:val="StandaardSV"/>
            </w:pPr>
            <w:r>
              <w:t>allochtonen</w:t>
            </w:r>
          </w:p>
        </w:tc>
        <w:tc>
          <w:tcPr>
            <w:tcW w:w="1857" w:type="dxa"/>
          </w:tcPr>
          <w:p w14:paraId="1D6F1CD6" w14:textId="230C852E" w:rsidR="0097658C" w:rsidRDefault="0097658C" w:rsidP="00975564">
            <w:pPr>
              <w:pStyle w:val="StandaardSV"/>
            </w:pPr>
            <w:r>
              <w:t>50+</w:t>
            </w:r>
          </w:p>
        </w:tc>
        <w:tc>
          <w:tcPr>
            <w:tcW w:w="1934" w:type="dxa"/>
          </w:tcPr>
          <w:p w14:paraId="4AB20FA3" w14:textId="732D6A4D" w:rsidR="0097658C" w:rsidRDefault="0097658C" w:rsidP="00975564">
            <w:pPr>
              <w:pStyle w:val="StandaardSV"/>
            </w:pPr>
            <w:r>
              <w:t>Personen met een arbeidshandicap</w:t>
            </w:r>
          </w:p>
        </w:tc>
      </w:tr>
      <w:tr w:rsidR="0097658C" w14:paraId="711BE7AB" w14:textId="77777777" w:rsidTr="0097658C">
        <w:tc>
          <w:tcPr>
            <w:tcW w:w="1863" w:type="dxa"/>
          </w:tcPr>
          <w:p w14:paraId="4F153974" w14:textId="2FADBD33" w:rsidR="0097658C" w:rsidRDefault="0097658C" w:rsidP="00975564">
            <w:pPr>
              <w:pStyle w:val="StandaardSV"/>
            </w:pPr>
            <w:r>
              <w:t>2009</w:t>
            </w:r>
          </w:p>
        </w:tc>
        <w:tc>
          <w:tcPr>
            <w:tcW w:w="1935" w:type="dxa"/>
          </w:tcPr>
          <w:p w14:paraId="7C49E404" w14:textId="47B33280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38,6%</w:t>
            </w:r>
          </w:p>
        </w:tc>
        <w:tc>
          <w:tcPr>
            <w:tcW w:w="1905" w:type="dxa"/>
          </w:tcPr>
          <w:p w14:paraId="39BD553B" w14:textId="4F215613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13,2%</w:t>
            </w:r>
          </w:p>
        </w:tc>
        <w:tc>
          <w:tcPr>
            <w:tcW w:w="1857" w:type="dxa"/>
          </w:tcPr>
          <w:p w14:paraId="2F7B81F1" w14:textId="3E5D55D6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2,6%</w:t>
            </w:r>
          </w:p>
        </w:tc>
        <w:tc>
          <w:tcPr>
            <w:tcW w:w="1934" w:type="dxa"/>
          </w:tcPr>
          <w:p w14:paraId="3034B54C" w14:textId="5EE8371F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6,8%</w:t>
            </w:r>
          </w:p>
        </w:tc>
      </w:tr>
      <w:tr w:rsidR="0097658C" w14:paraId="23672286" w14:textId="77777777" w:rsidTr="0097658C">
        <w:tc>
          <w:tcPr>
            <w:tcW w:w="1863" w:type="dxa"/>
          </w:tcPr>
          <w:p w14:paraId="56937AC3" w14:textId="3740183B" w:rsidR="0097658C" w:rsidRDefault="0097658C" w:rsidP="00975564">
            <w:pPr>
              <w:pStyle w:val="StandaardSV"/>
            </w:pPr>
            <w:r>
              <w:t>2010</w:t>
            </w:r>
          </w:p>
        </w:tc>
        <w:tc>
          <w:tcPr>
            <w:tcW w:w="1935" w:type="dxa"/>
          </w:tcPr>
          <w:p w14:paraId="72D97D67" w14:textId="40A53749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37,0%</w:t>
            </w:r>
          </w:p>
        </w:tc>
        <w:tc>
          <w:tcPr>
            <w:tcW w:w="1905" w:type="dxa"/>
          </w:tcPr>
          <w:p w14:paraId="1CACCE35" w14:textId="4CF000B3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13,5%</w:t>
            </w:r>
          </w:p>
        </w:tc>
        <w:tc>
          <w:tcPr>
            <w:tcW w:w="1857" w:type="dxa"/>
          </w:tcPr>
          <w:p w14:paraId="2C6F8F69" w14:textId="1DB2CC6F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3,0%</w:t>
            </w:r>
          </w:p>
        </w:tc>
        <w:tc>
          <w:tcPr>
            <w:tcW w:w="1934" w:type="dxa"/>
          </w:tcPr>
          <w:p w14:paraId="4EDD85E9" w14:textId="0D977742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6,8%</w:t>
            </w:r>
          </w:p>
        </w:tc>
      </w:tr>
      <w:tr w:rsidR="0097658C" w14:paraId="03DF7C3C" w14:textId="77777777" w:rsidTr="0097658C">
        <w:tc>
          <w:tcPr>
            <w:tcW w:w="1863" w:type="dxa"/>
          </w:tcPr>
          <w:p w14:paraId="46A43137" w14:textId="30EE6CF2" w:rsidR="0097658C" w:rsidRDefault="0097658C" w:rsidP="00975564">
            <w:pPr>
              <w:pStyle w:val="StandaardSV"/>
            </w:pPr>
            <w:r>
              <w:t>2011</w:t>
            </w:r>
          </w:p>
        </w:tc>
        <w:tc>
          <w:tcPr>
            <w:tcW w:w="1935" w:type="dxa"/>
          </w:tcPr>
          <w:p w14:paraId="2400F036" w14:textId="1D46BCBF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35,6%</w:t>
            </w:r>
          </w:p>
        </w:tc>
        <w:tc>
          <w:tcPr>
            <w:tcW w:w="1905" w:type="dxa"/>
          </w:tcPr>
          <w:p w14:paraId="530C0A4D" w14:textId="2E57BF26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15,1%</w:t>
            </w:r>
          </w:p>
        </w:tc>
        <w:tc>
          <w:tcPr>
            <w:tcW w:w="1857" w:type="dxa"/>
          </w:tcPr>
          <w:p w14:paraId="0FF41F24" w14:textId="6F59820F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2,8%</w:t>
            </w:r>
          </w:p>
        </w:tc>
        <w:tc>
          <w:tcPr>
            <w:tcW w:w="1934" w:type="dxa"/>
          </w:tcPr>
          <w:p w14:paraId="235B6286" w14:textId="06C6CE09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6,8%</w:t>
            </w:r>
          </w:p>
        </w:tc>
      </w:tr>
      <w:tr w:rsidR="0097658C" w14:paraId="3A40AD04" w14:textId="77777777" w:rsidTr="0097658C">
        <w:tc>
          <w:tcPr>
            <w:tcW w:w="1863" w:type="dxa"/>
          </w:tcPr>
          <w:p w14:paraId="30FAF7A7" w14:textId="7B2F2634" w:rsidR="0097658C" w:rsidRDefault="0097658C" w:rsidP="00975564">
            <w:pPr>
              <w:pStyle w:val="StandaardSV"/>
            </w:pPr>
            <w:r>
              <w:t>2012</w:t>
            </w:r>
          </w:p>
        </w:tc>
        <w:tc>
          <w:tcPr>
            <w:tcW w:w="1935" w:type="dxa"/>
          </w:tcPr>
          <w:p w14:paraId="26FB8362" w14:textId="3DC39AF7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34,6%</w:t>
            </w:r>
          </w:p>
        </w:tc>
        <w:tc>
          <w:tcPr>
            <w:tcW w:w="1905" w:type="dxa"/>
          </w:tcPr>
          <w:p w14:paraId="19EC058B" w14:textId="774CF2C3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15,1%</w:t>
            </w:r>
          </w:p>
        </w:tc>
        <w:tc>
          <w:tcPr>
            <w:tcW w:w="1857" w:type="dxa"/>
          </w:tcPr>
          <w:p w14:paraId="0E9D6F27" w14:textId="57DF5B14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3,2%</w:t>
            </w:r>
          </w:p>
        </w:tc>
        <w:tc>
          <w:tcPr>
            <w:tcW w:w="1934" w:type="dxa"/>
          </w:tcPr>
          <w:p w14:paraId="48BDF3D9" w14:textId="13DAE572" w:rsidR="0097658C" w:rsidRDefault="0097658C" w:rsidP="00975564">
            <w:pPr>
              <w:pStyle w:val="StandaardSV"/>
            </w:pPr>
            <w:r>
              <w:rPr>
                <w:rFonts w:ascii="Calibri" w:hAnsi="Calibri" w:cs="Calibri"/>
                <w:sz w:val="18"/>
                <w:szCs w:val="18"/>
              </w:rPr>
              <w:t>6,5%</w:t>
            </w:r>
          </w:p>
        </w:tc>
      </w:tr>
    </w:tbl>
    <w:p w14:paraId="4156FC72" w14:textId="77777777" w:rsidR="00975564" w:rsidRPr="00975564" w:rsidRDefault="00975564" w:rsidP="00975564">
      <w:pPr>
        <w:pStyle w:val="StandaardSV"/>
        <w:ind w:left="360"/>
      </w:pPr>
    </w:p>
    <w:p w14:paraId="282F01B6" w14:textId="77777777" w:rsidR="00975564" w:rsidRDefault="00975564" w:rsidP="00975564">
      <w:pPr>
        <w:pStyle w:val="StandaardSV"/>
        <w:numPr>
          <w:ilvl w:val="0"/>
          <w:numId w:val="14"/>
        </w:numPr>
        <w:tabs>
          <w:tab w:val="left" w:pos="360"/>
          <w:tab w:val="num" w:pos="720"/>
        </w:tabs>
        <w:rPr>
          <w:b/>
        </w:rPr>
      </w:pPr>
      <w:r>
        <w:t>Van januari tot en met april 2013 zijn er 1.973 jongeren onder de 25 jaar in een IBO gestart.</w:t>
      </w:r>
      <w:bookmarkStart w:id="0" w:name="_GoBack"/>
      <w:bookmarkEnd w:id="0"/>
    </w:p>
    <w:sectPr w:rsidR="00975564" w:rsidSect="009C1433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9B1C" w14:textId="77777777" w:rsidR="00313C88" w:rsidRDefault="00313C88" w:rsidP="00464A7A">
      <w:r>
        <w:separator/>
      </w:r>
    </w:p>
  </w:endnote>
  <w:endnote w:type="continuationSeparator" w:id="0">
    <w:p w14:paraId="344D46EE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A49F5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8783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9729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7E3E" w14:textId="77777777" w:rsidR="00313C88" w:rsidRDefault="00313C88" w:rsidP="00464A7A">
      <w:r>
        <w:separator/>
      </w:r>
    </w:p>
  </w:footnote>
  <w:footnote w:type="continuationSeparator" w:id="0">
    <w:p w14:paraId="755701BD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0EB5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C89D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835BE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75564"/>
    <w:rsid w:val="0097658C"/>
    <w:rsid w:val="009A3970"/>
    <w:rsid w:val="009C0FF4"/>
    <w:rsid w:val="009C1433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7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97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13A6F66D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13A6F66E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13A6F66F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13A6F670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13A6F671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6F66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732 Individuele beroepsopleiding - 25-jarigen</Titel_x0020_vraag>
    <Vraagnummer xmlns="7a2e3783-fe9a-4a2f-bbf4-debb4ac58a5c">732</Vraagnummer>
    <DatumVraag xmlns="7a2e3783-fe9a-4a2f-bbf4-debb4ac58a5c">2013-05-14T22:00:00+00:00</DatumVraag>
    <DocumentSetDescription xmlns="http://schemas.microsoft.com/sharepoint/v3" xsi:nil="true"/>
    <Antwoord_x0020_vereist xmlns="7a2e3783-fe9a-4a2f-bbf4-debb4ac58a5c">2013-06-04T22:00:00+00:00</Antwoord_x0020_vereist>
    <Onderwerp_x0020_vraag xmlns="7a2e3783-fe9a-4a2f-bbf4-debb4ac58a5c">Individuele beroepsopleiding - 25-jarigen</Onderwerp_x0020_vraag>
    <TaxCatchAll xmlns="7a2e3783-fe9a-4a2f-bbf4-debb4ac58a5c"/>
    <Antwoordnummer xmlns="7a2e3783-fe9a-4a2f-bbf4-debb4ac58a5c">732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In behandeling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609</DocSetId>
    <Extern_x0020_Agentschap xmlns="ad923ab5-f988-4e82-b3fb-7226e10f9616">1</Extern_x0020_Agentscha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82e040-88e9-4975-bc13-a42fab7bb9ce"/>
    <ds:schemaRef ds:uri="ad923ab5-f988-4e82-b3fb-7226e10f9616"/>
    <ds:schemaRef ds:uri="7a2e3783-fe9a-4a2f-bbf4-debb4ac58a5c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7723BD-0B0E-41EF-8E99-C5F3E4B2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Individuele beroepsopleiding</vt:lpstr>
      <vt:lpstr/>
    </vt:vector>
  </TitlesOfParts>
  <Company>MVG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beroepsopleiding</dc:title>
  <dc:creator/>
  <dc:description/>
  <cp:lastModifiedBy>Nathalie De Keyzer</cp:lastModifiedBy>
  <cp:revision>4</cp:revision>
  <cp:lastPrinted>1900-12-31T23:00:00Z</cp:lastPrinted>
  <dcterms:created xsi:type="dcterms:W3CDTF">2013-03-27T13:46:00Z</dcterms:created>
  <dcterms:modified xsi:type="dcterms:W3CDTF">2013-06-18T07:37:00Z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56ebf8c0-e1a8-4d47-8e6c-dec76eeeeb15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</Properties>
</file>