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B4E98"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7B4E98"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7B4E98"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B4E98" w:rsidRPr="00326A58">
        <w:rPr>
          <w:b w:val="0"/>
        </w:rPr>
      </w:r>
      <w:r w:rsidR="007B4E98" w:rsidRPr="00326A58">
        <w:rPr>
          <w:b w:val="0"/>
        </w:rPr>
        <w:fldChar w:fldCharType="separate"/>
      </w:r>
      <w:r w:rsidR="00CF2BE6">
        <w:rPr>
          <w:b w:val="0"/>
          <w:noProof/>
        </w:rPr>
        <w:t>40</w:t>
      </w:r>
      <w:r w:rsidR="00516D51">
        <w:rPr>
          <w:b w:val="0"/>
          <w:noProof/>
        </w:rPr>
        <w:t>8</w:t>
      </w:r>
      <w:r w:rsidR="007B4E98"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7B4E98">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B4E98">
        <w:rPr>
          <w:b w:val="0"/>
        </w:rPr>
      </w:r>
      <w:r w:rsidR="007B4E98">
        <w:rPr>
          <w:b w:val="0"/>
        </w:rPr>
        <w:fldChar w:fldCharType="separate"/>
      </w:r>
      <w:r w:rsidR="00CD4759">
        <w:rPr>
          <w:b w:val="0"/>
          <w:noProof/>
        </w:rPr>
        <w:t>17</w:t>
      </w:r>
      <w:r w:rsidR="007B4E98">
        <w:rPr>
          <w:b w:val="0"/>
        </w:rPr>
        <w:fldChar w:fldCharType="end"/>
      </w:r>
      <w:bookmarkEnd w:id="3"/>
      <w:r w:rsidRPr="00326A58">
        <w:rPr>
          <w:b w:val="0"/>
        </w:rPr>
        <w:t xml:space="preserve"> </w:t>
      </w:r>
      <w:bookmarkStart w:id="4" w:name="Dropdown2"/>
      <w:r w:rsidR="007B4E98">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B4E98">
        <w:rPr>
          <w:b w:val="0"/>
        </w:rPr>
      </w:r>
      <w:r w:rsidR="007B4E98">
        <w:rPr>
          <w:b w:val="0"/>
        </w:rPr>
        <w:fldChar w:fldCharType="end"/>
      </w:r>
      <w:bookmarkEnd w:id="4"/>
      <w:r w:rsidRPr="00326A58">
        <w:rPr>
          <w:b w:val="0"/>
        </w:rPr>
        <w:t xml:space="preserve"> </w:t>
      </w:r>
      <w:bookmarkStart w:id="5" w:name="Dropdown3"/>
      <w:r w:rsidR="007B4E98">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B4E98">
        <w:rPr>
          <w:b w:val="0"/>
        </w:rPr>
      </w:r>
      <w:r w:rsidR="007B4E98">
        <w:rPr>
          <w:b w:val="0"/>
        </w:rPr>
        <w:fldChar w:fldCharType="end"/>
      </w:r>
      <w:bookmarkEnd w:id="5"/>
    </w:p>
    <w:p w:rsidR="000976E9" w:rsidRDefault="000976E9" w:rsidP="000976E9">
      <w:pPr>
        <w:rPr>
          <w:szCs w:val="22"/>
        </w:rPr>
      </w:pPr>
      <w:r>
        <w:rPr>
          <w:szCs w:val="22"/>
        </w:rPr>
        <w:t xml:space="preserve">van </w:t>
      </w:r>
      <w:r w:rsidR="007B4E98"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B4E98" w:rsidRPr="009D7043">
        <w:rPr>
          <w:rStyle w:val="AntwoordNaamMinisterChar"/>
        </w:rPr>
      </w:r>
      <w:r w:rsidR="007B4E98" w:rsidRPr="009D7043">
        <w:rPr>
          <w:rStyle w:val="AntwoordNaamMinisterChar"/>
        </w:rPr>
        <w:fldChar w:fldCharType="separate"/>
      </w:r>
      <w:r w:rsidR="00CF2BE6">
        <w:rPr>
          <w:rStyle w:val="AntwoordNaamMinisterChar"/>
        </w:rPr>
        <w:t>robrecht bothuyne</w:t>
      </w:r>
      <w:r w:rsidR="007B4E98"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16D51" w:rsidRDefault="00516D51" w:rsidP="00516D51">
      <w:pPr>
        <w:numPr>
          <w:ilvl w:val="0"/>
          <w:numId w:val="5"/>
        </w:numPr>
        <w:tabs>
          <w:tab w:val="left" w:pos="708"/>
          <w:tab w:val="left" w:pos="851"/>
          <w:tab w:val="left" w:pos="1134"/>
          <w:tab w:val="center" w:pos="4253"/>
          <w:tab w:val="right" w:pos="8278"/>
        </w:tabs>
        <w:jc w:val="both"/>
      </w:pPr>
      <w:r>
        <w:lastRenderedPageBreak/>
        <w:t xml:space="preserve">Het </w:t>
      </w:r>
      <w:proofErr w:type="spellStart"/>
      <w:r>
        <w:t>groenestroomcertificatenquotum</w:t>
      </w:r>
      <w:proofErr w:type="spellEnd"/>
      <w:r>
        <w:t xml:space="preserve"> op 31 maart 2013 bedroeg 3.799.806.</w:t>
      </w:r>
    </w:p>
    <w:p w:rsidR="00516D51" w:rsidRDefault="00516D51" w:rsidP="00516D51">
      <w:pPr>
        <w:tabs>
          <w:tab w:val="left" w:pos="708"/>
        </w:tabs>
        <w:jc w:val="both"/>
      </w:pPr>
    </w:p>
    <w:p w:rsidR="00516D51" w:rsidRDefault="00516D51" w:rsidP="00516D51">
      <w:pPr>
        <w:numPr>
          <w:ilvl w:val="0"/>
          <w:numId w:val="5"/>
        </w:numPr>
        <w:tabs>
          <w:tab w:val="left" w:pos="708"/>
          <w:tab w:val="left" w:pos="851"/>
          <w:tab w:val="left" w:pos="1134"/>
          <w:tab w:val="center" w:pos="4253"/>
          <w:tab w:val="right" w:pos="8278"/>
        </w:tabs>
        <w:jc w:val="both"/>
        <w:rPr>
          <w:rFonts w:ascii="Calibri" w:hAnsi="Calibri" w:cs="Calibri"/>
          <w:color w:val="000000"/>
          <w:szCs w:val="22"/>
          <w:lang w:val="nl-BE" w:eastAsia="nl-BE"/>
        </w:rPr>
      </w:pPr>
      <w:r>
        <w:t xml:space="preserve">Slechts één leverancier heeft in zeer beperkte mate onvoldoende </w:t>
      </w:r>
      <w:proofErr w:type="spellStart"/>
      <w:r>
        <w:t>groenestroomcertificaten</w:t>
      </w:r>
      <w:proofErr w:type="spellEnd"/>
      <w:r>
        <w:t xml:space="preserve"> ingediend. Ik verwijs hiervoor naar het antwoord op uw schriftelijke vraag 407.</w:t>
      </w:r>
    </w:p>
    <w:p w:rsidR="00516D51" w:rsidRDefault="00516D51" w:rsidP="00516D51">
      <w:pPr>
        <w:pStyle w:val="Lijstalinea"/>
        <w:rPr>
          <w:rFonts w:ascii="Times New Roman" w:hAnsi="Times New Roman"/>
          <w:sz w:val="22"/>
        </w:rPr>
      </w:pPr>
    </w:p>
    <w:p w:rsidR="00516D51" w:rsidRDefault="00516D51" w:rsidP="00516D51">
      <w:pPr>
        <w:numPr>
          <w:ilvl w:val="0"/>
          <w:numId w:val="5"/>
        </w:numPr>
        <w:tabs>
          <w:tab w:val="left" w:pos="708"/>
          <w:tab w:val="left" w:pos="851"/>
          <w:tab w:val="left" w:pos="1134"/>
          <w:tab w:val="center" w:pos="4253"/>
          <w:tab w:val="right" w:pos="8278"/>
        </w:tabs>
        <w:jc w:val="both"/>
      </w:pPr>
      <w:r>
        <w:t xml:space="preserve">Het overschot aan certificaten na het beëindigen van de inleveringsronde bedroeg 4.560.369 (121% van het aantal in te leveren </w:t>
      </w:r>
      <w:proofErr w:type="spellStart"/>
      <w:r>
        <w:t>groenestroomcertificaten</w:t>
      </w:r>
      <w:proofErr w:type="spellEnd"/>
      <w:r>
        <w:t>).</w:t>
      </w:r>
    </w:p>
    <w:p w:rsidR="00516D51" w:rsidRDefault="00516D51" w:rsidP="00516D51">
      <w:pPr>
        <w:tabs>
          <w:tab w:val="left" w:pos="708"/>
        </w:tabs>
        <w:jc w:val="both"/>
      </w:pPr>
    </w:p>
    <w:p w:rsidR="00516D51" w:rsidRDefault="00516D51" w:rsidP="00516D51">
      <w:pPr>
        <w:numPr>
          <w:ilvl w:val="0"/>
          <w:numId w:val="5"/>
        </w:numPr>
        <w:tabs>
          <w:tab w:val="left" w:pos="708"/>
          <w:tab w:val="left" w:pos="851"/>
          <w:tab w:val="left" w:pos="1134"/>
          <w:tab w:val="center" w:pos="4253"/>
          <w:tab w:val="right" w:pos="8278"/>
        </w:tabs>
        <w:jc w:val="both"/>
      </w:pPr>
      <w:r>
        <w:t xml:space="preserve">Dit overschot evolueert als volgt: in 2010 – 2011 – 2012 bedroeg het aantal beschikbare GSC na de inleveringsronde respectievelijk 1.055.676, 1.619.456 en 2.896.891 (respectievelijk 51%, 65% en 105% van het aantal in te leveren </w:t>
      </w:r>
      <w:proofErr w:type="spellStart"/>
      <w:r>
        <w:t>groenestroomcertificaten</w:t>
      </w:r>
      <w:proofErr w:type="spellEnd"/>
      <w:r>
        <w:t>).</w:t>
      </w:r>
    </w:p>
    <w:p w:rsidR="00516D51" w:rsidRDefault="00516D51" w:rsidP="00516D51">
      <w:pPr>
        <w:pStyle w:val="Lijstalinea"/>
        <w:rPr>
          <w:rFonts w:ascii="Times New Roman" w:hAnsi="Times New Roman"/>
          <w:sz w:val="22"/>
        </w:rPr>
      </w:pPr>
    </w:p>
    <w:p w:rsidR="00516D51" w:rsidRDefault="00516D51" w:rsidP="00516D51">
      <w:pPr>
        <w:numPr>
          <w:ilvl w:val="0"/>
          <w:numId w:val="5"/>
        </w:numPr>
        <w:tabs>
          <w:tab w:val="left" w:pos="708"/>
          <w:tab w:val="left" w:pos="851"/>
          <w:tab w:val="left" w:pos="1134"/>
          <w:tab w:val="center" w:pos="4253"/>
          <w:tab w:val="right" w:pos="8278"/>
        </w:tabs>
        <w:jc w:val="both"/>
      </w:pPr>
      <w:r>
        <w:t xml:space="preserve">Het Energiedecreet voorziet dat het Vlaams Energieagentschap een evaluatie van de quotadoelstellingen aan de Vlaamse Regering voorlegt indien het aantal beschikbare certificaten minder dan 105% of meer dan 125% bedraagt van het aantal voor te leggen certificaten, of de verhouding tussen het aantal toegekende voor de certificatenverplichting aanvaardbare certificaten en de gerealiseerde </w:t>
      </w:r>
      <w:proofErr w:type="spellStart"/>
      <w:r>
        <w:t>groenestroomproductie</w:t>
      </w:r>
      <w:proofErr w:type="spellEnd"/>
      <w:r>
        <w:t xml:space="preserve"> meer dan 5%  afwijkt van de verhouding bij de vorige evaluatie. Gezien het aantal beschikbare certificaten per 31 maart 2013 meer dan 125% van het aantal voor te leggen certificaten bedroeg, zal een dergelijke evaluatie worden uitgevoerd. Deze evaluatie zal mij tegen 1 juli worden bezorgd.</w:t>
      </w:r>
    </w:p>
    <w:p w:rsidR="00516D51" w:rsidRDefault="00516D51" w:rsidP="00516D51">
      <w:pPr>
        <w:jc w:val="both"/>
      </w:pPr>
    </w:p>
    <w:p w:rsidR="00516D51" w:rsidRDefault="00516D51" w:rsidP="00516D51">
      <w:pPr>
        <w:numPr>
          <w:ilvl w:val="0"/>
          <w:numId w:val="5"/>
        </w:numPr>
        <w:tabs>
          <w:tab w:val="left" w:pos="708"/>
          <w:tab w:val="left" w:pos="851"/>
          <w:tab w:val="left" w:pos="1134"/>
          <w:tab w:val="center" w:pos="4253"/>
          <w:tab w:val="right" w:pos="8278"/>
        </w:tabs>
        <w:jc w:val="both"/>
      </w:pPr>
      <w:r>
        <w:t>De Vlaamse Regering zal op basis van het evaluatierapport van het Vlaams Energieagentschap beslissen welke maatregelen genomen zullen worden.</w:t>
      </w:r>
      <w:r>
        <w:rPr>
          <w:lang w:val="nl-BE" w:eastAsia="nl-BE"/>
        </w:rPr>
        <w:t>Daarbij moet ook rekening gehouden worden met de verwachte evolutie tijdens de komende jaren en de resultaten van de hervorming die het Vlaams Parlement medio 2012 heeft goedgekeurd en die nog verder haar uitwerking zal hebben.</w:t>
      </w:r>
    </w:p>
    <w:p w:rsidR="00516D51" w:rsidRDefault="00516D51" w:rsidP="00516D51">
      <w:pPr>
        <w:tabs>
          <w:tab w:val="left" w:pos="708"/>
        </w:tabs>
        <w:jc w:val="both"/>
      </w:pPr>
    </w:p>
    <w:p w:rsidR="00516D51" w:rsidRDefault="00516D51" w:rsidP="00516D51">
      <w:pPr>
        <w:numPr>
          <w:ilvl w:val="0"/>
          <w:numId w:val="5"/>
        </w:numPr>
        <w:tabs>
          <w:tab w:val="left" w:pos="708"/>
          <w:tab w:val="left" w:pos="851"/>
          <w:tab w:val="left" w:pos="1134"/>
          <w:tab w:val="center" w:pos="4253"/>
          <w:tab w:val="right" w:pos="8278"/>
        </w:tabs>
        <w:jc w:val="both"/>
      </w:pPr>
      <w:r>
        <w:t>Inzake de banking.</w:t>
      </w:r>
    </w:p>
    <w:p w:rsidR="00516D51" w:rsidRDefault="00516D51" w:rsidP="00516D51">
      <w:pPr>
        <w:tabs>
          <w:tab w:val="left" w:pos="708"/>
        </w:tabs>
        <w:jc w:val="both"/>
      </w:pPr>
    </w:p>
    <w:p w:rsidR="00516D51" w:rsidRDefault="00516D51" w:rsidP="00516D51">
      <w:pPr>
        <w:numPr>
          <w:ilvl w:val="0"/>
          <w:numId w:val="6"/>
        </w:numPr>
        <w:tabs>
          <w:tab w:val="left" w:pos="708"/>
          <w:tab w:val="left" w:pos="851"/>
          <w:tab w:val="left" w:pos="1134"/>
          <w:tab w:val="center" w:pos="4253"/>
          <w:tab w:val="right" w:pos="8278"/>
        </w:tabs>
        <w:jc w:val="both"/>
      </w:pPr>
      <w:r>
        <w:t>Het bankingbesluit is nog niet in voege.</w:t>
      </w:r>
    </w:p>
    <w:p w:rsidR="00516D51" w:rsidRDefault="00516D51" w:rsidP="00516D51">
      <w:pPr>
        <w:tabs>
          <w:tab w:val="left" w:pos="708"/>
        </w:tabs>
        <w:jc w:val="both"/>
      </w:pPr>
    </w:p>
    <w:p w:rsidR="00516D51" w:rsidRDefault="00516D51" w:rsidP="00516D51">
      <w:pPr>
        <w:numPr>
          <w:ilvl w:val="0"/>
          <w:numId w:val="6"/>
        </w:numPr>
        <w:tabs>
          <w:tab w:val="left" w:pos="708"/>
          <w:tab w:val="left" w:pos="851"/>
          <w:tab w:val="left" w:pos="1134"/>
          <w:tab w:val="center" w:pos="4253"/>
          <w:tab w:val="right" w:pos="8278"/>
        </w:tabs>
        <w:jc w:val="both"/>
      </w:pPr>
      <w:r>
        <w:t>Uitgaande van het aantal te banken certificaten voorzien in het principieel goedgekeurde bankingbesluit, zou het overschot aan beschikbare certificaten dalen van 121% naar 81% bij de laatste inleveringsronde (31 maart 2013).</w:t>
      </w:r>
    </w:p>
    <w:p w:rsidR="00516D51" w:rsidRDefault="00516D51" w:rsidP="00516D51">
      <w:pPr>
        <w:tabs>
          <w:tab w:val="left" w:pos="708"/>
        </w:tabs>
        <w:jc w:val="both"/>
      </w:pPr>
    </w:p>
    <w:p w:rsidR="00516D51" w:rsidRDefault="00516D51" w:rsidP="00516D51">
      <w:pPr>
        <w:numPr>
          <w:ilvl w:val="0"/>
          <w:numId w:val="6"/>
        </w:numPr>
        <w:tabs>
          <w:tab w:val="left" w:pos="708"/>
          <w:tab w:val="left" w:pos="851"/>
          <w:tab w:val="left" w:pos="1134"/>
          <w:tab w:val="center" w:pos="4253"/>
          <w:tab w:val="right" w:pos="8278"/>
        </w:tabs>
        <w:jc w:val="both"/>
      </w:pPr>
      <w:r>
        <w:t xml:space="preserve">Een hoge marktprijs lijkt gunstig voor de </w:t>
      </w:r>
      <w:proofErr w:type="spellStart"/>
      <w:r>
        <w:t>groenestroomproducenten</w:t>
      </w:r>
      <w:proofErr w:type="spellEnd"/>
      <w:r>
        <w:t>, maar voert de elektriciteitskost van de gezinnen en de bedrijven op. Het komt er dus vooral op aan om een correcte steun na te streven. Op de bilaterale markt kan men niet zozeer spreken van een marktprijs, maar eerder van een transactieprijs: het hangt van de onderhandelingsmacht van beide partijen af aan welke prijs certificaten verhandeld worden. Dit vertaalt zich in sterk uiteenlopende prijzen, wat niet meteen zichtbaar is in de gemiddelde transactiekost. Deze ligt volgens de VREG-website op 100,15 euro voor de voorbije inleveringsronde (01/04/2012-31/03/2013), tegenover 101,80 euro voor de vorige inleveringsronde (01/04/2012-31/03/2013).</w:t>
      </w:r>
    </w:p>
    <w:p w:rsidR="00516D51" w:rsidRDefault="00516D51" w:rsidP="00516D51">
      <w:pPr>
        <w:tabs>
          <w:tab w:val="left" w:pos="708"/>
        </w:tabs>
        <w:jc w:val="both"/>
      </w:pPr>
    </w:p>
    <w:p w:rsidR="00516D51" w:rsidRDefault="00516D51" w:rsidP="00516D51">
      <w:pPr>
        <w:numPr>
          <w:ilvl w:val="0"/>
          <w:numId w:val="5"/>
        </w:numPr>
        <w:tabs>
          <w:tab w:val="left" w:pos="708"/>
          <w:tab w:val="left" w:pos="851"/>
          <w:tab w:val="left" w:pos="1134"/>
          <w:tab w:val="center" w:pos="4253"/>
          <w:tab w:val="right" w:pos="8278"/>
        </w:tabs>
        <w:jc w:val="both"/>
      </w:pPr>
      <w:r>
        <w:lastRenderedPageBreak/>
        <w:t>Inzake de mark</w:t>
      </w:r>
      <w:bookmarkStart w:id="6" w:name="_GoBack"/>
      <w:bookmarkEnd w:id="6"/>
      <w:r>
        <w:t>tprijs.</w:t>
      </w:r>
    </w:p>
    <w:p w:rsidR="00516D51" w:rsidRDefault="00516D51" w:rsidP="00516D51">
      <w:pPr>
        <w:tabs>
          <w:tab w:val="left" w:pos="708"/>
        </w:tabs>
        <w:jc w:val="both"/>
      </w:pPr>
    </w:p>
    <w:p w:rsidR="00516D51" w:rsidRPr="008C5F09" w:rsidRDefault="00516D51" w:rsidP="008C5F09">
      <w:pPr>
        <w:pStyle w:val="Lijstalinea"/>
        <w:numPr>
          <w:ilvl w:val="0"/>
          <w:numId w:val="9"/>
        </w:numPr>
        <w:tabs>
          <w:tab w:val="clear" w:pos="567"/>
          <w:tab w:val="clear" w:pos="851"/>
          <w:tab w:val="clear" w:pos="1134"/>
        </w:tabs>
        <w:ind w:left="709" w:hanging="283"/>
        <w:jc w:val="both"/>
        <w:rPr>
          <w:rFonts w:ascii="Times New Roman" w:hAnsi="Times New Roman"/>
          <w:sz w:val="22"/>
          <w:szCs w:val="22"/>
        </w:rPr>
      </w:pPr>
      <w:r w:rsidRPr="008C5F09">
        <w:rPr>
          <w:rFonts w:ascii="Times New Roman" w:hAnsi="Times New Roman"/>
          <w:sz w:val="22"/>
          <w:szCs w:val="22"/>
        </w:rPr>
        <w:t xml:space="preserve">Strikt genomen is de </w:t>
      </w:r>
      <w:proofErr w:type="spellStart"/>
      <w:r w:rsidRPr="008C5F09">
        <w:rPr>
          <w:rFonts w:ascii="Times New Roman" w:hAnsi="Times New Roman"/>
          <w:sz w:val="22"/>
          <w:szCs w:val="22"/>
        </w:rPr>
        <w:t>Endex</w:t>
      </w:r>
      <w:proofErr w:type="spellEnd"/>
      <w:r w:rsidRPr="008C5F09">
        <w:rPr>
          <w:rFonts w:ascii="Times New Roman" w:hAnsi="Times New Roman"/>
          <w:sz w:val="22"/>
          <w:szCs w:val="22"/>
        </w:rPr>
        <w:t xml:space="preserve"> een termijnbeurs, waar elektriciteit verkocht en aangekocht wordt voor een zekere periode in de toekomst. De </w:t>
      </w:r>
      <w:proofErr w:type="spellStart"/>
      <w:r w:rsidRPr="008C5F09">
        <w:rPr>
          <w:rFonts w:ascii="Times New Roman" w:hAnsi="Times New Roman"/>
          <w:sz w:val="22"/>
          <w:szCs w:val="22"/>
        </w:rPr>
        <w:t>Belpex</w:t>
      </w:r>
      <w:proofErr w:type="spellEnd"/>
      <w:r w:rsidRPr="008C5F09">
        <w:rPr>
          <w:rFonts w:ascii="Times New Roman" w:hAnsi="Times New Roman"/>
          <w:sz w:val="22"/>
          <w:szCs w:val="22"/>
        </w:rPr>
        <w:t xml:space="preserve"> is een spotmarkt, waar enkel elektriciteit voor </w:t>
      </w:r>
      <w:proofErr w:type="spellStart"/>
      <w:r w:rsidRPr="008C5F09">
        <w:rPr>
          <w:rFonts w:ascii="Times New Roman" w:hAnsi="Times New Roman"/>
          <w:sz w:val="22"/>
          <w:szCs w:val="22"/>
        </w:rPr>
        <w:t>dayahead</w:t>
      </w:r>
      <w:proofErr w:type="spellEnd"/>
      <w:r w:rsidRPr="008C5F09">
        <w:rPr>
          <w:rFonts w:ascii="Times New Roman" w:hAnsi="Times New Roman"/>
          <w:sz w:val="22"/>
          <w:szCs w:val="22"/>
        </w:rPr>
        <w:t xml:space="preserve"> of intra-</w:t>
      </w:r>
      <w:proofErr w:type="spellStart"/>
      <w:r w:rsidRPr="008C5F09">
        <w:rPr>
          <w:rFonts w:ascii="Times New Roman" w:hAnsi="Times New Roman"/>
          <w:sz w:val="22"/>
          <w:szCs w:val="22"/>
        </w:rPr>
        <w:t>day</w:t>
      </w:r>
      <w:proofErr w:type="spellEnd"/>
      <w:r w:rsidRPr="008C5F09">
        <w:rPr>
          <w:rFonts w:ascii="Times New Roman" w:hAnsi="Times New Roman"/>
          <w:sz w:val="22"/>
          <w:szCs w:val="22"/>
        </w:rPr>
        <w:t xml:space="preserve"> kan worden verkocht en aangekocht. Ik verwijs voor de spotprijs van de </w:t>
      </w:r>
      <w:proofErr w:type="spellStart"/>
      <w:r w:rsidRPr="008C5F09">
        <w:rPr>
          <w:rFonts w:ascii="Times New Roman" w:hAnsi="Times New Roman"/>
          <w:sz w:val="22"/>
          <w:szCs w:val="22"/>
        </w:rPr>
        <w:t>groenestroomcertificaten</w:t>
      </w:r>
      <w:proofErr w:type="spellEnd"/>
      <w:r w:rsidRPr="008C5F09">
        <w:rPr>
          <w:rFonts w:ascii="Times New Roman" w:hAnsi="Times New Roman"/>
          <w:sz w:val="22"/>
          <w:szCs w:val="22"/>
        </w:rPr>
        <w:t xml:space="preserve"> naar de website van de VREG, waar een grafiek gepubliceerd wordt die de onder- en bovengrens van de bilaterale </w:t>
      </w:r>
      <w:proofErr w:type="spellStart"/>
      <w:r w:rsidRPr="008C5F09">
        <w:rPr>
          <w:rFonts w:ascii="Times New Roman" w:hAnsi="Times New Roman"/>
          <w:sz w:val="22"/>
          <w:szCs w:val="22"/>
        </w:rPr>
        <w:t>groenestroomcertificatenmarkt</w:t>
      </w:r>
      <w:proofErr w:type="spellEnd"/>
      <w:r w:rsidRPr="008C5F09">
        <w:rPr>
          <w:rFonts w:ascii="Times New Roman" w:hAnsi="Times New Roman"/>
          <w:sz w:val="22"/>
          <w:szCs w:val="22"/>
        </w:rPr>
        <w:t xml:space="preserve"> weergeeft. </w:t>
      </w:r>
    </w:p>
    <w:p w:rsidR="00516D51" w:rsidRPr="008C5F09" w:rsidRDefault="00516D51" w:rsidP="008C5F09">
      <w:pPr>
        <w:ind w:left="709" w:hanging="283"/>
        <w:jc w:val="both"/>
        <w:rPr>
          <w:szCs w:val="22"/>
        </w:rPr>
      </w:pPr>
    </w:p>
    <w:p w:rsidR="00516D51" w:rsidRPr="008C5F09" w:rsidRDefault="00516D51" w:rsidP="008C5F09">
      <w:pPr>
        <w:pStyle w:val="Lijstalinea"/>
        <w:numPr>
          <w:ilvl w:val="0"/>
          <w:numId w:val="9"/>
        </w:numPr>
        <w:tabs>
          <w:tab w:val="clear" w:pos="567"/>
          <w:tab w:val="clear" w:pos="851"/>
          <w:tab w:val="clear" w:pos="1134"/>
        </w:tabs>
        <w:ind w:left="709" w:hanging="283"/>
        <w:jc w:val="both"/>
        <w:rPr>
          <w:rFonts w:ascii="Times New Roman" w:hAnsi="Times New Roman"/>
          <w:spacing w:val="-3"/>
          <w:sz w:val="22"/>
          <w:szCs w:val="22"/>
        </w:rPr>
      </w:pPr>
      <w:r w:rsidRPr="008C5F09">
        <w:rPr>
          <w:rFonts w:ascii="Times New Roman" w:hAnsi="Times New Roman"/>
          <w:sz w:val="22"/>
          <w:szCs w:val="22"/>
        </w:rPr>
        <w:t xml:space="preserve">De gemiddelde transactieprijs (die niet echt als een “marktprijs” mag  beschouwd worden, zoals hoger uiteengezet) ligt met 100,15 euro nog net hoger dan de waarde van 97 euro die gebruikt wordt voor de berekening van de bandingfactor voor de toekenning van </w:t>
      </w:r>
      <w:proofErr w:type="spellStart"/>
      <w:r w:rsidRPr="008C5F09">
        <w:rPr>
          <w:rFonts w:ascii="Times New Roman" w:hAnsi="Times New Roman"/>
          <w:sz w:val="22"/>
          <w:szCs w:val="22"/>
        </w:rPr>
        <w:t>groenestroomcertiﬁcaten</w:t>
      </w:r>
      <w:proofErr w:type="spellEnd"/>
      <w:r w:rsidRPr="008C5F09">
        <w:rPr>
          <w:rFonts w:ascii="Times New Roman" w:hAnsi="Times New Roman"/>
          <w:sz w:val="22"/>
          <w:szCs w:val="22"/>
        </w:rPr>
        <w:t xml:space="preserve"> in het nieuwe decreet ter ondersteuning van de groene stroom. In deze gemiddelde transactieprijs spelen de historische lange-termijn-contracten een belangrijke rol, die werden afgesloten aan een hogere prijs gezien de destijds hogere boete- en marktwaarde.</w:t>
      </w:r>
    </w:p>
    <w:sectPr w:rsidR="00516D51" w:rsidRPr="008C5F0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723"/>
    <w:multiLevelType w:val="hybridMultilevel"/>
    <w:tmpl w:val="90C697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317178D2"/>
    <w:multiLevelType w:val="hybridMultilevel"/>
    <w:tmpl w:val="FFE8F1EC"/>
    <w:lvl w:ilvl="0" w:tplc="C40811C4">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4B3C09F3"/>
    <w:multiLevelType w:val="hybridMultilevel"/>
    <w:tmpl w:val="06D8C63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2216664"/>
    <w:multiLevelType w:val="hybridMultilevel"/>
    <w:tmpl w:val="7D2A105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66645488"/>
    <w:multiLevelType w:val="hybridMultilevel"/>
    <w:tmpl w:val="70001F9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6">
    <w:nsid w:val="6E4B07BF"/>
    <w:multiLevelType w:val="singleLevel"/>
    <w:tmpl w:val="6DB2B9A2"/>
    <w:lvl w:ilvl="0">
      <w:start w:val="1"/>
      <w:numFmt w:val="decimal"/>
      <w:lvlText w:val="%1."/>
      <w:lvlJc w:val="left"/>
      <w:pPr>
        <w:tabs>
          <w:tab w:val="num" w:pos="360"/>
        </w:tabs>
        <w:ind w:left="360" w:hanging="360"/>
      </w:pPr>
    </w:lvl>
  </w:abstractNum>
  <w:abstractNum w:abstractNumId="7">
    <w:nsid w:val="7C023BF0"/>
    <w:multiLevelType w:val="hybridMultilevel"/>
    <w:tmpl w:val="2CC2956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976E9"/>
    <w:rsid w:val="000C4E8C"/>
    <w:rsid w:val="000F3532"/>
    <w:rsid w:val="001B1C3C"/>
    <w:rsid w:val="00210C07"/>
    <w:rsid w:val="00326A58"/>
    <w:rsid w:val="003A470F"/>
    <w:rsid w:val="00516D51"/>
    <w:rsid w:val="005E38CA"/>
    <w:rsid w:val="006563FB"/>
    <w:rsid w:val="0071248C"/>
    <w:rsid w:val="007252C7"/>
    <w:rsid w:val="007B4E98"/>
    <w:rsid w:val="008C5F09"/>
    <w:rsid w:val="008D1BFB"/>
    <w:rsid w:val="008D5DB4"/>
    <w:rsid w:val="008E5C0D"/>
    <w:rsid w:val="00911FC9"/>
    <w:rsid w:val="00917B6B"/>
    <w:rsid w:val="009347E0"/>
    <w:rsid w:val="009D7043"/>
    <w:rsid w:val="00A12F09"/>
    <w:rsid w:val="00B45EB2"/>
    <w:rsid w:val="00BE425A"/>
    <w:rsid w:val="00C91441"/>
    <w:rsid w:val="00CD4759"/>
    <w:rsid w:val="00CF2BE6"/>
    <w:rsid w:val="00D71D99"/>
    <w:rsid w:val="00D754F2"/>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8E5C0D"/>
    <w:pPr>
      <w:tabs>
        <w:tab w:val="left" w:pos="284"/>
        <w:tab w:val="left" w:pos="567"/>
        <w:tab w:val="left" w:pos="851"/>
        <w:tab w:val="left" w:pos="1134"/>
        <w:tab w:val="center" w:pos="4253"/>
        <w:tab w:val="right" w:pos="8278"/>
      </w:tabs>
      <w:ind w:left="708"/>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3394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1900-12-31T22:00:00Z</cp:lastPrinted>
  <dcterms:created xsi:type="dcterms:W3CDTF">2013-06-06T08:33:00Z</dcterms:created>
  <dcterms:modified xsi:type="dcterms:W3CDTF">2013-06-06T08:33:00Z</dcterms:modified>
</cp:coreProperties>
</file>