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97" w:rsidRDefault="00F37097" w:rsidP="00F85CE0">
      <w:pPr>
        <w:jc w:val="both"/>
        <w:rPr>
          <w:b/>
          <w:smallCaps/>
          <w:sz w:val="22"/>
        </w:rPr>
      </w:pPr>
      <w:r>
        <w:rPr>
          <w:b/>
          <w:smallCaps/>
          <w:sz w:val="22"/>
        </w:rPr>
        <w:t>ingrid lieten</w:t>
      </w:r>
    </w:p>
    <w:p w:rsidR="00F37097" w:rsidRDefault="00F37097" w:rsidP="00F85CE0">
      <w:pPr>
        <w:pStyle w:val="StandaardSV"/>
        <w:rPr>
          <w:smallCaps/>
        </w:rPr>
      </w:pPr>
      <w:r>
        <w:rPr>
          <w:smallCaps/>
        </w:rPr>
        <w:t>viceminister-president van de vlaamse regering, vlaams minister van innovatie, over</w:t>
      </w:r>
      <w:r w:rsidR="00367DC1">
        <w:rPr>
          <w:smallCaps/>
        </w:rPr>
        <w:softHyphen/>
      </w:r>
      <w:r>
        <w:rPr>
          <w:smallCaps/>
        </w:rPr>
        <w:t>heidsinvesteringen, media en armoedebestrijding</w:t>
      </w:r>
    </w:p>
    <w:p w:rsidR="00F37097" w:rsidRDefault="00F37097" w:rsidP="00F85CE0">
      <w:pPr>
        <w:pBdr>
          <w:bottom w:val="single" w:sz="4" w:space="1" w:color="auto"/>
        </w:pBdr>
        <w:jc w:val="both"/>
        <w:rPr>
          <w:sz w:val="22"/>
        </w:rPr>
      </w:pPr>
    </w:p>
    <w:p w:rsidR="00F37097" w:rsidRDefault="00F37097" w:rsidP="00F85CE0">
      <w:pPr>
        <w:jc w:val="both"/>
        <w:rPr>
          <w:sz w:val="22"/>
        </w:rPr>
      </w:pPr>
    </w:p>
    <w:p w:rsidR="00F37097" w:rsidRPr="00103D45" w:rsidRDefault="00F37097" w:rsidP="00F85CE0">
      <w:pPr>
        <w:jc w:val="both"/>
        <w:rPr>
          <w:b/>
          <w:smallCaps/>
          <w:sz w:val="22"/>
          <w:szCs w:val="22"/>
        </w:rPr>
      </w:pPr>
      <w:r w:rsidRPr="00103D45">
        <w:rPr>
          <w:b/>
          <w:smallCaps/>
          <w:sz w:val="22"/>
          <w:szCs w:val="22"/>
        </w:rPr>
        <w:t>antwoord</w:t>
      </w:r>
    </w:p>
    <w:p w:rsidR="00F37097" w:rsidRPr="00103D45" w:rsidRDefault="00F37097" w:rsidP="00F85CE0">
      <w:pPr>
        <w:jc w:val="both"/>
        <w:rPr>
          <w:sz w:val="22"/>
          <w:szCs w:val="22"/>
        </w:rPr>
      </w:pPr>
      <w:r w:rsidRPr="00103D45">
        <w:rPr>
          <w:sz w:val="22"/>
          <w:szCs w:val="22"/>
        </w:rPr>
        <w:t xml:space="preserve">op vraag nr. </w:t>
      </w:r>
      <w:r>
        <w:rPr>
          <w:sz w:val="22"/>
        </w:rPr>
        <w:t>374</w:t>
      </w:r>
      <w:r w:rsidRPr="00103D45">
        <w:rPr>
          <w:sz w:val="22"/>
          <w:szCs w:val="22"/>
        </w:rPr>
        <w:t xml:space="preserve"> van </w:t>
      </w:r>
      <w:r>
        <w:rPr>
          <w:sz w:val="22"/>
        </w:rPr>
        <w:t>30 april 2013</w:t>
      </w:r>
    </w:p>
    <w:p w:rsidR="00F37097" w:rsidRDefault="00F37097" w:rsidP="00F85CE0">
      <w:pPr>
        <w:jc w:val="both"/>
        <w:rPr>
          <w:sz w:val="22"/>
        </w:rPr>
      </w:pPr>
      <w:r w:rsidRPr="00103D45">
        <w:rPr>
          <w:sz w:val="22"/>
          <w:szCs w:val="22"/>
        </w:rPr>
        <w:t xml:space="preserve">van </w:t>
      </w:r>
      <w:r>
        <w:rPr>
          <w:b/>
          <w:smallCaps/>
        </w:rPr>
        <w:t>matthias diependaele</w:t>
      </w:r>
    </w:p>
    <w:p w:rsidR="00F37097" w:rsidRDefault="00F37097" w:rsidP="00F85CE0">
      <w:pPr>
        <w:pBdr>
          <w:bottom w:val="single" w:sz="4" w:space="1" w:color="auto"/>
        </w:pBdr>
        <w:jc w:val="both"/>
        <w:rPr>
          <w:sz w:val="22"/>
        </w:rPr>
      </w:pPr>
    </w:p>
    <w:p w:rsidR="00675074" w:rsidRDefault="00675074" w:rsidP="00F85CE0">
      <w:pPr>
        <w:pStyle w:val="StandaardSV"/>
      </w:pPr>
    </w:p>
    <w:p w:rsidR="00F37097" w:rsidRDefault="00F37097" w:rsidP="00F85CE0">
      <w:pPr>
        <w:pStyle w:val="StandaardSV"/>
      </w:pPr>
    </w:p>
    <w:p w:rsidR="00DA25C8" w:rsidRPr="00F37097" w:rsidRDefault="00F37097" w:rsidP="00F85CE0">
      <w:pPr>
        <w:pStyle w:val="StandaardSV"/>
        <w:ind w:left="360" w:hanging="360"/>
      </w:pPr>
      <w:r>
        <w:t>1a.</w:t>
      </w:r>
      <w:r>
        <w:tab/>
      </w:r>
      <w:r w:rsidR="00C03771" w:rsidRPr="00F37097">
        <w:t>In de periode 2009 – 2012 werden 203 Baekeland-projectaanvragen ingediend, waarvan 12 aanvragen teruggetrokken w</w:t>
      </w:r>
      <w:r w:rsidR="00B35C34" w:rsidRPr="00F37097">
        <w:t>e</w:t>
      </w:r>
      <w:r w:rsidR="00C03771" w:rsidRPr="00F37097">
        <w:t xml:space="preserve">rden tijdens </w:t>
      </w:r>
      <w:r w:rsidR="00D820A2">
        <w:t xml:space="preserve">de </w:t>
      </w:r>
      <w:r w:rsidR="00C03771" w:rsidRPr="00F37097">
        <w:t>evaluatie.</w:t>
      </w:r>
    </w:p>
    <w:p w:rsidR="00F37097" w:rsidRDefault="00F37097" w:rsidP="00F85CE0">
      <w:pPr>
        <w:pStyle w:val="StandaardSV"/>
        <w:ind w:left="360"/>
      </w:pPr>
    </w:p>
    <w:p w:rsidR="00C03771" w:rsidRPr="00F37097" w:rsidRDefault="00F37097" w:rsidP="00F85CE0">
      <w:pPr>
        <w:pStyle w:val="StandaardSV"/>
        <w:ind w:left="360" w:hanging="360"/>
      </w:pPr>
      <w:r>
        <w:t>1b.</w:t>
      </w:r>
      <w:r>
        <w:tab/>
      </w:r>
      <w:r w:rsidR="00C03771" w:rsidRPr="00F37097">
        <w:t xml:space="preserve">Op 191 </w:t>
      </w:r>
      <w:r w:rsidR="002C0CF9" w:rsidRPr="00F37097">
        <w:t xml:space="preserve">geëvalueerde </w:t>
      </w:r>
      <w:r w:rsidR="00C03771" w:rsidRPr="00F37097">
        <w:t>projecten werden</w:t>
      </w:r>
      <w:r w:rsidR="001B4ED2" w:rsidRPr="00F37097">
        <w:t xml:space="preserve"> 95 </w:t>
      </w:r>
      <w:r w:rsidR="00C03771" w:rsidRPr="00F37097">
        <w:t>projecten effectief gesteund.</w:t>
      </w:r>
    </w:p>
    <w:p w:rsidR="00DA25C8" w:rsidRPr="00F37097" w:rsidRDefault="00DA25C8" w:rsidP="00F85CE0">
      <w:pPr>
        <w:pStyle w:val="StandaardSV"/>
        <w:ind w:left="360"/>
      </w:pPr>
    </w:p>
    <w:p w:rsidR="001B4ED2" w:rsidRDefault="00F37097" w:rsidP="00F85CE0">
      <w:pPr>
        <w:pStyle w:val="StandaardSV"/>
        <w:ind w:left="360" w:hanging="360"/>
      </w:pPr>
      <w:r>
        <w:t>1c.</w:t>
      </w:r>
      <w:r>
        <w:tab/>
        <w:t>Zie onderstaande tabel.</w:t>
      </w:r>
    </w:p>
    <w:p w:rsidR="00F37097" w:rsidRPr="00F37097" w:rsidRDefault="00F37097" w:rsidP="00F85CE0">
      <w:pPr>
        <w:pStyle w:val="StandaardSV"/>
        <w:ind w:left="36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05"/>
      </w:tblGrid>
      <w:tr w:rsidR="001B4ED2" w:rsidRPr="00F37097" w:rsidTr="00F37097">
        <w:tc>
          <w:tcPr>
            <w:tcW w:w="766" w:type="dxa"/>
          </w:tcPr>
          <w:p w:rsidR="001B4ED2" w:rsidRPr="00F37097" w:rsidRDefault="00F37097" w:rsidP="00F85CE0">
            <w:pPr>
              <w:pStyle w:val="StandaardSV"/>
            </w:pPr>
            <w:r>
              <w:t>J</w:t>
            </w:r>
            <w:r w:rsidR="001B4ED2" w:rsidRPr="00F37097">
              <w:t>aar</w:t>
            </w:r>
          </w:p>
        </w:tc>
        <w:tc>
          <w:tcPr>
            <w:tcW w:w="1805" w:type="dxa"/>
          </w:tcPr>
          <w:p w:rsidR="001B4ED2" w:rsidRPr="00F37097" w:rsidRDefault="00CC070F" w:rsidP="00F85CE0">
            <w:pPr>
              <w:pStyle w:val="StandaardSV"/>
              <w:tabs>
                <w:tab w:val="right" w:pos="2336"/>
              </w:tabs>
            </w:pPr>
            <w:r w:rsidRPr="00F37097">
              <w:t>S</w:t>
            </w:r>
            <w:r w:rsidR="001B4ED2" w:rsidRPr="00F37097">
              <w:t>teuntoekenning</w:t>
            </w:r>
          </w:p>
        </w:tc>
      </w:tr>
      <w:tr w:rsidR="001B4ED2" w:rsidRPr="00F37097" w:rsidTr="00F37097">
        <w:tc>
          <w:tcPr>
            <w:tcW w:w="766" w:type="dxa"/>
          </w:tcPr>
          <w:p w:rsidR="001B4ED2" w:rsidRPr="00F37097" w:rsidRDefault="001B4ED2" w:rsidP="00F85CE0">
            <w:pPr>
              <w:pStyle w:val="StandaardSV"/>
            </w:pPr>
            <w:r w:rsidRPr="00F37097">
              <w:t>2009</w:t>
            </w:r>
          </w:p>
        </w:tc>
        <w:tc>
          <w:tcPr>
            <w:tcW w:w="1805" w:type="dxa"/>
          </w:tcPr>
          <w:p w:rsidR="001B4ED2" w:rsidRPr="00F37097" w:rsidRDefault="00304CBC" w:rsidP="00F85CE0">
            <w:pPr>
              <w:pStyle w:val="StandaardSV"/>
            </w:pPr>
            <w:r w:rsidRPr="00F37097">
              <w:t>6.97</w:t>
            </w:r>
            <w:r w:rsidR="0035447D" w:rsidRPr="00F37097">
              <w:t>3 keuro</w:t>
            </w:r>
          </w:p>
        </w:tc>
      </w:tr>
      <w:tr w:rsidR="001B4ED2" w:rsidRPr="00F37097" w:rsidTr="00F37097">
        <w:tc>
          <w:tcPr>
            <w:tcW w:w="766" w:type="dxa"/>
          </w:tcPr>
          <w:p w:rsidR="001B4ED2" w:rsidRPr="00F37097" w:rsidRDefault="001B4ED2" w:rsidP="00F85CE0">
            <w:pPr>
              <w:pStyle w:val="StandaardSV"/>
            </w:pPr>
            <w:r w:rsidRPr="00F37097">
              <w:t>2010</w:t>
            </w:r>
          </w:p>
        </w:tc>
        <w:tc>
          <w:tcPr>
            <w:tcW w:w="1805" w:type="dxa"/>
          </w:tcPr>
          <w:p w:rsidR="001B4ED2" w:rsidRPr="00F37097" w:rsidRDefault="001D38EB" w:rsidP="00F85CE0">
            <w:pPr>
              <w:pStyle w:val="StandaardSV"/>
            </w:pPr>
            <w:r w:rsidRPr="00F37097">
              <w:t>4.</w:t>
            </w:r>
            <w:r w:rsidR="00182845" w:rsidRPr="00F37097">
              <w:t>67</w:t>
            </w:r>
            <w:r w:rsidR="0035447D" w:rsidRPr="00F37097">
              <w:t>9 keuro</w:t>
            </w:r>
          </w:p>
        </w:tc>
      </w:tr>
      <w:tr w:rsidR="001B4ED2" w:rsidRPr="00F37097" w:rsidTr="00F37097">
        <w:tc>
          <w:tcPr>
            <w:tcW w:w="766" w:type="dxa"/>
          </w:tcPr>
          <w:p w:rsidR="001B4ED2" w:rsidRPr="00F37097" w:rsidRDefault="001B4ED2" w:rsidP="00F85CE0">
            <w:pPr>
              <w:pStyle w:val="StandaardSV"/>
            </w:pPr>
            <w:r w:rsidRPr="00F37097">
              <w:t>2011</w:t>
            </w:r>
          </w:p>
        </w:tc>
        <w:tc>
          <w:tcPr>
            <w:tcW w:w="1805" w:type="dxa"/>
          </w:tcPr>
          <w:p w:rsidR="001B4ED2" w:rsidRPr="00F37097" w:rsidRDefault="001028BE" w:rsidP="00F85CE0">
            <w:pPr>
              <w:pStyle w:val="StandaardSV"/>
            </w:pPr>
            <w:r w:rsidRPr="00F37097">
              <w:t>4.07</w:t>
            </w:r>
            <w:r w:rsidR="0035447D" w:rsidRPr="00F37097">
              <w:t>4 keuro</w:t>
            </w:r>
          </w:p>
        </w:tc>
      </w:tr>
      <w:tr w:rsidR="001B4ED2" w:rsidRPr="00F37097" w:rsidTr="00F37097">
        <w:tc>
          <w:tcPr>
            <w:tcW w:w="766" w:type="dxa"/>
          </w:tcPr>
          <w:p w:rsidR="001B4ED2" w:rsidRPr="00F37097" w:rsidRDefault="001B4ED2" w:rsidP="00F85CE0">
            <w:pPr>
              <w:pStyle w:val="StandaardSV"/>
            </w:pPr>
            <w:r w:rsidRPr="00F37097">
              <w:t>2012</w:t>
            </w:r>
          </w:p>
        </w:tc>
        <w:tc>
          <w:tcPr>
            <w:tcW w:w="1805" w:type="dxa"/>
          </w:tcPr>
          <w:p w:rsidR="001B4ED2" w:rsidRPr="00F37097" w:rsidRDefault="00193C2B" w:rsidP="00F85CE0">
            <w:pPr>
              <w:pStyle w:val="StandaardSV"/>
              <w:numPr>
                <w:ilvl w:val="1"/>
                <w:numId w:val="30"/>
              </w:numPr>
            </w:pPr>
            <w:r w:rsidRPr="00F37097">
              <w:t xml:space="preserve"> ke</w:t>
            </w:r>
            <w:r w:rsidR="0035447D" w:rsidRPr="00F37097">
              <w:t>uro</w:t>
            </w:r>
            <w:r w:rsidR="00CC070F" w:rsidRPr="00F37097">
              <w:t xml:space="preserve"> </w:t>
            </w:r>
          </w:p>
        </w:tc>
      </w:tr>
    </w:tbl>
    <w:p w:rsidR="009817A0" w:rsidRPr="00F37097" w:rsidRDefault="009817A0" w:rsidP="00F85CE0">
      <w:pPr>
        <w:pStyle w:val="StandaardSV"/>
        <w:ind w:left="360"/>
      </w:pPr>
    </w:p>
    <w:p w:rsidR="002C0CF9" w:rsidRPr="00F37097" w:rsidRDefault="00F37097" w:rsidP="00F85CE0">
      <w:pPr>
        <w:pStyle w:val="StandaardSV"/>
        <w:ind w:left="360" w:hanging="360"/>
      </w:pPr>
      <w:r>
        <w:t>1d.</w:t>
      </w:r>
      <w:r>
        <w:tab/>
        <w:t>I</w:t>
      </w:r>
      <w:r w:rsidR="0035447D" w:rsidRPr="00F37097">
        <w:t xml:space="preserve">n </w:t>
      </w:r>
      <w:r w:rsidR="0035447D" w:rsidRPr="00D820A2">
        <w:rPr>
          <w:u w:val="single"/>
        </w:rPr>
        <w:t>bijlage</w:t>
      </w:r>
      <w:r w:rsidR="0035447D" w:rsidRPr="00F37097">
        <w:t xml:space="preserve"> </w:t>
      </w:r>
      <w:r w:rsidR="00D820A2">
        <w:t xml:space="preserve">(onderaan) </w:t>
      </w:r>
      <w:r w:rsidR="0035447D" w:rsidRPr="00F37097">
        <w:t>werd de lijst toegevoegd van bedrijven die</w:t>
      </w:r>
      <w:r w:rsidR="007603A0" w:rsidRPr="00F37097">
        <w:t xml:space="preserve"> minstens één Baekeland-project lopende hebben. </w:t>
      </w:r>
    </w:p>
    <w:p w:rsidR="00F37097" w:rsidRDefault="00F37097" w:rsidP="00F85CE0">
      <w:pPr>
        <w:pStyle w:val="StandaardSV"/>
        <w:ind w:left="360"/>
      </w:pPr>
    </w:p>
    <w:p w:rsidR="00F37097" w:rsidRDefault="00F37097" w:rsidP="00F85CE0">
      <w:pPr>
        <w:pStyle w:val="StandaardSV"/>
        <w:ind w:left="360" w:hanging="360"/>
      </w:pPr>
      <w:r>
        <w:t>1</w:t>
      </w:r>
      <w:r w:rsidRPr="00F37097">
        <w:t>e</w:t>
      </w:r>
      <w:r>
        <w:t>.</w:t>
      </w:r>
      <w:r>
        <w:tab/>
        <w:t>Zie onderstaande grafiek.</w:t>
      </w:r>
    </w:p>
    <w:p w:rsidR="00D820A2" w:rsidRDefault="00D820A2" w:rsidP="00F85CE0">
      <w:pPr>
        <w:pStyle w:val="StandaardSV"/>
        <w:ind w:left="720" w:hanging="360"/>
      </w:pPr>
    </w:p>
    <w:p w:rsidR="002C0CF9" w:rsidRDefault="00D820A2" w:rsidP="00F85CE0">
      <w:pPr>
        <w:pStyle w:val="StandaardSV"/>
        <w:ind w:left="720" w:hanging="360"/>
      </w:pPr>
      <w:r w:rsidRPr="00D820A2">
        <w:rPr>
          <w:noProof/>
          <w:lang w:val="nl-BE" w:eastAsia="nl-BE"/>
        </w:rPr>
        <w:drawing>
          <wp:inline distT="0" distB="0" distL="0" distR="0" wp14:anchorId="1558FA2F" wp14:editId="1182AAA1">
            <wp:extent cx="4457700" cy="270625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9785" cy="2707518"/>
                    </a:xfrm>
                    <a:prstGeom prst="rect">
                      <a:avLst/>
                    </a:prstGeom>
                    <a:noFill/>
                    <a:ln>
                      <a:noFill/>
                    </a:ln>
                  </pic:spPr>
                </pic:pic>
              </a:graphicData>
            </a:graphic>
          </wp:inline>
        </w:drawing>
      </w:r>
    </w:p>
    <w:p w:rsidR="00C45A74" w:rsidRDefault="00C45A74" w:rsidP="00F85CE0">
      <w:pPr>
        <w:pStyle w:val="StandaardSV"/>
      </w:pPr>
    </w:p>
    <w:p w:rsidR="00B35C34" w:rsidRPr="00B64229" w:rsidRDefault="00B35C34" w:rsidP="00F85CE0">
      <w:pPr>
        <w:pStyle w:val="StandaardSV"/>
        <w:numPr>
          <w:ilvl w:val="0"/>
          <w:numId w:val="33"/>
        </w:numPr>
      </w:pPr>
      <w:r w:rsidRPr="00B64229">
        <w:t xml:space="preserve">De projecten worden opgevolgd middels </w:t>
      </w:r>
      <w:r w:rsidR="006859AC">
        <w:t>zes</w:t>
      </w:r>
      <w:r w:rsidRPr="00B64229">
        <w:t>maandelijkse voortgangsverslagen, een tussentijdse evaluatie in het midden van de doctoraatsperiode en een eindverslag na afloop van het project. Naast de opvolging van de wetenschappelijke vooruitgang (behalen van een doctoraatsdiploma en publicaties) wordt ook de indiening van octrooiaanvragen gerapporteerd en de benutting van de resultaten door het bedrijfsleven. Er zijn reeds concrete resultaten geboekt binnen een aantal bedrijven en lopende mandaten, maar gezien het feit dat er pas 2 projecten afgelopen zijn, is het te vroeg om een impactanalyse uit te voeren. Dit wordt voorzien ten vroegste in 2014.</w:t>
      </w:r>
    </w:p>
    <w:p w:rsidR="009817A0" w:rsidRDefault="009817A0" w:rsidP="00F85CE0">
      <w:pPr>
        <w:pStyle w:val="StandaardSV"/>
        <w:ind w:left="360"/>
      </w:pPr>
    </w:p>
    <w:p w:rsidR="0024500F" w:rsidRPr="00B64229" w:rsidRDefault="0024500F" w:rsidP="00F85CE0">
      <w:pPr>
        <w:pStyle w:val="StandaardSV"/>
        <w:numPr>
          <w:ilvl w:val="0"/>
          <w:numId w:val="33"/>
        </w:numPr>
      </w:pPr>
      <w:r w:rsidRPr="00B64229">
        <w:t>Aangezien het programma begin 2009 van start gegaan is en het mandaat gedurende</w:t>
      </w:r>
      <w:r w:rsidR="00D820A2">
        <w:t xml:space="preserve"> </w:t>
      </w:r>
      <w:r w:rsidRPr="00B64229">
        <w:t>4 jaar loopt (op voltijdse basis)</w:t>
      </w:r>
      <w:r w:rsidR="00D820A2">
        <w:t>,</w:t>
      </w:r>
      <w:r w:rsidRPr="00B64229">
        <w:t xml:space="preserve"> kunnen de eerste resultaten pas in 2013 verwacht worden en is het te vroeg om cijfers te geven over de tewerkstelling na afloop van het mandaat. Wel blijkt dat heel wat mandatarissen bij de start van het mandaat aangeworven worden door het bedrijf. </w:t>
      </w:r>
    </w:p>
    <w:p w:rsidR="009817A0" w:rsidRDefault="009817A0" w:rsidP="00F85CE0">
      <w:pPr>
        <w:pStyle w:val="StandaardSV"/>
        <w:ind w:left="360"/>
      </w:pPr>
    </w:p>
    <w:p w:rsidR="00397796" w:rsidRPr="00B64229" w:rsidRDefault="006859AC" w:rsidP="00F85CE0">
      <w:pPr>
        <w:pStyle w:val="StandaardSV"/>
        <w:numPr>
          <w:ilvl w:val="0"/>
          <w:numId w:val="33"/>
        </w:numPr>
      </w:pPr>
      <w:r>
        <w:t xml:space="preserve">We hebben de intentie om nog meer </w:t>
      </w:r>
      <w:proofErr w:type="spellStart"/>
      <w:r>
        <w:t>kmo’s</w:t>
      </w:r>
      <w:proofErr w:type="spellEnd"/>
      <w:r>
        <w:t xml:space="preserve"> te stimuleren om deel te nemen aan </w:t>
      </w:r>
      <w:proofErr w:type="spellStart"/>
      <w:r>
        <w:t>Baekeland</w:t>
      </w:r>
      <w:proofErr w:type="spellEnd"/>
      <w:r>
        <w:t>. Daarom werd r</w:t>
      </w:r>
      <w:r w:rsidR="00790B14" w:rsidRPr="00B64229">
        <w:t xml:space="preserve">ecent beslist om </w:t>
      </w:r>
      <w:r w:rsidR="00D2606F" w:rsidRPr="00B64229">
        <w:t xml:space="preserve">– binnen de geldende Europese regels – het steunpercentage te verhogen voor kleine ondernemingen en voor samenwerkingsverbanden </w:t>
      </w:r>
      <w:r w:rsidR="001B40D5" w:rsidRPr="00B64229">
        <w:t>m</w:t>
      </w:r>
      <w:r>
        <w:t xml:space="preserve">et minstens één </w:t>
      </w:r>
      <w:proofErr w:type="spellStart"/>
      <w:r>
        <w:t>kmo</w:t>
      </w:r>
      <w:proofErr w:type="spellEnd"/>
      <w:r>
        <w:t>.</w:t>
      </w:r>
    </w:p>
    <w:p w:rsidR="009817A0" w:rsidRDefault="009817A0" w:rsidP="00F85CE0">
      <w:pPr>
        <w:pStyle w:val="StandaardSV"/>
      </w:pPr>
    </w:p>
    <w:p w:rsidR="009817A0" w:rsidRDefault="00F37097" w:rsidP="00F85CE0">
      <w:pPr>
        <w:pStyle w:val="StandaardSV"/>
        <w:ind w:left="360" w:hanging="360"/>
      </w:pPr>
      <w:r>
        <w:t>5a.</w:t>
      </w:r>
      <w:r>
        <w:tab/>
        <w:t>Zie onderstaande tabel.</w:t>
      </w:r>
    </w:p>
    <w:p w:rsidR="00986853" w:rsidRPr="007D23D9" w:rsidRDefault="00986853" w:rsidP="00F85CE0">
      <w:pPr>
        <w:ind w:left="360"/>
        <w:jc w:val="both"/>
      </w:pPr>
    </w:p>
    <w:tbl>
      <w:tblPr>
        <w:tblW w:w="0" w:type="auto"/>
        <w:tblInd w:w="817" w:type="dxa"/>
        <w:tblBorders>
          <w:top w:val="single" w:sz="8" w:space="0" w:color="000000"/>
          <w:bottom w:val="single" w:sz="8" w:space="0" w:color="000000"/>
        </w:tblBorders>
        <w:tblLook w:val="04A0" w:firstRow="1" w:lastRow="0" w:firstColumn="1" w:lastColumn="0" w:noHBand="0" w:noVBand="1"/>
      </w:tblPr>
      <w:tblGrid>
        <w:gridCol w:w="2211"/>
        <w:gridCol w:w="1265"/>
        <w:gridCol w:w="1741"/>
        <w:gridCol w:w="1623"/>
        <w:gridCol w:w="1631"/>
      </w:tblGrid>
      <w:tr w:rsidR="00986853" w:rsidRPr="007D23D9" w:rsidTr="00986853">
        <w:tc>
          <w:tcPr>
            <w:tcW w:w="2211" w:type="dxa"/>
          </w:tcPr>
          <w:p w:rsidR="00986853" w:rsidRPr="007D23D9" w:rsidRDefault="00986853" w:rsidP="00F85CE0">
            <w:pPr>
              <w:jc w:val="center"/>
            </w:pPr>
          </w:p>
        </w:tc>
        <w:tc>
          <w:tcPr>
            <w:tcW w:w="1265" w:type="dxa"/>
          </w:tcPr>
          <w:p w:rsidR="00986853" w:rsidRPr="007D23D9" w:rsidRDefault="00986853" w:rsidP="00F85CE0">
            <w:pPr>
              <w:jc w:val="center"/>
            </w:pPr>
            <w:r w:rsidRPr="007D23D9">
              <w:t>2009</w:t>
            </w:r>
          </w:p>
        </w:tc>
        <w:tc>
          <w:tcPr>
            <w:tcW w:w="1741" w:type="dxa"/>
          </w:tcPr>
          <w:p w:rsidR="00986853" w:rsidRPr="007D23D9" w:rsidRDefault="00986853" w:rsidP="00F85CE0">
            <w:pPr>
              <w:jc w:val="center"/>
            </w:pPr>
            <w:r w:rsidRPr="007D23D9">
              <w:t>2010</w:t>
            </w:r>
          </w:p>
        </w:tc>
        <w:tc>
          <w:tcPr>
            <w:tcW w:w="1623" w:type="dxa"/>
          </w:tcPr>
          <w:p w:rsidR="00986853" w:rsidRPr="007D23D9" w:rsidRDefault="00986853" w:rsidP="00F85CE0">
            <w:pPr>
              <w:jc w:val="center"/>
            </w:pPr>
            <w:r w:rsidRPr="007D23D9">
              <w:t>2011</w:t>
            </w:r>
          </w:p>
        </w:tc>
        <w:tc>
          <w:tcPr>
            <w:tcW w:w="1631" w:type="dxa"/>
          </w:tcPr>
          <w:p w:rsidR="00986853" w:rsidRPr="007D23D9" w:rsidRDefault="00986853" w:rsidP="00F85CE0">
            <w:pPr>
              <w:jc w:val="center"/>
            </w:pPr>
            <w:r w:rsidRPr="007D23D9">
              <w:t>2012</w:t>
            </w:r>
          </w:p>
        </w:tc>
      </w:tr>
      <w:tr w:rsidR="00986853" w:rsidRPr="007D23D9" w:rsidTr="00986853">
        <w:tc>
          <w:tcPr>
            <w:tcW w:w="2211" w:type="dxa"/>
          </w:tcPr>
          <w:p w:rsidR="00986853" w:rsidRPr="007D23D9" w:rsidRDefault="00986853" w:rsidP="00F85CE0">
            <w:pPr>
              <w:jc w:val="center"/>
            </w:pPr>
          </w:p>
        </w:tc>
        <w:tc>
          <w:tcPr>
            <w:tcW w:w="1265" w:type="dxa"/>
          </w:tcPr>
          <w:p w:rsidR="00986853" w:rsidRPr="007D23D9" w:rsidRDefault="00986853" w:rsidP="00F85CE0">
            <w:pPr>
              <w:jc w:val="center"/>
            </w:pPr>
          </w:p>
        </w:tc>
        <w:tc>
          <w:tcPr>
            <w:tcW w:w="1741" w:type="dxa"/>
            <w:tcBorders>
              <w:right w:val="nil"/>
            </w:tcBorders>
          </w:tcPr>
          <w:p w:rsidR="00986853" w:rsidRPr="007D23D9" w:rsidRDefault="00986853" w:rsidP="00F85CE0">
            <w:pPr>
              <w:jc w:val="center"/>
            </w:pPr>
          </w:p>
        </w:tc>
        <w:tc>
          <w:tcPr>
            <w:tcW w:w="1623" w:type="dxa"/>
            <w:tcBorders>
              <w:left w:val="nil"/>
            </w:tcBorders>
          </w:tcPr>
          <w:p w:rsidR="00986853" w:rsidRPr="007D23D9" w:rsidRDefault="00986853" w:rsidP="00F85CE0">
            <w:pPr>
              <w:jc w:val="center"/>
            </w:pPr>
          </w:p>
        </w:tc>
        <w:tc>
          <w:tcPr>
            <w:tcW w:w="1631" w:type="dxa"/>
            <w:tcBorders>
              <w:left w:val="nil"/>
            </w:tcBorders>
          </w:tcPr>
          <w:p w:rsidR="00986853" w:rsidRPr="007D23D9" w:rsidRDefault="00986853" w:rsidP="00F85CE0">
            <w:pPr>
              <w:jc w:val="center"/>
            </w:pPr>
          </w:p>
        </w:tc>
      </w:tr>
      <w:tr w:rsidR="00986853" w:rsidRPr="007D23D9" w:rsidTr="00986853">
        <w:tc>
          <w:tcPr>
            <w:tcW w:w="2211" w:type="dxa"/>
          </w:tcPr>
          <w:p w:rsidR="00986853" w:rsidRPr="007D23D9" w:rsidRDefault="00986853" w:rsidP="00F85CE0">
            <w:pPr>
              <w:jc w:val="center"/>
            </w:pPr>
            <w:r w:rsidRPr="007D23D9">
              <w:t>Aantal buitenlandse kandidaten</w:t>
            </w:r>
          </w:p>
        </w:tc>
        <w:tc>
          <w:tcPr>
            <w:tcW w:w="1265" w:type="dxa"/>
          </w:tcPr>
          <w:p w:rsidR="00986853" w:rsidRPr="007D23D9" w:rsidRDefault="00986853" w:rsidP="00F85CE0">
            <w:pPr>
              <w:jc w:val="center"/>
            </w:pPr>
            <w:r w:rsidRPr="007D23D9">
              <w:t>5</w:t>
            </w:r>
          </w:p>
        </w:tc>
        <w:tc>
          <w:tcPr>
            <w:tcW w:w="1741" w:type="dxa"/>
          </w:tcPr>
          <w:p w:rsidR="00986853" w:rsidRPr="007D23D9" w:rsidRDefault="00986853" w:rsidP="00F85CE0">
            <w:pPr>
              <w:jc w:val="center"/>
            </w:pPr>
            <w:r w:rsidRPr="007D23D9">
              <w:t>8</w:t>
            </w:r>
          </w:p>
        </w:tc>
        <w:tc>
          <w:tcPr>
            <w:tcW w:w="1623" w:type="dxa"/>
          </w:tcPr>
          <w:p w:rsidR="00986853" w:rsidRPr="007D23D9" w:rsidRDefault="00986853" w:rsidP="00F85CE0">
            <w:pPr>
              <w:jc w:val="center"/>
            </w:pPr>
            <w:r w:rsidRPr="007D23D9">
              <w:t>5</w:t>
            </w:r>
          </w:p>
        </w:tc>
        <w:tc>
          <w:tcPr>
            <w:tcW w:w="1631" w:type="dxa"/>
          </w:tcPr>
          <w:p w:rsidR="00986853" w:rsidRPr="007D23D9" w:rsidRDefault="00986853" w:rsidP="00F85CE0">
            <w:pPr>
              <w:jc w:val="center"/>
            </w:pPr>
            <w:r>
              <w:t>7</w:t>
            </w:r>
          </w:p>
        </w:tc>
      </w:tr>
      <w:tr w:rsidR="00986853" w:rsidRPr="007D23D9" w:rsidTr="00986853">
        <w:tc>
          <w:tcPr>
            <w:tcW w:w="2211" w:type="dxa"/>
          </w:tcPr>
          <w:p w:rsidR="00986853" w:rsidRPr="007D23D9" w:rsidRDefault="00986853" w:rsidP="00F85CE0">
            <w:pPr>
              <w:jc w:val="center"/>
            </w:pPr>
            <w:r w:rsidRPr="007D23D9">
              <w:t>% buitenlanders</w:t>
            </w:r>
          </w:p>
        </w:tc>
        <w:tc>
          <w:tcPr>
            <w:tcW w:w="1265" w:type="dxa"/>
          </w:tcPr>
          <w:p w:rsidR="00986853" w:rsidRPr="007D23D9" w:rsidRDefault="00986853" w:rsidP="00F85CE0">
            <w:pPr>
              <w:jc w:val="center"/>
            </w:pPr>
            <w:r w:rsidRPr="007D23D9">
              <w:t>7%</w:t>
            </w:r>
          </w:p>
        </w:tc>
        <w:tc>
          <w:tcPr>
            <w:tcW w:w="1741" w:type="dxa"/>
            <w:tcBorders>
              <w:right w:val="nil"/>
            </w:tcBorders>
          </w:tcPr>
          <w:p w:rsidR="00986853" w:rsidRPr="007D23D9" w:rsidRDefault="00986853" w:rsidP="00F85CE0">
            <w:pPr>
              <w:jc w:val="center"/>
            </w:pPr>
            <w:r w:rsidRPr="007D23D9">
              <w:t>16%</w:t>
            </w:r>
          </w:p>
        </w:tc>
        <w:tc>
          <w:tcPr>
            <w:tcW w:w="1623" w:type="dxa"/>
            <w:tcBorders>
              <w:left w:val="nil"/>
            </w:tcBorders>
          </w:tcPr>
          <w:p w:rsidR="00986853" w:rsidRPr="007D23D9" w:rsidRDefault="00986853" w:rsidP="00F85CE0">
            <w:pPr>
              <w:jc w:val="center"/>
            </w:pPr>
            <w:r w:rsidRPr="007D23D9">
              <w:t>11%</w:t>
            </w:r>
          </w:p>
        </w:tc>
        <w:tc>
          <w:tcPr>
            <w:tcW w:w="1631" w:type="dxa"/>
            <w:tcBorders>
              <w:left w:val="nil"/>
            </w:tcBorders>
          </w:tcPr>
          <w:p w:rsidR="00986853" w:rsidRPr="007D23D9" w:rsidRDefault="00986853" w:rsidP="00F85CE0">
            <w:pPr>
              <w:jc w:val="center"/>
            </w:pPr>
            <w:r>
              <w:t>17,5%</w:t>
            </w:r>
          </w:p>
        </w:tc>
      </w:tr>
      <w:tr w:rsidR="00986853" w:rsidRPr="007D23D9" w:rsidTr="00986853">
        <w:tc>
          <w:tcPr>
            <w:tcW w:w="2211" w:type="dxa"/>
          </w:tcPr>
          <w:p w:rsidR="00986853" w:rsidRPr="007D23D9" w:rsidRDefault="00986853" w:rsidP="00F85CE0">
            <w:pPr>
              <w:jc w:val="center"/>
            </w:pPr>
            <w:r w:rsidRPr="007D23D9">
              <w:t>Niet-EU kandidaten</w:t>
            </w:r>
          </w:p>
        </w:tc>
        <w:tc>
          <w:tcPr>
            <w:tcW w:w="1265" w:type="dxa"/>
          </w:tcPr>
          <w:p w:rsidR="00986853" w:rsidRPr="007D23D9" w:rsidRDefault="00986853" w:rsidP="00F85CE0">
            <w:pPr>
              <w:jc w:val="center"/>
            </w:pPr>
            <w:r w:rsidRPr="007D23D9">
              <w:t>1</w:t>
            </w:r>
          </w:p>
        </w:tc>
        <w:tc>
          <w:tcPr>
            <w:tcW w:w="1741" w:type="dxa"/>
          </w:tcPr>
          <w:p w:rsidR="00986853" w:rsidRPr="007D23D9" w:rsidRDefault="00986853" w:rsidP="00F85CE0">
            <w:pPr>
              <w:jc w:val="center"/>
            </w:pPr>
            <w:r w:rsidRPr="007D23D9">
              <w:t>7</w:t>
            </w:r>
          </w:p>
        </w:tc>
        <w:tc>
          <w:tcPr>
            <w:tcW w:w="1623" w:type="dxa"/>
            <w:tcBorders>
              <w:bottom w:val="single" w:sz="8" w:space="0" w:color="000000"/>
            </w:tcBorders>
          </w:tcPr>
          <w:p w:rsidR="00986853" w:rsidRPr="007D23D9" w:rsidRDefault="00986853" w:rsidP="00F85CE0">
            <w:pPr>
              <w:jc w:val="center"/>
            </w:pPr>
            <w:r w:rsidRPr="007D23D9">
              <w:t>2</w:t>
            </w:r>
          </w:p>
        </w:tc>
        <w:tc>
          <w:tcPr>
            <w:tcW w:w="1631" w:type="dxa"/>
            <w:tcBorders>
              <w:bottom w:val="single" w:sz="8" w:space="0" w:color="000000"/>
            </w:tcBorders>
          </w:tcPr>
          <w:p w:rsidR="00986853" w:rsidRPr="007D23D9" w:rsidRDefault="00986853" w:rsidP="00F85CE0">
            <w:pPr>
              <w:jc w:val="center"/>
            </w:pPr>
            <w:r>
              <w:t>2</w:t>
            </w:r>
          </w:p>
        </w:tc>
      </w:tr>
    </w:tbl>
    <w:p w:rsidR="00986853" w:rsidRPr="007D23D9" w:rsidRDefault="00986853" w:rsidP="00F85CE0">
      <w:pPr>
        <w:ind w:left="360"/>
        <w:jc w:val="both"/>
      </w:pPr>
    </w:p>
    <w:p w:rsidR="00986853" w:rsidRPr="00B64229" w:rsidRDefault="00F37097" w:rsidP="00F85CE0">
      <w:pPr>
        <w:pStyle w:val="StandaardSV"/>
        <w:ind w:left="360" w:hanging="360"/>
      </w:pPr>
      <w:r>
        <w:t>5b.</w:t>
      </w:r>
      <w:r>
        <w:tab/>
      </w:r>
      <w:r w:rsidR="00986853" w:rsidRPr="00B64229">
        <w:t>Alle handleidingen en aanvraagdocumenten werden ter beschikking gesteld in het Engels (voor</w:t>
      </w:r>
      <w:r w:rsidR="000E5FEA" w:rsidRPr="00B64229">
        <w:t xml:space="preserve"> zover dit nog niet gebeurd was). Daarnaast wordt </w:t>
      </w:r>
      <w:r w:rsidR="00986853" w:rsidRPr="00B64229">
        <w:t xml:space="preserve">de mogelijkheid voorzien voor </w:t>
      </w:r>
      <w:r w:rsidR="00C45A74" w:rsidRPr="00B64229">
        <w:t xml:space="preserve">een </w:t>
      </w:r>
      <w:r w:rsidR="00986853" w:rsidRPr="00B64229">
        <w:t xml:space="preserve">aanvraag van </w:t>
      </w:r>
      <w:r w:rsidR="000E5FEA" w:rsidRPr="00B64229">
        <w:t xml:space="preserve">een </w:t>
      </w:r>
      <w:r w:rsidR="00986853" w:rsidRPr="00B64229">
        <w:t>reiskrediet zowel voor “incoming mobility</w:t>
      </w:r>
      <w:r w:rsidR="00F95AC8" w:rsidRPr="00B64229">
        <w:t>” als voor “outgoing mobility”. In het eerste</w:t>
      </w:r>
      <w:r w:rsidR="000E5FEA" w:rsidRPr="00B64229">
        <w:t xml:space="preserve"> geval beogen we buitenlandse kandidaten beter te kunnen betrekken bij de uitwerking van een projectaanvraag en de voorbereiding op de evaluatiecolleges. In het tweede geval beogen we de drempel te verlagen voor een langdurig studieverblijf in het buitenland</w:t>
      </w:r>
      <w:r w:rsidR="00F95AC8" w:rsidRPr="00B64229">
        <w:t xml:space="preserve"> </w:t>
      </w:r>
      <w:r w:rsidR="000E5FEA" w:rsidRPr="00B64229">
        <w:t>tijdens de doctoraatsperiode.</w:t>
      </w:r>
    </w:p>
    <w:p w:rsidR="009817A0" w:rsidRDefault="009817A0" w:rsidP="00F85CE0">
      <w:pPr>
        <w:pStyle w:val="StandaardSV"/>
        <w:ind w:left="360"/>
      </w:pPr>
    </w:p>
    <w:p w:rsidR="000E5FEA" w:rsidRPr="00F37097" w:rsidRDefault="00F37097" w:rsidP="00F85CE0">
      <w:pPr>
        <w:pStyle w:val="StandaardSV"/>
        <w:ind w:left="360" w:hanging="360"/>
        <w:rPr>
          <w:szCs w:val="22"/>
        </w:rPr>
      </w:pPr>
      <w:r>
        <w:rPr>
          <w:szCs w:val="22"/>
        </w:rPr>
        <w:t>5c.</w:t>
      </w:r>
      <w:r>
        <w:rPr>
          <w:szCs w:val="22"/>
        </w:rPr>
        <w:tab/>
      </w:r>
      <w:r w:rsidR="00BC73BA" w:rsidRPr="00F37097">
        <w:rPr>
          <w:szCs w:val="22"/>
        </w:rPr>
        <w:t>De werkgroep “Mobiliteit mobiliseren” concludeerde eerder dat de meest geschikte aanpak</w:t>
      </w:r>
      <w:r w:rsidR="00DF281C">
        <w:rPr>
          <w:szCs w:val="22"/>
        </w:rPr>
        <w:t xml:space="preserve"> </w:t>
      </w:r>
      <w:r w:rsidR="00DF281C" w:rsidRPr="00F37097">
        <w:rPr>
          <w:szCs w:val="22"/>
        </w:rPr>
        <w:t>om mobiliteit te faciliteren</w:t>
      </w:r>
      <w:r w:rsidR="00BC73BA" w:rsidRPr="00F37097">
        <w:rPr>
          <w:szCs w:val="22"/>
        </w:rPr>
        <w:t xml:space="preserve"> op master- en doctoraatsniveau is</w:t>
      </w:r>
      <w:r w:rsidR="00DF281C">
        <w:rPr>
          <w:szCs w:val="22"/>
        </w:rPr>
        <w:t xml:space="preserve"> dat</w:t>
      </w:r>
      <w:r w:rsidR="00BC73BA" w:rsidRPr="00F37097">
        <w:rPr>
          <w:szCs w:val="22"/>
        </w:rPr>
        <w:t xml:space="preserve"> voor jonge onderzoekers de instellingen en overheden</w:t>
      </w:r>
      <w:r w:rsidR="00DF281C">
        <w:rPr>
          <w:szCs w:val="22"/>
        </w:rPr>
        <w:t xml:space="preserve"> de</w:t>
      </w:r>
      <w:r w:rsidR="00BC73BA" w:rsidRPr="00F37097">
        <w:rPr>
          <w:szCs w:val="22"/>
        </w:rPr>
        <w:t xml:space="preserve"> financiële en persoonlijke barrières uit de weg</w:t>
      </w:r>
      <w:r w:rsidR="00DF281C">
        <w:rPr>
          <w:szCs w:val="22"/>
        </w:rPr>
        <w:t xml:space="preserve"> moeten</w:t>
      </w:r>
      <w:r w:rsidR="00BC73BA" w:rsidRPr="00F37097">
        <w:rPr>
          <w:szCs w:val="22"/>
        </w:rPr>
        <w:t xml:space="preserve"> ruimen. </w:t>
      </w:r>
    </w:p>
    <w:p w:rsidR="00F37097" w:rsidRDefault="00F37097" w:rsidP="00F85CE0">
      <w:pPr>
        <w:pStyle w:val="StandaardSV"/>
        <w:ind w:left="360"/>
      </w:pPr>
    </w:p>
    <w:p w:rsidR="00134678" w:rsidRPr="00531705" w:rsidRDefault="00F37097" w:rsidP="00531705">
      <w:pPr>
        <w:pStyle w:val="StandaardSV"/>
        <w:ind w:left="360" w:hanging="360"/>
      </w:pPr>
      <w:r w:rsidRPr="00531705">
        <w:rPr>
          <w:rFonts w:eastAsiaTheme="minorHAnsi"/>
          <w:szCs w:val="22"/>
          <w:lang w:val="nl-BE" w:eastAsia="en-US"/>
        </w:rPr>
        <w:t>6a.</w:t>
      </w:r>
      <w:r w:rsidRPr="00531705">
        <w:rPr>
          <w:rFonts w:eastAsiaTheme="minorHAnsi"/>
          <w:szCs w:val="22"/>
          <w:lang w:val="nl-BE" w:eastAsia="en-US"/>
        </w:rPr>
        <w:tab/>
      </w:r>
      <w:r w:rsidR="00134678" w:rsidRPr="00531705">
        <w:t xml:space="preserve">De </w:t>
      </w:r>
      <w:proofErr w:type="spellStart"/>
      <w:r w:rsidR="00134678" w:rsidRPr="00531705">
        <w:t>Baekeland</w:t>
      </w:r>
      <w:proofErr w:type="spellEnd"/>
      <w:r w:rsidR="00134678" w:rsidRPr="00531705">
        <w:t xml:space="preserve">-projecten zijn in feite een bijzondere variant op de klassieke O&amp;O-bedrijfsprojecten (zie ook het antwoord op vraag 8), en de financiering ervan gebeurt in de praktijk ook van dezelfde middelen als de financiering van de O&amp;O-bedrijfsprojecten. Aan IWT is gevraagd om in de toekomst extra inspanningen te doen om de instroom aan </w:t>
      </w:r>
      <w:proofErr w:type="spellStart"/>
      <w:r w:rsidR="00134678" w:rsidRPr="00531705">
        <w:t>Baekeland</w:t>
      </w:r>
      <w:proofErr w:type="spellEnd"/>
      <w:r w:rsidR="00134678" w:rsidRPr="00531705">
        <w:t>-projecten te verhogen en om ze voor financiering in aanmerking te nemen binnen de grotere portefeuille van O&amp;O-bedrijfsprojecten.</w:t>
      </w:r>
    </w:p>
    <w:p w:rsidR="00134678" w:rsidRPr="00531705" w:rsidRDefault="00134678" w:rsidP="00531705">
      <w:pPr>
        <w:pStyle w:val="Tekstzonderopmaak"/>
        <w:ind w:left="360"/>
        <w:jc w:val="both"/>
        <w:rPr>
          <w:rFonts w:ascii="Times New Roman" w:hAnsi="Times New Roman"/>
        </w:rPr>
      </w:pPr>
    </w:p>
    <w:p w:rsidR="00134678" w:rsidRPr="00531705" w:rsidRDefault="00134678" w:rsidP="00531705">
      <w:pPr>
        <w:pStyle w:val="StandaardSV"/>
        <w:ind w:left="294"/>
        <w:rPr>
          <w:rFonts w:eastAsiaTheme="minorHAnsi"/>
          <w:szCs w:val="22"/>
          <w:lang w:val="nl-BE" w:eastAsia="en-US"/>
        </w:rPr>
      </w:pPr>
      <w:r w:rsidRPr="00531705">
        <w:rPr>
          <w:rFonts w:eastAsiaTheme="minorHAnsi"/>
          <w:szCs w:val="22"/>
          <w:lang w:val="nl-BE" w:eastAsia="en-US"/>
        </w:rPr>
        <w:t xml:space="preserve">Daarnaast werd ook beslist om extra steun toe te kennen voor kleine ondernemingen en in geval van samenwerking met minstens één </w:t>
      </w:r>
      <w:proofErr w:type="spellStart"/>
      <w:r w:rsidRPr="00531705">
        <w:rPr>
          <w:rFonts w:eastAsiaTheme="minorHAnsi"/>
          <w:szCs w:val="22"/>
          <w:lang w:val="nl-BE" w:eastAsia="en-US"/>
        </w:rPr>
        <w:t>kmo</w:t>
      </w:r>
      <w:proofErr w:type="spellEnd"/>
    </w:p>
    <w:p w:rsidR="00531705" w:rsidRPr="00531705" w:rsidRDefault="00531705" w:rsidP="00531705">
      <w:pPr>
        <w:pStyle w:val="StandaardSV"/>
        <w:ind w:left="294" w:hanging="294"/>
        <w:rPr>
          <w:rFonts w:eastAsiaTheme="minorHAnsi"/>
          <w:szCs w:val="22"/>
          <w:lang w:val="nl-BE" w:eastAsia="en-US"/>
        </w:rPr>
      </w:pPr>
    </w:p>
    <w:p w:rsidR="00531705" w:rsidRDefault="00531705" w:rsidP="00531705">
      <w:pPr>
        <w:pStyle w:val="Tekstzonderopmaak"/>
        <w:ind w:left="294" w:hanging="294"/>
        <w:jc w:val="both"/>
        <w:rPr>
          <w:rFonts w:ascii="Times New Roman" w:hAnsi="Times New Roman"/>
        </w:rPr>
      </w:pPr>
      <w:r w:rsidRPr="00531705">
        <w:rPr>
          <w:rFonts w:ascii="Times New Roman" w:hAnsi="Times New Roman"/>
        </w:rPr>
        <w:t>6b. Er werden hiertoe geen extra middelen voorzien voor IWT. De financiering gebeurt van de overkoepelende portefeuille van O&amp;O-</w:t>
      </w:r>
      <w:r>
        <w:rPr>
          <w:rFonts w:ascii="Times New Roman" w:hAnsi="Times New Roman"/>
        </w:rPr>
        <w:t>b</w:t>
      </w:r>
      <w:r w:rsidRPr="00531705">
        <w:rPr>
          <w:rFonts w:ascii="Times New Roman" w:hAnsi="Times New Roman"/>
        </w:rPr>
        <w:t>edrijfsprojecten. </w:t>
      </w:r>
    </w:p>
    <w:p w:rsidR="00531705" w:rsidRPr="00531705" w:rsidRDefault="00531705" w:rsidP="00531705">
      <w:pPr>
        <w:pStyle w:val="Tekstzonderopmaak"/>
        <w:ind w:left="294" w:hanging="294"/>
        <w:jc w:val="both"/>
        <w:rPr>
          <w:rFonts w:ascii="Times New Roman" w:hAnsi="Times New Roman"/>
        </w:rPr>
      </w:pPr>
    </w:p>
    <w:p w:rsidR="00531705" w:rsidRPr="00531705" w:rsidRDefault="00531705" w:rsidP="00531705">
      <w:pPr>
        <w:pStyle w:val="Tekstzonderopmaak"/>
        <w:ind w:left="294" w:hanging="294"/>
        <w:jc w:val="both"/>
        <w:rPr>
          <w:rFonts w:ascii="Times New Roman" w:hAnsi="Times New Roman"/>
        </w:rPr>
      </w:pPr>
      <w:r w:rsidRPr="00531705">
        <w:rPr>
          <w:rFonts w:ascii="Times New Roman" w:hAnsi="Times New Roman"/>
        </w:rPr>
        <w:t xml:space="preserve">6c. Het streefdoel is enerzijds om meer </w:t>
      </w:r>
      <w:proofErr w:type="spellStart"/>
      <w:r w:rsidRPr="00531705">
        <w:rPr>
          <w:rFonts w:ascii="Times New Roman" w:hAnsi="Times New Roman"/>
        </w:rPr>
        <w:t>Baekeland</w:t>
      </w:r>
      <w:proofErr w:type="spellEnd"/>
      <w:r w:rsidRPr="00531705">
        <w:rPr>
          <w:rFonts w:ascii="Times New Roman" w:hAnsi="Times New Roman"/>
        </w:rPr>
        <w:t xml:space="preserve">-projecten te kunnen financieren, en anderzijds om meer </w:t>
      </w:r>
      <w:proofErr w:type="spellStart"/>
      <w:r w:rsidRPr="00531705">
        <w:rPr>
          <w:rFonts w:ascii="Times New Roman" w:hAnsi="Times New Roman"/>
        </w:rPr>
        <w:t>Baekeland</w:t>
      </w:r>
      <w:proofErr w:type="spellEnd"/>
      <w:r w:rsidRPr="00531705">
        <w:rPr>
          <w:rFonts w:ascii="Times New Roman" w:hAnsi="Times New Roman"/>
        </w:rPr>
        <w:t xml:space="preserve">-projecten bij </w:t>
      </w:r>
      <w:proofErr w:type="spellStart"/>
      <w:r w:rsidRPr="00531705">
        <w:rPr>
          <w:rFonts w:ascii="Times New Roman" w:hAnsi="Times New Roman"/>
        </w:rPr>
        <w:t>kmo’s</w:t>
      </w:r>
      <w:proofErr w:type="spellEnd"/>
      <w:r w:rsidRPr="00531705">
        <w:rPr>
          <w:rFonts w:ascii="Times New Roman" w:hAnsi="Times New Roman"/>
        </w:rPr>
        <w:t xml:space="preserve"> te steunen.</w:t>
      </w:r>
    </w:p>
    <w:p w:rsidR="009817A0" w:rsidRPr="00531705" w:rsidRDefault="009817A0" w:rsidP="00531705">
      <w:pPr>
        <w:pStyle w:val="StandaardSV"/>
        <w:ind w:left="294" w:hanging="294"/>
        <w:rPr>
          <w:rFonts w:eastAsiaTheme="minorHAnsi"/>
          <w:szCs w:val="22"/>
          <w:lang w:val="nl-BE" w:eastAsia="en-US"/>
        </w:rPr>
      </w:pPr>
    </w:p>
    <w:p w:rsidR="00C45A74" w:rsidRPr="00193C2B" w:rsidRDefault="00C45A74" w:rsidP="00531705">
      <w:pPr>
        <w:pStyle w:val="StandaardSV"/>
        <w:numPr>
          <w:ilvl w:val="0"/>
          <w:numId w:val="34"/>
        </w:numPr>
        <w:ind w:left="294" w:hanging="294"/>
      </w:pPr>
      <w:r w:rsidRPr="00531705">
        <w:t>Een formele evaluatie heeft nog niet plaatsgevonden</w:t>
      </w:r>
      <w:r w:rsidR="001B40D5" w:rsidRPr="00531705">
        <w:t xml:space="preserve"> wegens </w:t>
      </w:r>
      <w:r w:rsidR="007A77D9" w:rsidRPr="00531705">
        <w:t>het feit dat de eerste resultaten pas in 2013 kunnen verwacht worden</w:t>
      </w:r>
      <w:r w:rsidRPr="00531705">
        <w:t>, maar de reacties vanuit het bedrijfsleven en van de kant van</w:t>
      </w:r>
      <w:r w:rsidRPr="00193C2B">
        <w:t xml:space="preserve"> wetenschappelijke promotoren die reeds een project begeleiden, zijn positief. Dit blijkt </w:t>
      </w:r>
      <w:r w:rsidR="007A77D9" w:rsidRPr="00193C2B">
        <w:t xml:space="preserve">o.m. </w:t>
      </w:r>
      <w:r w:rsidRPr="00193C2B">
        <w:t>uit de tussentijdse adviezen van de wetenschappelijke pro</w:t>
      </w:r>
      <w:r w:rsidR="001B40D5" w:rsidRPr="00193C2B">
        <w:t xml:space="preserve">motoren, alsook uit </w:t>
      </w:r>
      <w:r w:rsidRPr="00193C2B">
        <w:t>h</w:t>
      </w:r>
      <w:r w:rsidR="001B40D5" w:rsidRPr="00193C2B">
        <w:t>e</w:t>
      </w:r>
      <w:r w:rsidRPr="00193C2B">
        <w:t xml:space="preserve">t feit dat bedrijven die reeds een mandaat hebben lopen, in volgende oproepen opnieuw kandidaten en projectvoorstellen indienen. </w:t>
      </w:r>
    </w:p>
    <w:p w:rsidR="009817A0" w:rsidRDefault="009817A0" w:rsidP="00F85CE0">
      <w:pPr>
        <w:pStyle w:val="StandaardSV"/>
        <w:ind w:left="360"/>
      </w:pPr>
    </w:p>
    <w:p w:rsidR="007A77D9" w:rsidRPr="00193C2B" w:rsidRDefault="00C45A74" w:rsidP="00F85CE0">
      <w:pPr>
        <w:pStyle w:val="StandaardSV"/>
        <w:numPr>
          <w:ilvl w:val="0"/>
          <w:numId w:val="34"/>
        </w:numPr>
      </w:pPr>
      <w:r w:rsidRPr="00193C2B">
        <w:lastRenderedPageBreak/>
        <w:t>De Baekelandmandaten zijn zeker complementair t.o.v. de doctoraatsbeurzen</w:t>
      </w:r>
      <w:r w:rsidR="003562E8" w:rsidRPr="00193C2B">
        <w:t>. Een belangrijk verschil is dat een Baekelandmandaat aangevraagd wordt door een bedrijf en steun gegeven wordt</w:t>
      </w:r>
      <w:r w:rsidR="007A77D9" w:rsidRPr="00193C2B">
        <w:t xml:space="preserve"> als bedrijfssteun. De b</w:t>
      </w:r>
      <w:r w:rsidR="003562E8" w:rsidRPr="00193C2B">
        <w:t>edrijven kunnen op deze manier rechten</w:t>
      </w:r>
      <w:r w:rsidR="007A77D9" w:rsidRPr="00193C2B">
        <w:t xml:space="preserve"> hebben op de projectresultaten en bepalen de strategische oriëntatie van het project naar latere benutting, in overleg met de wetenschappelijke partners</w:t>
      </w:r>
      <w:r w:rsidR="003562E8" w:rsidRPr="00193C2B">
        <w:t>.</w:t>
      </w:r>
    </w:p>
    <w:p w:rsidR="007A77D9" w:rsidRPr="00193C2B" w:rsidRDefault="007A77D9" w:rsidP="00F85CE0">
      <w:pPr>
        <w:pStyle w:val="StandaardSV"/>
        <w:ind w:left="360"/>
      </w:pPr>
    </w:p>
    <w:p w:rsidR="00C45A74" w:rsidRPr="00193C2B" w:rsidRDefault="003562E8" w:rsidP="00F85CE0">
      <w:pPr>
        <w:pStyle w:val="StandaardSV"/>
        <w:ind w:left="360"/>
      </w:pPr>
      <w:r w:rsidRPr="00193C2B">
        <w:t>De mandatarissen zijn werknemer</w:t>
      </w:r>
      <w:r w:rsidR="00DF281C">
        <w:t>,</w:t>
      </w:r>
      <w:r w:rsidRPr="00193C2B">
        <w:t xml:space="preserve"> hetzij van de kennisinstelling, hetzij van het bedrijf. Dit werknemersstatuut maakt dat het mandaat deeltijds kan opgenomen worden, men tewerkgesteld kan zijn binnen het bedrijf en/of een groot deel van de activiteiten binnen een bedrijf kan uitgevoerd worden. Er is verder geen enkele beperking naar aantal jaren onderzoekservaring, nationaliteit, diploma, voor zover men toegelaten wordt tot de doctoraatsopleiding. De mandataris bouwt niet alleen een academisch netwerk uit, maar ook een industrieel netwerk en kan deelnemen aan opleidingen en vergaderingen binnen het bedrijf. Hij/zij verwerft op deze manier </w:t>
      </w:r>
      <w:r w:rsidR="0073456C" w:rsidRPr="00193C2B">
        <w:t>skills en ervaringen die na afloop van het doctoraat zeer nuttig kunnen zijn bij de start van de loopbaan binnen het bedrijfsleven.</w:t>
      </w:r>
    </w:p>
    <w:p w:rsidR="007A77D9" w:rsidRPr="00193C2B" w:rsidRDefault="007A77D9" w:rsidP="00F85CE0">
      <w:pPr>
        <w:pStyle w:val="StandaardSV"/>
        <w:ind w:left="360"/>
      </w:pPr>
    </w:p>
    <w:p w:rsidR="007A77D9" w:rsidRPr="00193C2B" w:rsidRDefault="0073456C" w:rsidP="00F85CE0">
      <w:pPr>
        <w:pStyle w:val="StandaardSV"/>
        <w:ind w:left="360"/>
      </w:pPr>
      <w:r w:rsidRPr="00193C2B">
        <w:t xml:space="preserve">Op </w:t>
      </w:r>
      <w:r w:rsidR="00DF281C">
        <w:t>deze manier</w:t>
      </w:r>
      <w:r w:rsidRPr="00193C2B">
        <w:t xml:space="preserve"> zullen de </w:t>
      </w:r>
      <w:r w:rsidR="00DF281C">
        <w:t>project</w:t>
      </w:r>
      <w:r w:rsidRPr="00193C2B">
        <w:t>resultaten gemakkelijker en wellicht sneller benut worden door het bedrijf. Het bedrijf heeft immers bij de opzet van het project de strategische doelstellingen bepaald, waarbij men vertrekt vanuit een specifiek probleem of opportuniteit.</w:t>
      </w:r>
    </w:p>
    <w:p w:rsidR="00C97BFA" w:rsidRDefault="00C97BFA" w:rsidP="00F85CE0">
      <w:pPr>
        <w:pStyle w:val="StandaardSV"/>
        <w:ind w:left="360"/>
      </w:pPr>
    </w:p>
    <w:p w:rsidR="007A77D9" w:rsidRDefault="007A77D9" w:rsidP="00F85CE0">
      <w:pPr>
        <w:pStyle w:val="StandaardSV"/>
        <w:ind w:left="360"/>
        <w:rPr>
          <w:i/>
        </w:rPr>
      </w:pPr>
      <w:r w:rsidRPr="00193C2B">
        <w:t>In vergelijking met de IWT-doctoraatsbeurzen is er een</w:t>
      </w:r>
      <w:r w:rsidR="009710F9">
        <w:t xml:space="preserve"> nog</w:t>
      </w:r>
      <w:r w:rsidRPr="00193C2B">
        <w:t xml:space="preserve"> grotere actieve betrokkenheid van de bedrijven waardoor resultaten sneller doorstromen naar R&amp;D-activiteiten binne</w:t>
      </w:r>
      <w:r w:rsidR="00EC42C5" w:rsidRPr="00193C2B">
        <w:t>n de bedrijfs</w:t>
      </w:r>
      <w:r w:rsidR="00367DC1">
        <w:softHyphen/>
      </w:r>
      <w:bookmarkStart w:id="0" w:name="_GoBack"/>
      <w:bookmarkEnd w:id="0"/>
      <w:r w:rsidR="00EC42C5" w:rsidRPr="00193C2B">
        <w:t>wereld.</w:t>
      </w:r>
    </w:p>
    <w:p w:rsidR="0030042E" w:rsidRPr="0030042E" w:rsidRDefault="0030042E" w:rsidP="00F85CE0">
      <w:pPr>
        <w:pStyle w:val="SVVlaamsParlement"/>
      </w:pPr>
    </w:p>
    <w:p w:rsidR="00787C9D" w:rsidRDefault="00787C9D" w:rsidP="00F85CE0">
      <w:pPr>
        <w:pStyle w:val="StandaardSV"/>
        <w:sectPr w:rsidR="00787C9D">
          <w:pgSz w:w="11906" w:h="16838"/>
          <w:pgMar w:top="1417" w:right="1417" w:bottom="1417" w:left="1417" w:header="708" w:footer="708" w:gutter="0"/>
          <w:cols w:space="708"/>
        </w:sectPr>
      </w:pPr>
    </w:p>
    <w:p w:rsidR="00787C9D" w:rsidRDefault="00787C9D" w:rsidP="00F85CE0">
      <w:pPr>
        <w:pStyle w:val="StandaardSV"/>
      </w:pPr>
    </w:p>
    <w:p w:rsidR="00787C9D" w:rsidRPr="00787C9D" w:rsidRDefault="00F37097" w:rsidP="00F85CE0">
      <w:pPr>
        <w:pStyle w:val="StandaardSV"/>
        <w:rPr>
          <w:sz w:val="28"/>
          <w:szCs w:val="28"/>
          <w:u w:val="single"/>
        </w:rPr>
      </w:pPr>
      <w:r>
        <w:rPr>
          <w:i/>
          <w:sz w:val="28"/>
          <w:szCs w:val="28"/>
          <w:u w:val="single"/>
        </w:rPr>
        <w:t xml:space="preserve">Bijlage. </w:t>
      </w:r>
      <w:r w:rsidR="00787C9D" w:rsidRPr="00787C9D">
        <w:rPr>
          <w:i/>
          <w:sz w:val="28"/>
          <w:szCs w:val="28"/>
          <w:u w:val="single"/>
        </w:rPr>
        <w:t>Overzicht bedrijven met minstens één lopend Baekeland-project</w:t>
      </w:r>
    </w:p>
    <w:p w:rsidR="00787C9D" w:rsidRDefault="00787C9D" w:rsidP="00F85CE0">
      <w:pPr>
        <w:pStyle w:val="StandaardSV"/>
      </w:pPr>
    </w:p>
    <w:p w:rsidR="00787C9D" w:rsidRDefault="00787C9D" w:rsidP="00F85CE0">
      <w:pPr>
        <w:pStyle w:val="StandaardSV"/>
      </w:pPr>
    </w:p>
    <w:p w:rsidR="0030042E" w:rsidRDefault="00787C9D" w:rsidP="00F85CE0">
      <w:pPr>
        <w:pStyle w:val="StandaardSV"/>
      </w:pPr>
      <w:r>
        <w:object w:dxaOrig="16476" w:dyaOrig="6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75pt;height:311.25pt" o:ole="">
            <v:imagedata r:id="rId7" o:title=""/>
          </v:shape>
          <o:OLEObject Type="Embed" ProgID="Excel.Sheet.12" ShapeID="_x0000_i1025" DrawAspect="Content" ObjectID="_1431956353" r:id="rId8"/>
        </w:object>
      </w:r>
    </w:p>
    <w:sectPr w:rsidR="0030042E" w:rsidSect="00787C9D">
      <w:pgSz w:w="16838" w:h="11906" w:orient="landscape"/>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D974D7"/>
    <w:multiLevelType w:val="hybridMultilevel"/>
    <w:tmpl w:val="3C74784A"/>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6BE662E"/>
    <w:multiLevelType w:val="hybridMultilevel"/>
    <w:tmpl w:val="A78E5C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C3621C7"/>
    <w:multiLevelType w:val="hybridMultilevel"/>
    <w:tmpl w:val="A34AE6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06733B"/>
    <w:multiLevelType w:val="hybridMultilevel"/>
    <w:tmpl w:val="8DAA5F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319393B"/>
    <w:multiLevelType w:val="hybridMultilevel"/>
    <w:tmpl w:val="474218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FD52E72"/>
    <w:multiLevelType w:val="hybridMultilevel"/>
    <w:tmpl w:val="00C612D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2995118"/>
    <w:multiLevelType w:val="hybridMultilevel"/>
    <w:tmpl w:val="AE44D82A"/>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7B56070"/>
    <w:multiLevelType w:val="hybridMultilevel"/>
    <w:tmpl w:val="D41CDA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59651FE"/>
    <w:multiLevelType w:val="hybridMultilevel"/>
    <w:tmpl w:val="234456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7BE0ADF"/>
    <w:multiLevelType w:val="hybridMultilevel"/>
    <w:tmpl w:val="C388C50C"/>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88605D9"/>
    <w:multiLevelType w:val="hybridMultilevel"/>
    <w:tmpl w:val="FB429A06"/>
    <w:lvl w:ilvl="0" w:tplc="08130017">
      <w:start w:val="5"/>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500C296D"/>
    <w:multiLevelType w:val="hybridMultilevel"/>
    <w:tmpl w:val="5E58EE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1B01DB1"/>
    <w:multiLevelType w:val="hybridMultilevel"/>
    <w:tmpl w:val="22D82958"/>
    <w:lvl w:ilvl="0" w:tplc="9A74F3BC">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577F6A69"/>
    <w:multiLevelType w:val="hybridMultilevel"/>
    <w:tmpl w:val="FBDA709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19B347A"/>
    <w:multiLevelType w:val="hybridMultilevel"/>
    <w:tmpl w:val="BF28E0C8"/>
    <w:lvl w:ilvl="0" w:tplc="08130017">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29F2880"/>
    <w:multiLevelType w:val="hybridMultilevel"/>
    <w:tmpl w:val="982AEEC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9552B1E"/>
    <w:multiLevelType w:val="hybridMultilevel"/>
    <w:tmpl w:val="D4405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9971C40"/>
    <w:multiLevelType w:val="hybridMultilevel"/>
    <w:tmpl w:val="EABE2E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80E0C6F"/>
    <w:multiLevelType w:val="hybridMultilevel"/>
    <w:tmpl w:val="9A289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867670D"/>
    <w:multiLevelType w:val="multilevel"/>
    <w:tmpl w:val="543A98B2"/>
    <w:lvl w:ilvl="0">
      <w:start w:val="4"/>
      <w:numFmt w:val="decimal"/>
      <w:lvlText w:val="%1"/>
      <w:lvlJc w:val="left"/>
      <w:pPr>
        <w:ind w:left="540" w:hanging="540"/>
      </w:pPr>
      <w:rPr>
        <w:rFonts w:hint="default"/>
      </w:rPr>
    </w:lvl>
    <w:lvl w:ilvl="1">
      <w:start w:val="2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F8E3D97"/>
    <w:multiLevelType w:val="hybridMultilevel"/>
    <w:tmpl w:val="0AE6589E"/>
    <w:lvl w:ilvl="0" w:tplc="A026529E">
      <w:start w:val="7"/>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1"/>
  </w:num>
  <w:num w:numId="4">
    <w:abstractNumId w:val="24"/>
  </w:num>
  <w:num w:numId="5">
    <w:abstractNumId w:val="16"/>
  </w:num>
  <w:num w:numId="6">
    <w:abstractNumId w:val="7"/>
  </w:num>
  <w:num w:numId="7">
    <w:abstractNumId w:val="6"/>
  </w:num>
  <w:num w:numId="8">
    <w:abstractNumId w:val="20"/>
  </w:num>
  <w:num w:numId="9">
    <w:abstractNumId w:val="11"/>
  </w:num>
  <w:num w:numId="10">
    <w:abstractNumId w:val="0"/>
  </w:num>
  <w:num w:numId="11">
    <w:abstractNumId w:val="27"/>
  </w:num>
  <w:num w:numId="12">
    <w:abstractNumId w:val="2"/>
  </w:num>
  <w:num w:numId="13">
    <w:abstractNumId w:val="12"/>
  </w:num>
  <w:num w:numId="14">
    <w:abstractNumId w:val="4"/>
  </w:num>
  <w:num w:numId="15">
    <w:abstractNumId w:val="28"/>
  </w:num>
  <w:num w:numId="16">
    <w:abstractNumId w:val="23"/>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30"/>
  </w:num>
  <w:num w:numId="22">
    <w:abstractNumId w:val="15"/>
  </w:num>
  <w:num w:numId="23">
    <w:abstractNumId w:val="5"/>
  </w:num>
  <w:num w:numId="24">
    <w:abstractNumId w:val="3"/>
  </w:num>
  <w:num w:numId="25">
    <w:abstractNumId w:val="13"/>
  </w:num>
  <w:num w:numId="26">
    <w:abstractNumId w:val="9"/>
  </w:num>
  <w:num w:numId="27">
    <w:abstractNumId w:val="17"/>
  </w:num>
  <w:num w:numId="28">
    <w:abstractNumId w:val="14"/>
  </w:num>
  <w:num w:numId="29">
    <w:abstractNumId w:val="25"/>
  </w:num>
  <w:num w:numId="30">
    <w:abstractNumId w:val="31"/>
  </w:num>
  <w:num w:numId="31">
    <w:abstractNumId w:val="19"/>
  </w:num>
  <w:num w:numId="32">
    <w:abstractNumId w:val="18"/>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11BCE"/>
    <w:rsid w:val="000464A2"/>
    <w:rsid w:val="00070064"/>
    <w:rsid w:val="00071DA4"/>
    <w:rsid w:val="00080040"/>
    <w:rsid w:val="000E5FEA"/>
    <w:rsid w:val="001028BE"/>
    <w:rsid w:val="00134678"/>
    <w:rsid w:val="00171F2E"/>
    <w:rsid w:val="00182845"/>
    <w:rsid w:val="00187BFC"/>
    <w:rsid w:val="00193C2B"/>
    <w:rsid w:val="001B40D5"/>
    <w:rsid w:val="001B4ED2"/>
    <w:rsid w:val="001D38EB"/>
    <w:rsid w:val="001E4BBA"/>
    <w:rsid w:val="001F5C5A"/>
    <w:rsid w:val="00206A8D"/>
    <w:rsid w:val="0024500F"/>
    <w:rsid w:val="0026194B"/>
    <w:rsid w:val="0027288F"/>
    <w:rsid w:val="00287B04"/>
    <w:rsid w:val="002C0CF9"/>
    <w:rsid w:val="002F6470"/>
    <w:rsid w:val="0030042E"/>
    <w:rsid w:val="00304CBC"/>
    <w:rsid w:val="00343A8F"/>
    <w:rsid w:val="0035447D"/>
    <w:rsid w:val="003562E8"/>
    <w:rsid w:val="00367DC1"/>
    <w:rsid w:val="00397796"/>
    <w:rsid w:val="00427E2D"/>
    <w:rsid w:val="00484E01"/>
    <w:rsid w:val="004D7979"/>
    <w:rsid w:val="005051B9"/>
    <w:rsid w:val="005275FB"/>
    <w:rsid w:val="00531705"/>
    <w:rsid w:val="0054052F"/>
    <w:rsid w:val="0057724E"/>
    <w:rsid w:val="005A0D53"/>
    <w:rsid w:val="00667CE6"/>
    <w:rsid w:val="00675074"/>
    <w:rsid w:val="006859AC"/>
    <w:rsid w:val="00693743"/>
    <w:rsid w:val="006E0EC7"/>
    <w:rsid w:val="006F29F5"/>
    <w:rsid w:val="006F49EA"/>
    <w:rsid w:val="0073456C"/>
    <w:rsid w:val="007603A0"/>
    <w:rsid w:val="00775D50"/>
    <w:rsid w:val="0078435B"/>
    <w:rsid w:val="00787C9D"/>
    <w:rsid w:val="00790B14"/>
    <w:rsid w:val="007A7738"/>
    <w:rsid w:val="007A77D9"/>
    <w:rsid w:val="007D2750"/>
    <w:rsid w:val="007E2BBA"/>
    <w:rsid w:val="00806C25"/>
    <w:rsid w:val="0083747B"/>
    <w:rsid w:val="00842F2E"/>
    <w:rsid w:val="00844521"/>
    <w:rsid w:val="00844A7A"/>
    <w:rsid w:val="008C5B66"/>
    <w:rsid w:val="00941198"/>
    <w:rsid w:val="00954C9A"/>
    <w:rsid w:val="00957988"/>
    <w:rsid w:val="009710F9"/>
    <w:rsid w:val="009817A0"/>
    <w:rsid w:val="009864CE"/>
    <w:rsid w:val="00986853"/>
    <w:rsid w:val="009C170D"/>
    <w:rsid w:val="009F10A6"/>
    <w:rsid w:val="00A21E25"/>
    <w:rsid w:val="00AD78E8"/>
    <w:rsid w:val="00AF156E"/>
    <w:rsid w:val="00B35C34"/>
    <w:rsid w:val="00B64229"/>
    <w:rsid w:val="00B6547D"/>
    <w:rsid w:val="00BC73BA"/>
    <w:rsid w:val="00BD07FB"/>
    <w:rsid w:val="00C03771"/>
    <w:rsid w:val="00C45A74"/>
    <w:rsid w:val="00C75C7E"/>
    <w:rsid w:val="00C97BFA"/>
    <w:rsid w:val="00CB2006"/>
    <w:rsid w:val="00CC070F"/>
    <w:rsid w:val="00CC2632"/>
    <w:rsid w:val="00CC63C8"/>
    <w:rsid w:val="00CF4E65"/>
    <w:rsid w:val="00D2606F"/>
    <w:rsid w:val="00D820A2"/>
    <w:rsid w:val="00DA25C8"/>
    <w:rsid w:val="00DF281C"/>
    <w:rsid w:val="00DF6517"/>
    <w:rsid w:val="00E15FF8"/>
    <w:rsid w:val="00EC42C5"/>
    <w:rsid w:val="00EF296F"/>
    <w:rsid w:val="00F37097"/>
    <w:rsid w:val="00F4273F"/>
    <w:rsid w:val="00F52CAF"/>
    <w:rsid w:val="00F85CE0"/>
    <w:rsid w:val="00F95AC8"/>
    <w:rsid w:val="00F96E8F"/>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9817A0"/>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9817A0"/>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5275FB"/>
    <w:rPr>
      <w:rFonts w:ascii="Tahoma" w:hAnsi="Tahoma"/>
      <w:sz w:val="16"/>
      <w:szCs w:val="16"/>
    </w:rPr>
  </w:style>
  <w:style w:type="character" w:customStyle="1" w:styleId="BallontekstChar">
    <w:name w:val="Ballontekst Char"/>
    <w:link w:val="Ballontekst"/>
    <w:rsid w:val="005275FB"/>
    <w:rPr>
      <w:rFonts w:ascii="Tahoma" w:hAnsi="Tahoma" w:cs="Tahoma"/>
      <w:sz w:val="16"/>
      <w:szCs w:val="16"/>
      <w:lang w:val="nl-NL" w:eastAsia="nl-NL"/>
    </w:rPr>
  </w:style>
  <w:style w:type="table" w:styleId="Tabelraster">
    <w:name w:val="Table Grid"/>
    <w:basedOn w:val="Standaardtabel"/>
    <w:rsid w:val="001B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Standaardtabel"/>
    <w:uiPriority w:val="60"/>
    <w:rsid w:val="00986853"/>
    <w:rPr>
      <w:rFonts w:ascii="CG Times (W1)" w:hAnsi="CG Times (W1)"/>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zonderopmaak">
    <w:name w:val="Plain Text"/>
    <w:basedOn w:val="Standaard"/>
    <w:link w:val="TekstzonderopmaakChar"/>
    <w:uiPriority w:val="99"/>
    <w:unhideWhenUsed/>
    <w:rsid w:val="00134678"/>
    <w:rPr>
      <w:rFonts w:ascii="Calibri" w:eastAsiaTheme="minorHAnsi" w:hAnsi="Calibri"/>
      <w:sz w:val="22"/>
      <w:szCs w:val="22"/>
      <w:lang w:val="nl-BE" w:eastAsia="en-US"/>
    </w:rPr>
  </w:style>
  <w:style w:type="character" w:customStyle="1" w:styleId="TekstzonderopmaakChar">
    <w:name w:val="Tekst zonder opmaak Char"/>
    <w:basedOn w:val="Standaardalinea-lettertype"/>
    <w:link w:val="Tekstzonderopmaak"/>
    <w:uiPriority w:val="99"/>
    <w:rsid w:val="00134678"/>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9817A0"/>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9817A0"/>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5275FB"/>
    <w:rPr>
      <w:rFonts w:ascii="Tahoma" w:hAnsi="Tahoma"/>
      <w:sz w:val="16"/>
      <w:szCs w:val="16"/>
    </w:rPr>
  </w:style>
  <w:style w:type="character" w:customStyle="1" w:styleId="BallontekstChar">
    <w:name w:val="Ballontekst Char"/>
    <w:link w:val="Ballontekst"/>
    <w:rsid w:val="005275FB"/>
    <w:rPr>
      <w:rFonts w:ascii="Tahoma" w:hAnsi="Tahoma" w:cs="Tahoma"/>
      <w:sz w:val="16"/>
      <w:szCs w:val="16"/>
      <w:lang w:val="nl-NL" w:eastAsia="nl-NL"/>
    </w:rPr>
  </w:style>
  <w:style w:type="table" w:styleId="Tabelraster">
    <w:name w:val="Table Grid"/>
    <w:basedOn w:val="Standaardtabel"/>
    <w:rsid w:val="001B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Standaardtabel"/>
    <w:uiPriority w:val="60"/>
    <w:rsid w:val="00986853"/>
    <w:rPr>
      <w:rFonts w:ascii="CG Times (W1)" w:hAnsi="CG Times (W1)"/>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zonderopmaak">
    <w:name w:val="Plain Text"/>
    <w:basedOn w:val="Standaard"/>
    <w:link w:val="TekstzonderopmaakChar"/>
    <w:uiPriority w:val="99"/>
    <w:unhideWhenUsed/>
    <w:rsid w:val="00134678"/>
    <w:rPr>
      <w:rFonts w:ascii="Calibri" w:eastAsiaTheme="minorHAnsi" w:hAnsi="Calibri"/>
      <w:sz w:val="22"/>
      <w:szCs w:val="22"/>
      <w:lang w:val="nl-BE" w:eastAsia="en-US"/>
    </w:rPr>
  </w:style>
  <w:style w:type="character" w:customStyle="1" w:styleId="TekstzonderopmaakChar">
    <w:name w:val="Tekst zonder opmaak Char"/>
    <w:basedOn w:val="Standaardalinea-lettertype"/>
    <w:link w:val="Tekstzonderopmaak"/>
    <w:uiPriority w:val="99"/>
    <w:rsid w:val="00134678"/>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548">
      <w:bodyDiv w:val="1"/>
      <w:marLeft w:val="0"/>
      <w:marRight w:val="0"/>
      <w:marTop w:val="0"/>
      <w:marBottom w:val="0"/>
      <w:divBdr>
        <w:top w:val="none" w:sz="0" w:space="0" w:color="auto"/>
        <w:left w:val="none" w:sz="0" w:space="0" w:color="auto"/>
        <w:bottom w:val="none" w:sz="0" w:space="0" w:color="auto"/>
        <w:right w:val="none" w:sz="0" w:space="0" w:color="auto"/>
      </w:divBdr>
    </w:div>
    <w:div w:id="292978119">
      <w:bodyDiv w:val="1"/>
      <w:marLeft w:val="0"/>
      <w:marRight w:val="0"/>
      <w:marTop w:val="0"/>
      <w:marBottom w:val="0"/>
      <w:divBdr>
        <w:top w:val="none" w:sz="0" w:space="0" w:color="auto"/>
        <w:left w:val="none" w:sz="0" w:space="0" w:color="auto"/>
        <w:bottom w:val="none" w:sz="0" w:space="0" w:color="auto"/>
        <w:right w:val="none" w:sz="0" w:space="0" w:color="auto"/>
      </w:divBdr>
    </w:div>
    <w:div w:id="357315580">
      <w:bodyDiv w:val="1"/>
      <w:marLeft w:val="0"/>
      <w:marRight w:val="0"/>
      <w:marTop w:val="0"/>
      <w:marBottom w:val="0"/>
      <w:divBdr>
        <w:top w:val="none" w:sz="0" w:space="0" w:color="auto"/>
        <w:left w:val="none" w:sz="0" w:space="0" w:color="auto"/>
        <w:bottom w:val="none" w:sz="0" w:space="0" w:color="auto"/>
        <w:right w:val="none" w:sz="0" w:space="0" w:color="auto"/>
      </w:divBdr>
    </w:div>
    <w:div w:id="595019844">
      <w:bodyDiv w:val="1"/>
      <w:marLeft w:val="0"/>
      <w:marRight w:val="0"/>
      <w:marTop w:val="0"/>
      <w:marBottom w:val="0"/>
      <w:divBdr>
        <w:top w:val="none" w:sz="0" w:space="0" w:color="auto"/>
        <w:left w:val="none" w:sz="0" w:space="0" w:color="auto"/>
        <w:bottom w:val="none" w:sz="0" w:space="0" w:color="auto"/>
        <w:right w:val="none" w:sz="0" w:space="0" w:color="auto"/>
      </w:divBdr>
    </w:div>
    <w:div w:id="666709557">
      <w:bodyDiv w:val="1"/>
      <w:marLeft w:val="0"/>
      <w:marRight w:val="0"/>
      <w:marTop w:val="0"/>
      <w:marBottom w:val="0"/>
      <w:divBdr>
        <w:top w:val="none" w:sz="0" w:space="0" w:color="auto"/>
        <w:left w:val="none" w:sz="0" w:space="0" w:color="auto"/>
        <w:bottom w:val="none" w:sz="0" w:space="0" w:color="auto"/>
        <w:right w:val="none" w:sz="0" w:space="0" w:color="auto"/>
      </w:divBdr>
    </w:div>
    <w:div w:id="1427072224">
      <w:bodyDiv w:val="1"/>
      <w:marLeft w:val="0"/>
      <w:marRight w:val="0"/>
      <w:marTop w:val="0"/>
      <w:marBottom w:val="0"/>
      <w:divBdr>
        <w:top w:val="none" w:sz="0" w:space="0" w:color="auto"/>
        <w:left w:val="none" w:sz="0" w:space="0" w:color="auto"/>
        <w:bottom w:val="none" w:sz="0" w:space="0" w:color="auto"/>
        <w:right w:val="none" w:sz="0" w:space="0" w:color="auto"/>
      </w:divBdr>
    </w:div>
    <w:div w:id="17399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werkblad1.xls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5290</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Isabelle Cauwel</cp:lastModifiedBy>
  <cp:revision>2</cp:revision>
  <cp:lastPrinted>2013-04-30T15:27:00Z</cp:lastPrinted>
  <dcterms:created xsi:type="dcterms:W3CDTF">2013-06-05T14:52:00Z</dcterms:created>
  <dcterms:modified xsi:type="dcterms:W3CDTF">2013-06-05T14:52:00Z</dcterms:modified>
</cp:coreProperties>
</file>