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C33DC6" w:rsidRPr="00DD4121" w:rsidRDefault="00C33DC6" w:rsidP="00C33DC6">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jo vandeurzen</w:t>
      </w:r>
      <w:r>
        <w:rPr>
          <w:szCs w:val="22"/>
        </w:rPr>
        <w:fldChar w:fldCharType="end"/>
      </w:r>
      <w:bookmarkEnd w:id="0"/>
    </w:p>
    <w:bookmarkStart w:id="1" w:name="Text2"/>
    <w:p w:rsidR="00C33DC6" w:rsidRPr="00015BF7" w:rsidRDefault="00C33DC6" w:rsidP="00C33DC6">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welzijn, volksgezondheid en gezin</w:t>
      </w:r>
      <w:r>
        <w:fldChar w:fldCharType="end"/>
      </w:r>
      <w:bookmarkEnd w:id="1"/>
    </w:p>
    <w:p w:rsidR="00C33DC6" w:rsidRPr="00015BF7" w:rsidRDefault="00C33DC6" w:rsidP="00C33DC6">
      <w:pPr>
        <w:rPr>
          <w:szCs w:val="22"/>
        </w:rPr>
      </w:pPr>
    </w:p>
    <w:p w:rsidR="00C33DC6" w:rsidRPr="00DB41C0" w:rsidRDefault="00C33DC6" w:rsidP="00C33DC6">
      <w:pPr>
        <w:pStyle w:val="A-Lijn"/>
      </w:pPr>
    </w:p>
    <w:p w:rsidR="00C33DC6" w:rsidRDefault="00C33DC6" w:rsidP="00C33DC6">
      <w:pPr>
        <w:pStyle w:val="A-Type"/>
        <w:sectPr w:rsidR="00C33DC6">
          <w:pgSz w:w="11906" w:h="16838"/>
          <w:pgMar w:top="1417" w:right="1417" w:bottom="1417" w:left="1417" w:header="708" w:footer="708" w:gutter="0"/>
          <w:cols w:space="708"/>
          <w:docGrid w:linePitch="360"/>
        </w:sectPr>
      </w:pPr>
    </w:p>
    <w:p w:rsidR="00C33DC6" w:rsidRDefault="00C33DC6" w:rsidP="00C33DC6">
      <w:pPr>
        <w:pStyle w:val="A-Type"/>
        <w:outlineLvl w:val="0"/>
        <w:sectPr w:rsidR="00C33DC6" w:rsidSect="003B3111">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C33DC6" w:rsidRPr="00326A58" w:rsidRDefault="00C33DC6" w:rsidP="00C33DC6">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650E6F">
        <w:rPr>
          <w:b w:val="0"/>
        </w:rPr>
        <w:t>470</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sidR="00650E6F">
        <w:rPr>
          <w:b w:val="0"/>
        </w:rPr>
        <w:t>7</w:t>
      </w:r>
      <w:r>
        <w:rPr>
          <w:b w:val="0"/>
        </w:rPr>
        <w:fldChar w:fldCharType="end"/>
      </w:r>
      <w:bookmarkStart w:id="4" w:name="Dropdown2"/>
      <w:bookmarkEnd w:id="3"/>
      <w:r>
        <w:rPr>
          <w:b w:val="0"/>
        </w:rPr>
        <w:t xml:space="preserve"> </w:t>
      </w:r>
      <w:bookmarkEnd w:id="4"/>
      <w:r w:rsidR="00EE4E83">
        <w:rPr>
          <w:b w:val="0"/>
        </w:rPr>
        <w:fldChar w:fldCharType="begin">
          <w:ffData>
            <w:name w:val=""/>
            <w:enabled/>
            <w:calcOnExit w:val="0"/>
            <w:statusText w:type="text" w:val="Kies de maand waarin de vraag gesteld werd."/>
            <w:ddList>
              <w:result w:val="5"/>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EE4E83">
        <w:rPr>
          <w:b w:val="0"/>
        </w:rPr>
        <w:instrText xml:space="preserve"> FORMDROPDOWN </w:instrText>
      </w:r>
      <w:r w:rsidR="00EE4E83">
        <w:rPr>
          <w:b w:val="0"/>
        </w:rPr>
      </w:r>
      <w:r w:rsidR="00EE4E83">
        <w:rPr>
          <w:b w:val="0"/>
        </w:rPr>
        <w:fldChar w:fldCharType="end"/>
      </w:r>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C33DC6" w:rsidRDefault="00C33DC6" w:rsidP="00C33DC6">
      <w:pPr>
        <w:rPr>
          <w:szCs w:val="22"/>
        </w:rPr>
      </w:pPr>
      <w:r>
        <w:rPr>
          <w:szCs w:val="22"/>
        </w:rPr>
        <w:t xml:space="preserve">van </w:t>
      </w:r>
      <w:r w:rsidRPr="009D7043">
        <w:rPr>
          <w:rStyle w:val="AntwoordNaamMinisterChar"/>
        </w:rPr>
        <w:fldChar w:fldCharType="begin">
          <w:ffData>
            <w:name w:val=""/>
            <w:enabled/>
            <w:calcOnExit w:val="0"/>
            <w:statusText w:type="text" w:val="Geef hier de naam van de vraagsteller op..."/>
            <w:textInput>
              <w:maxLength w:val="255"/>
            </w:textInput>
          </w:ffData>
        </w:fldChar>
      </w:r>
      <w:r w:rsidRPr="009D7043">
        <w:rPr>
          <w:rStyle w:val="AntwoordNaamMinisterChar"/>
        </w:rPr>
        <w:instrText xml:space="preserve"> FORMTEXT </w:instrText>
      </w:r>
      <w:r w:rsidRPr="009D7043">
        <w:rPr>
          <w:rStyle w:val="AntwoordNaamMinisterChar"/>
        </w:rPr>
      </w:r>
      <w:r w:rsidRPr="009D7043">
        <w:rPr>
          <w:rStyle w:val="AntwoordNaamMinisterChar"/>
        </w:rPr>
        <w:fldChar w:fldCharType="separate"/>
      </w:r>
      <w:r w:rsidR="00650E6F">
        <w:rPr>
          <w:rStyle w:val="AntwoordNaamMinisterChar"/>
        </w:rPr>
        <w:t>vera jans</w:t>
      </w:r>
      <w:r w:rsidRPr="009D7043">
        <w:rPr>
          <w:rStyle w:val="AntwoordNaamMinisterChar"/>
        </w:rPr>
        <w:fldChar w:fldCharType="end"/>
      </w:r>
    </w:p>
    <w:p w:rsidR="00C33DC6" w:rsidRPr="00015BF7" w:rsidRDefault="00C33DC6" w:rsidP="00C33DC6">
      <w:pPr>
        <w:rPr>
          <w:szCs w:val="22"/>
        </w:rPr>
      </w:pPr>
    </w:p>
    <w:p w:rsidR="00C33DC6" w:rsidRPr="00DB41C0" w:rsidRDefault="00C33DC6" w:rsidP="00C33DC6">
      <w:pPr>
        <w:pStyle w:val="A-Lijn"/>
      </w:pPr>
    </w:p>
    <w:p w:rsidR="00C33DC6" w:rsidRPr="00DB41C0" w:rsidRDefault="00C33DC6" w:rsidP="00C33DC6">
      <w:pPr>
        <w:pStyle w:val="A-Lijn"/>
      </w:pPr>
    </w:p>
    <w:p w:rsidR="00C33DC6" w:rsidRDefault="00C33DC6" w:rsidP="00C33DC6">
      <w:pPr>
        <w:sectPr w:rsidR="00C33DC6" w:rsidSect="003B3111">
          <w:type w:val="continuous"/>
          <w:pgSz w:w="11906" w:h="16838"/>
          <w:pgMar w:top="1417" w:right="1417" w:bottom="1417" w:left="1417" w:header="708" w:footer="708" w:gutter="0"/>
          <w:cols w:space="708"/>
          <w:docGrid w:linePitch="360"/>
        </w:sectPr>
      </w:pPr>
    </w:p>
    <w:p w:rsidR="00650E6F" w:rsidRDefault="00650E6F" w:rsidP="003D04B1">
      <w:pPr>
        <w:pStyle w:val="StandaardSV"/>
        <w:numPr>
          <w:ilvl w:val="0"/>
          <w:numId w:val="1"/>
        </w:numPr>
        <w:ind w:left="426" w:hanging="426"/>
      </w:pPr>
      <w:r w:rsidRPr="009F5350">
        <w:lastRenderedPageBreak/>
        <w:t>Het aanbod voor residentiele opvang binnen tehuizen voor niet-werkenden bestond op 31 december 2012 uit:</w:t>
      </w:r>
    </w:p>
    <w:p w:rsidR="00650E6F" w:rsidRPr="009F5350" w:rsidRDefault="00650E6F" w:rsidP="00650E6F">
      <w:pPr>
        <w:pStyle w:val="StandaardSV"/>
        <w:ind w:left="720"/>
      </w:pPr>
    </w:p>
    <w:tbl>
      <w:tblPr>
        <w:tblStyle w:val="Tabelraster"/>
        <w:tblW w:w="0" w:type="auto"/>
        <w:tblInd w:w="534" w:type="dxa"/>
        <w:tblLook w:val="04A0" w:firstRow="1" w:lastRow="0" w:firstColumn="1" w:lastColumn="0" w:noHBand="0" w:noVBand="1"/>
      </w:tblPr>
      <w:tblGrid>
        <w:gridCol w:w="4297"/>
        <w:gridCol w:w="4349"/>
      </w:tblGrid>
      <w:tr w:rsidR="00650E6F" w:rsidRPr="009F5350" w:rsidTr="00F74DE1">
        <w:tc>
          <w:tcPr>
            <w:tcW w:w="4297" w:type="dxa"/>
          </w:tcPr>
          <w:p w:rsidR="00650E6F" w:rsidRPr="000F6641" w:rsidRDefault="00650E6F" w:rsidP="00BD231B">
            <w:pPr>
              <w:pStyle w:val="StandaardSV"/>
              <w:rPr>
                <w:i/>
              </w:rPr>
            </w:pPr>
            <w:r w:rsidRPr="000F6641">
              <w:rPr>
                <w:i/>
              </w:rPr>
              <w:t>Provincie</w:t>
            </w:r>
          </w:p>
        </w:tc>
        <w:tc>
          <w:tcPr>
            <w:tcW w:w="4349" w:type="dxa"/>
          </w:tcPr>
          <w:p w:rsidR="00650E6F" w:rsidRPr="000F6641" w:rsidRDefault="00650E6F" w:rsidP="00BD231B">
            <w:pPr>
              <w:pStyle w:val="StandaardSV"/>
              <w:rPr>
                <w:i/>
              </w:rPr>
            </w:pPr>
            <w:r w:rsidRPr="000F6641">
              <w:rPr>
                <w:i/>
              </w:rPr>
              <w:t>Aantal plaatsen</w:t>
            </w:r>
          </w:p>
        </w:tc>
      </w:tr>
      <w:tr w:rsidR="00650E6F" w:rsidRPr="009F5350" w:rsidTr="00F74DE1">
        <w:tc>
          <w:tcPr>
            <w:tcW w:w="4297" w:type="dxa"/>
          </w:tcPr>
          <w:p w:rsidR="00650E6F" w:rsidRPr="009F5350" w:rsidRDefault="00650E6F" w:rsidP="00BD231B">
            <w:pPr>
              <w:pStyle w:val="StandaardSV"/>
            </w:pPr>
            <w:r w:rsidRPr="009F5350">
              <w:t>Antwerpen</w:t>
            </w:r>
          </w:p>
        </w:tc>
        <w:tc>
          <w:tcPr>
            <w:tcW w:w="4349" w:type="dxa"/>
          </w:tcPr>
          <w:p w:rsidR="00650E6F" w:rsidRPr="009F5350" w:rsidRDefault="00650E6F" w:rsidP="00BD231B">
            <w:pPr>
              <w:pStyle w:val="StandaardSV"/>
            </w:pPr>
            <w:r w:rsidRPr="009F5350">
              <w:t>10</w:t>
            </w:r>
          </w:p>
        </w:tc>
      </w:tr>
      <w:tr w:rsidR="00650E6F" w:rsidRPr="009F5350" w:rsidTr="00F74DE1">
        <w:tc>
          <w:tcPr>
            <w:tcW w:w="4297" w:type="dxa"/>
          </w:tcPr>
          <w:p w:rsidR="00650E6F" w:rsidRPr="009F5350" w:rsidRDefault="00650E6F" w:rsidP="00BD231B">
            <w:pPr>
              <w:pStyle w:val="StandaardSV"/>
            </w:pPr>
            <w:r w:rsidRPr="009F5350">
              <w:t>Limburg</w:t>
            </w:r>
          </w:p>
        </w:tc>
        <w:tc>
          <w:tcPr>
            <w:tcW w:w="4349" w:type="dxa"/>
          </w:tcPr>
          <w:p w:rsidR="00650E6F" w:rsidRPr="009F5350" w:rsidRDefault="00650E6F" w:rsidP="00BD231B">
            <w:pPr>
              <w:pStyle w:val="StandaardSV"/>
            </w:pPr>
            <w:r w:rsidRPr="009F5350">
              <w:t>10</w:t>
            </w:r>
          </w:p>
        </w:tc>
      </w:tr>
      <w:tr w:rsidR="00650E6F" w:rsidRPr="009F5350" w:rsidTr="00F74DE1">
        <w:tc>
          <w:tcPr>
            <w:tcW w:w="4297" w:type="dxa"/>
          </w:tcPr>
          <w:p w:rsidR="00650E6F" w:rsidRPr="009F5350" w:rsidRDefault="00650E6F" w:rsidP="00BD231B">
            <w:pPr>
              <w:pStyle w:val="StandaardSV"/>
            </w:pPr>
            <w:r w:rsidRPr="009F5350">
              <w:t>West Vlaanderen²</w:t>
            </w:r>
          </w:p>
        </w:tc>
        <w:tc>
          <w:tcPr>
            <w:tcW w:w="4349" w:type="dxa"/>
          </w:tcPr>
          <w:p w:rsidR="00650E6F" w:rsidRPr="009F5350" w:rsidRDefault="00650E6F" w:rsidP="00BD231B">
            <w:pPr>
              <w:pStyle w:val="StandaardSV"/>
            </w:pPr>
            <w:r w:rsidRPr="009F5350">
              <w:t>10</w:t>
            </w:r>
          </w:p>
        </w:tc>
      </w:tr>
      <w:tr w:rsidR="00650E6F" w:rsidRPr="009F5350" w:rsidTr="00F74DE1">
        <w:tc>
          <w:tcPr>
            <w:tcW w:w="4297" w:type="dxa"/>
          </w:tcPr>
          <w:p w:rsidR="00650E6F" w:rsidRPr="009F5350" w:rsidRDefault="00650E6F" w:rsidP="00BD231B">
            <w:pPr>
              <w:pStyle w:val="StandaardSV"/>
              <w:rPr>
                <w:b/>
              </w:rPr>
            </w:pPr>
            <w:r w:rsidRPr="009F5350">
              <w:rPr>
                <w:b/>
              </w:rPr>
              <w:t>Totaal</w:t>
            </w:r>
          </w:p>
        </w:tc>
        <w:tc>
          <w:tcPr>
            <w:tcW w:w="4349" w:type="dxa"/>
          </w:tcPr>
          <w:p w:rsidR="00650E6F" w:rsidRPr="009F5350" w:rsidRDefault="00650E6F" w:rsidP="00BD231B">
            <w:pPr>
              <w:pStyle w:val="StandaardSV"/>
              <w:rPr>
                <w:b/>
              </w:rPr>
            </w:pPr>
            <w:r w:rsidRPr="009F5350">
              <w:rPr>
                <w:b/>
              </w:rPr>
              <w:t>30</w:t>
            </w:r>
          </w:p>
        </w:tc>
      </w:tr>
    </w:tbl>
    <w:p w:rsidR="00650E6F" w:rsidRPr="009F5350" w:rsidRDefault="00650E6F" w:rsidP="00650E6F">
      <w:pPr>
        <w:pStyle w:val="StandaardSV"/>
        <w:ind w:left="360"/>
      </w:pPr>
    </w:p>
    <w:p w:rsidR="00650E6F" w:rsidRDefault="00650E6F" w:rsidP="00F74DE1">
      <w:pPr>
        <w:pStyle w:val="StandaardSV"/>
        <w:ind w:left="426"/>
      </w:pPr>
      <w:r w:rsidRPr="009F5350">
        <w:t>Er wordt ook ondersteuning geboden aan geïnterneerden georganiseerd vanuit een dagcentrum:</w:t>
      </w:r>
    </w:p>
    <w:p w:rsidR="00650E6F" w:rsidRPr="009F5350" w:rsidRDefault="00650E6F" w:rsidP="00650E6F">
      <w:pPr>
        <w:pStyle w:val="StandaardSV"/>
        <w:ind w:left="360"/>
      </w:pPr>
    </w:p>
    <w:tbl>
      <w:tblPr>
        <w:tblStyle w:val="Tabelraster"/>
        <w:tblW w:w="0" w:type="auto"/>
        <w:tblInd w:w="534" w:type="dxa"/>
        <w:tblLook w:val="04A0" w:firstRow="1" w:lastRow="0" w:firstColumn="1" w:lastColumn="0" w:noHBand="0" w:noVBand="1"/>
      </w:tblPr>
      <w:tblGrid>
        <w:gridCol w:w="4296"/>
        <w:gridCol w:w="4350"/>
      </w:tblGrid>
      <w:tr w:rsidR="00650E6F" w:rsidRPr="009F5350" w:rsidTr="00F74DE1">
        <w:tc>
          <w:tcPr>
            <w:tcW w:w="4296" w:type="dxa"/>
          </w:tcPr>
          <w:p w:rsidR="00650E6F" w:rsidRPr="000F6641" w:rsidRDefault="00650E6F" w:rsidP="00BD231B">
            <w:pPr>
              <w:pStyle w:val="StandaardSV"/>
              <w:rPr>
                <w:i/>
              </w:rPr>
            </w:pPr>
            <w:r w:rsidRPr="000F6641">
              <w:rPr>
                <w:i/>
              </w:rPr>
              <w:t>Provincie</w:t>
            </w:r>
          </w:p>
        </w:tc>
        <w:tc>
          <w:tcPr>
            <w:tcW w:w="4350" w:type="dxa"/>
          </w:tcPr>
          <w:p w:rsidR="00650E6F" w:rsidRPr="000F6641" w:rsidRDefault="00650E6F" w:rsidP="00BD231B">
            <w:pPr>
              <w:pStyle w:val="StandaardSV"/>
              <w:rPr>
                <w:i/>
              </w:rPr>
            </w:pPr>
            <w:r w:rsidRPr="000F6641">
              <w:rPr>
                <w:i/>
              </w:rPr>
              <w:t>Aantal plaatsen</w:t>
            </w:r>
          </w:p>
        </w:tc>
      </w:tr>
      <w:tr w:rsidR="00650E6F" w:rsidRPr="009F5350" w:rsidTr="00F74DE1">
        <w:tc>
          <w:tcPr>
            <w:tcW w:w="4296" w:type="dxa"/>
          </w:tcPr>
          <w:p w:rsidR="00650E6F" w:rsidRPr="009F5350" w:rsidRDefault="00650E6F" w:rsidP="00BD231B">
            <w:pPr>
              <w:pStyle w:val="StandaardSV"/>
            </w:pPr>
            <w:r w:rsidRPr="009F5350">
              <w:t>Antwerpen</w:t>
            </w:r>
          </w:p>
        </w:tc>
        <w:tc>
          <w:tcPr>
            <w:tcW w:w="4350" w:type="dxa"/>
          </w:tcPr>
          <w:p w:rsidR="00650E6F" w:rsidRPr="009F5350" w:rsidRDefault="00650E6F" w:rsidP="00BD231B">
            <w:pPr>
              <w:pStyle w:val="StandaardSV"/>
            </w:pPr>
            <w:r w:rsidRPr="009F5350">
              <w:t>26</w:t>
            </w:r>
          </w:p>
        </w:tc>
      </w:tr>
      <w:tr w:rsidR="00650E6F" w:rsidRPr="009F5350" w:rsidTr="00F74DE1">
        <w:tc>
          <w:tcPr>
            <w:tcW w:w="4296" w:type="dxa"/>
          </w:tcPr>
          <w:p w:rsidR="00650E6F" w:rsidRPr="009F5350" w:rsidRDefault="00650E6F" w:rsidP="00BD231B">
            <w:pPr>
              <w:pStyle w:val="StandaardSV"/>
            </w:pPr>
            <w:r w:rsidRPr="009F5350">
              <w:t>Oost Vlaanderen</w:t>
            </w:r>
          </w:p>
        </w:tc>
        <w:tc>
          <w:tcPr>
            <w:tcW w:w="4350" w:type="dxa"/>
          </w:tcPr>
          <w:p w:rsidR="00650E6F" w:rsidRPr="009F5350" w:rsidRDefault="00650E6F" w:rsidP="00BD231B">
            <w:pPr>
              <w:pStyle w:val="StandaardSV"/>
            </w:pPr>
            <w:r w:rsidRPr="009F5350">
              <w:t>20</w:t>
            </w:r>
          </w:p>
        </w:tc>
      </w:tr>
      <w:tr w:rsidR="00650E6F" w:rsidRPr="009F5350" w:rsidTr="00F74DE1">
        <w:tc>
          <w:tcPr>
            <w:tcW w:w="4296" w:type="dxa"/>
          </w:tcPr>
          <w:p w:rsidR="00650E6F" w:rsidRPr="009F5350" w:rsidRDefault="00650E6F" w:rsidP="00BD231B">
            <w:pPr>
              <w:pStyle w:val="StandaardSV"/>
              <w:rPr>
                <w:b/>
              </w:rPr>
            </w:pPr>
            <w:r w:rsidRPr="009F5350">
              <w:rPr>
                <w:b/>
              </w:rPr>
              <w:t>Totaal</w:t>
            </w:r>
          </w:p>
        </w:tc>
        <w:tc>
          <w:tcPr>
            <w:tcW w:w="4350" w:type="dxa"/>
          </w:tcPr>
          <w:p w:rsidR="00650E6F" w:rsidRPr="009F5350" w:rsidRDefault="00650E6F" w:rsidP="00BD231B">
            <w:pPr>
              <w:pStyle w:val="StandaardSV"/>
              <w:rPr>
                <w:b/>
              </w:rPr>
            </w:pPr>
            <w:r w:rsidRPr="009F5350">
              <w:rPr>
                <w:b/>
              </w:rPr>
              <w:t>46</w:t>
            </w:r>
          </w:p>
        </w:tc>
      </w:tr>
    </w:tbl>
    <w:p w:rsidR="00650E6F" w:rsidRPr="00971CF3" w:rsidRDefault="00650E6F" w:rsidP="00650E6F">
      <w:pPr>
        <w:jc w:val="both"/>
        <w:rPr>
          <w:szCs w:val="22"/>
        </w:rPr>
      </w:pPr>
    </w:p>
    <w:p w:rsidR="00650E6F" w:rsidRDefault="00650E6F" w:rsidP="003D04B1">
      <w:pPr>
        <w:pStyle w:val="StandaardSV"/>
        <w:numPr>
          <w:ilvl w:val="0"/>
          <w:numId w:val="1"/>
        </w:numPr>
        <w:ind w:left="426" w:hanging="426"/>
      </w:pPr>
      <w:r w:rsidRPr="009F5350">
        <w:t xml:space="preserve">Naast het specifieke aanbod van het VAPH, dat volzet is, kunnen personen met het statuut van internering ook in andere voorzieningen opgevangen worden. Voorzieningen zijn niet verplicht om te melden hoeveel personen met het statuut van internering zij opvangen. Gelet op het vertrouwelijke karakter van deze informatie zijn er geen plannen om dergelijke registratie te verplichten. </w:t>
      </w:r>
      <w:r w:rsidR="00F74DE1">
        <w:t>We hebben</w:t>
      </w:r>
      <w:r w:rsidR="00EB1473">
        <w:t xml:space="preserve"> dan ook geen zicht op het precieze aantal geïnterneerden in door het VAPH erkende voorzieningen.</w:t>
      </w:r>
    </w:p>
    <w:p w:rsidR="00650E6F" w:rsidRPr="009F5350" w:rsidRDefault="00650E6F" w:rsidP="00F74DE1">
      <w:pPr>
        <w:ind w:left="426"/>
        <w:jc w:val="both"/>
        <w:rPr>
          <w:szCs w:val="22"/>
        </w:rPr>
      </w:pPr>
    </w:p>
    <w:p w:rsidR="00650E6F" w:rsidRPr="009F5350" w:rsidRDefault="00650E6F" w:rsidP="003D04B1">
      <w:pPr>
        <w:pStyle w:val="StandaardSV"/>
        <w:numPr>
          <w:ilvl w:val="0"/>
          <w:numId w:val="1"/>
        </w:numPr>
        <w:ind w:left="426" w:hanging="426"/>
      </w:pPr>
      <w:r w:rsidRPr="009F5350">
        <w:t>Sinds 2009 werd enkel uitbreiding gerealiseerd binnen de dagcentra:</w:t>
      </w:r>
    </w:p>
    <w:p w:rsidR="00650E6F" w:rsidRPr="009F5350" w:rsidRDefault="00650E6F" w:rsidP="00650E6F">
      <w:pPr>
        <w:pStyle w:val="StandaardSV"/>
        <w:ind w:left="360" w:firstLine="348"/>
      </w:pPr>
    </w:p>
    <w:tbl>
      <w:tblPr>
        <w:tblStyle w:val="Tabelraster"/>
        <w:tblW w:w="0" w:type="auto"/>
        <w:tblInd w:w="534" w:type="dxa"/>
        <w:tblLook w:val="04A0" w:firstRow="1" w:lastRow="0" w:firstColumn="1" w:lastColumn="0" w:noHBand="0" w:noVBand="1"/>
      </w:tblPr>
      <w:tblGrid>
        <w:gridCol w:w="4296"/>
        <w:gridCol w:w="4457"/>
      </w:tblGrid>
      <w:tr w:rsidR="00650E6F" w:rsidRPr="009F5350" w:rsidTr="00F74DE1">
        <w:tc>
          <w:tcPr>
            <w:tcW w:w="4296" w:type="dxa"/>
          </w:tcPr>
          <w:p w:rsidR="00650E6F" w:rsidRPr="009F5350" w:rsidRDefault="00650E6F" w:rsidP="00BD231B">
            <w:pPr>
              <w:pStyle w:val="StandaardSV"/>
            </w:pPr>
            <w:r w:rsidRPr="009F5350">
              <w:t>Provincie</w:t>
            </w:r>
          </w:p>
        </w:tc>
        <w:tc>
          <w:tcPr>
            <w:tcW w:w="4458" w:type="dxa"/>
          </w:tcPr>
          <w:p w:rsidR="00650E6F" w:rsidRPr="009F5350" w:rsidRDefault="00650E6F" w:rsidP="00BD231B">
            <w:pPr>
              <w:pStyle w:val="StandaardSV"/>
            </w:pPr>
            <w:r w:rsidRPr="009F5350">
              <w:t>Aantal plaatsen</w:t>
            </w:r>
          </w:p>
        </w:tc>
      </w:tr>
      <w:tr w:rsidR="00650E6F" w:rsidRPr="009F5350" w:rsidTr="00F74DE1">
        <w:tc>
          <w:tcPr>
            <w:tcW w:w="4296" w:type="dxa"/>
          </w:tcPr>
          <w:p w:rsidR="00650E6F" w:rsidRPr="009F5350" w:rsidRDefault="00650E6F" w:rsidP="00BD231B">
            <w:pPr>
              <w:pStyle w:val="StandaardSV"/>
            </w:pPr>
            <w:r w:rsidRPr="009F5350">
              <w:t>Antwerpen</w:t>
            </w:r>
          </w:p>
        </w:tc>
        <w:tc>
          <w:tcPr>
            <w:tcW w:w="4458" w:type="dxa"/>
          </w:tcPr>
          <w:p w:rsidR="00650E6F" w:rsidRPr="009F5350" w:rsidRDefault="00650E6F" w:rsidP="00BD231B">
            <w:pPr>
              <w:pStyle w:val="StandaardSV"/>
            </w:pPr>
            <w:r w:rsidRPr="009F5350">
              <w:t>10</w:t>
            </w:r>
          </w:p>
        </w:tc>
      </w:tr>
      <w:tr w:rsidR="00650E6F" w:rsidRPr="009F5350" w:rsidTr="00F74DE1">
        <w:tc>
          <w:tcPr>
            <w:tcW w:w="4296" w:type="dxa"/>
          </w:tcPr>
          <w:p w:rsidR="00650E6F" w:rsidRPr="009F5350" w:rsidRDefault="00650E6F" w:rsidP="00BD231B">
            <w:pPr>
              <w:pStyle w:val="StandaardSV"/>
            </w:pPr>
            <w:r w:rsidRPr="009F5350">
              <w:t>Oost Vlaanderen</w:t>
            </w:r>
          </w:p>
        </w:tc>
        <w:tc>
          <w:tcPr>
            <w:tcW w:w="4458" w:type="dxa"/>
          </w:tcPr>
          <w:p w:rsidR="00650E6F" w:rsidRPr="009F5350" w:rsidRDefault="00650E6F" w:rsidP="00BD231B">
            <w:pPr>
              <w:pStyle w:val="StandaardSV"/>
            </w:pPr>
            <w:r w:rsidRPr="009F5350">
              <w:t>4</w:t>
            </w:r>
          </w:p>
        </w:tc>
      </w:tr>
      <w:tr w:rsidR="00650E6F" w:rsidRPr="009F5350" w:rsidTr="00F74DE1">
        <w:tc>
          <w:tcPr>
            <w:tcW w:w="4296" w:type="dxa"/>
          </w:tcPr>
          <w:p w:rsidR="00650E6F" w:rsidRPr="009F5350" w:rsidRDefault="00650E6F" w:rsidP="00BD231B">
            <w:pPr>
              <w:pStyle w:val="StandaardSV"/>
              <w:rPr>
                <w:b/>
              </w:rPr>
            </w:pPr>
            <w:r w:rsidRPr="009F5350">
              <w:rPr>
                <w:b/>
              </w:rPr>
              <w:t>Totaal</w:t>
            </w:r>
          </w:p>
        </w:tc>
        <w:tc>
          <w:tcPr>
            <w:tcW w:w="4458" w:type="dxa"/>
          </w:tcPr>
          <w:p w:rsidR="00650E6F" w:rsidRPr="009F5350" w:rsidRDefault="00650E6F" w:rsidP="00BD231B">
            <w:pPr>
              <w:pStyle w:val="StandaardSV"/>
              <w:rPr>
                <w:b/>
              </w:rPr>
            </w:pPr>
            <w:r w:rsidRPr="009F5350">
              <w:rPr>
                <w:b/>
              </w:rPr>
              <w:t>14</w:t>
            </w:r>
          </w:p>
        </w:tc>
      </w:tr>
    </w:tbl>
    <w:p w:rsidR="00650E6F" w:rsidRPr="009F5350" w:rsidRDefault="00650E6F" w:rsidP="00650E6F">
      <w:pPr>
        <w:pStyle w:val="StandaardSV"/>
        <w:ind w:left="360"/>
      </w:pPr>
    </w:p>
    <w:p w:rsidR="00650E6F" w:rsidRPr="009F5350" w:rsidRDefault="00650E6F" w:rsidP="00F74DE1">
      <w:pPr>
        <w:pStyle w:val="StandaardSV"/>
        <w:ind w:left="426"/>
      </w:pPr>
      <w:r w:rsidRPr="009F5350">
        <w:t xml:space="preserve">In kader van het uitbreidingsbeleid 2013 werden reeds </w:t>
      </w:r>
      <w:r w:rsidR="00EB1473" w:rsidRPr="009F5350">
        <w:t xml:space="preserve">vergunningen </w:t>
      </w:r>
      <w:r w:rsidRPr="009F5350">
        <w:t>uitgereikt om nog bijkomende plaatsen te realiseren binnen de tehuizen voor niet-werkenden:</w:t>
      </w:r>
    </w:p>
    <w:p w:rsidR="00650E6F" w:rsidRPr="009F5350" w:rsidRDefault="00650E6F" w:rsidP="00650E6F">
      <w:pPr>
        <w:pStyle w:val="StandaardSV"/>
        <w:ind w:left="708"/>
      </w:pPr>
    </w:p>
    <w:tbl>
      <w:tblPr>
        <w:tblStyle w:val="Tabelraster"/>
        <w:tblW w:w="0" w:type="auto"/>
        <w:tblInd w:w="534" w:type="dxa"/>
        <w:tblLook w:val="04A0" w:firstRow="1" w:lastRow="0" w:firstColumn="1" w:lastColumn="0" w:noHBand="0" w:noVBand="1"/>
      </w:tblPr>
      <w:tblGrid>
        <w:gridCol w:w="4296"/>
        <w:gridCol w:w="4457"/>
      </w:tblGrid>
      <w:tr w:rsidR="00650E6F" w:rsidRPr="009F5350" w:rsidTr="00F74DE1">
        <w:tc>
          <w:tcPr>
            <w:tcW w:w="4296" w:type="dxa"/>
          </w:tcPr>
          <w:p w:rsidR="00650E6F" w:rsidRPr="009F5350" w:rsidRDefault="00650E6F" w:rsidP="00BD231B">
            <w:pPr>
              <w:pStyle w:val="StandaardSV"/>
            </w:pPr>
            <w:r w:rsidRPr="009F5350">
              <w:t>Provincie</w:t>
            </w:r>
          </w:p>
        </w:tc>
        <w:tc>
          <w:tcPr>
            <w:tcW w:w="4458" w:type="dxa"/>
          </w:tcPr>
          <w:p w:rsidR="00650E6F" w:rsidRPr="009F5350" w:rsidRDefault="00650E6F" w:rsidP="00BD231B">
            <w:pPr>
              <w:pStyle w:val="StandaardSV"/>
            </w:pPr>
            <w:r w:rsidRPr="009F5350">
              <w:t>Aantal plaatsen</w:t>
            </w:r>
          </w:p>
        </w:tc>
      </w:tr>
      <w:tr w:rsidR="00650E6F" w:rsidRPr="009F5350" w:rsidTr="00F74DE1">
        <w:tc>
          <w:tcPr>
            <w:tcW w:w="4296" w:type="dxa"/>
          </w:tcPr>
          <w:p w:rsidR="00650E6F" w:rsidRPr="009F5350" w:rsidRDefault="00650E6F" w:rsidP="00BD231B">
            <w:pPr>
              <w:pStyle w:val="StandaardSV"/>
            </w:pPr>
            <w:r w:rsidRPr="009F5350">
              <w:t>Limburg</w:t>
            </w:r>
          </w:p>
        </w:tc>
        <w:tc>
          <w:tcPr>
            <w:tcW w:w="4458" w:type="dxa"/>
          </w:tcPr>
          <w:p w:rsidR="00650E6F" w:rsidRPr="009F5350" w:rsidRDefault="00650E6F" w:rsidP="00BD231B">
            <w:pPr>
              <w:pStyle w:val="StandaardSV"/>
            </w:pPr>
            <w:r w:rsidRPr="009F5350">
              <w:t>10</w:t>
            </w:r>
          </w:p>
        </w:tc>
      </w:tr>
      <w:tr w:rsidR="00650E6F" w:rsidRPr="009F5350" w:rsidTr="00F74DE1">
        <w:tc>
          <w:tcPr>
            <w:tcW w:w="4296" w:type="dxa"/>
          </w:tcPr>
          <w:p w:rsidR="00650E6F" w:rsidRPr="009F5350" w:rsidRDefault="00650E6F" w:rsidP="00BD231B">
            <w:pPr>
              <w:pStyle w:val="StandaardSV"/>
            </w:pPr>
            <w:r w:rsidRPr="009F5350">
              <w:t>Oost Vlaanderen</w:t>
            </w:r>
          </w:p>
        </w:tc>
        <w:tc>
          <w:tcPr>
            <w:tcW w:w="4458" w:type="dxa"/>
          </w:tcPr>
          <w:p w:rsidR="00650E6F" w:rsidRPr="009F5350" w:rsidRDefault="00650E6F" w:rsidP="00BD231B">
            <w:pPr>
              <w:pStyle w:val="StandaardSV"/>
            </w:pPr>
            <w:r w:rsidRPr="009F5350">
              <w:t>20</w:t>
            </w:r>
          </w:p>
        </w:tc>
      </w:tr>
      <w:tr w:rsidR="00650E6F" w:rsidRPr="009F5350" w:rsidTr="00F74DE1">
        <w:tc>
          <w:tcPr>
            <w:tcW w:w="4296" w:type="dxa"/>
          </w:tcPr>
          <w:p w:rsidR="00650E6F" w:rsidRPr="009F5350" w:rsidRDefault="00650E6F" w:rsidP="00BD231B">
            <w:pPr>
              <w:pStyle w:val="StandaardSV"/>
            </w:pPr>
            <w:r w:rsidRPr="009F5350">
              <w:t>West Vlaanderen</w:t>
            </w:r>
          </w:p>
        </w:tc>
        <w:tc>
          <w:tcPr>
            <w:tcW w:w="4458" w:type="dxa"/>
          </w:tcPr>
          <w:p w:rsidR="00650E6F" w:rsidRPr="009F5350" w:rsidRDefault="00650E6F" w:rsidP="00BD231B">
            <w:pPr>
              <w:pStyle w:val="StandaardSV"/>
            </w:pPr>
            <w:r w:rsidRPr="009F5350">
              <w:t>10</w:t>
            </w:r>
          </w:p>
        </w:tc>
      </w:tr>
      <w:tr w:rsidR="00650E6F" w:rsidRPr="009F5350" w:rsidTr="00F74DE1">
        <w:tc>
          <w:tcPr>
            <w:tcW w:w="4296" w:type="dxa"/>
          </w:tcPr>
          <w:p w:rsidR="00650E6F" w:rsidRPr="009F5350" w:rsidRDefault="00650E6F" w:rsidP="00BD231B">
            <w:pPr>
              <w:pStyle w:val="StandaardSV"/>
              <w:rPr>
                <w:b/>
              </w:rPr>
            </w:pPr>
            <w:r w:rsidRPr="009F5350">
              <w:rPr>
                <w:b/>
              </w:rPr>
              <w:t>Totaal</w:t>
            </w:r>
          </w:p>
        </w:tc>
        <w:tc>
          <w:tcPr>
            <w:tcW w:w="4458" w:type="dxa"/>
          </w:tcPr>
          <w:p w:rsidR="00650E6F" w:rsidRPr="009F5350" w:rsidRDefault="00650E6F" w:rsidP="00BD231B">
            <w:pPr>
              <w:pStyle w:val="StandaardSV"/>
              <w:rPr>
                <w:b/>
              </w:rPr>
            </w:pPr>
            <w:r w:rsidRPr="009F5350">
              <w:rPr>
                <w:b/>
              </w:rPr>
              <w:t>40</w:t>
            </w:r>
          </w:p>
        </w:tc>
      </w:tr>
    </w:tbl>
    <w:p w:rsidR="00650E6F" w:rsidRPr="003D04B1" w:rsidRDefault="003D04B1" w:rsidP="003D04B1">
      <w:pPr>
        <w:pStyle w:val="StandaardSV"/>
        <w:tabs>
          <w:tab w:val="left" w:pos="840"/>
        </w:tabs>
        <w:ind w:left="360"/>
      </w:pPr>
      <w:r>
        <w:rPr>
          <w:color w:val="FF0000"/>
        </w:rPr>
        <w:tab/>
      </w:r>
    </w:p>
    <w:p w:rsidR="00650E6F" w:rsidRPr="00EB1473" w:rsidRDefault="00650E6F" w:rsidP="003D04B1">
      <w:pPr>
        <w:numPr>
          <w:ilvl w:val="0"/>
          <w:numId w:val="1"/>
        </w:numPr>
        <w:ind w:left="426" w:hanging="426"/>
        <w:jc w:val="both"/>
        <w:rPr>
          <w:szCs w:val="22"/>
        </w:rPr>
      </w:pPr>
      <w:r w:rsidRPr="00EB1473">
        <w:rPr>
          <w:szCs w:val="22"/>
        </w:rPr>
        <w:t>Momenteel zijn er dertig personen opgenomen in drie aangepaste voorzieningen voor geïnterneerden</w:t>
      </w:r>
      <w:r w:rsidR="00EB1473">
        <w:rPr>
          <w:szCs w:val="22"/>
        </w:rPr>
        <w:t>.</w:t>
      </w:r>
      <w:r w:rsidRPr="00EB1473">
        <w:rPr>
          <w:szCs w:val="22"/>
        </w:rPr>
        <w:t xml:space="preserve"> </w:t>
      </w:r>
    </w:p>
    <w:p w:rsidR="00C33DC6" w:rsidRPr="00EB1473" w:rsidRDefault="00C33DC6" w:rsidP="00F74DE1">
      <w:pPr>
        <w:ind w:left="426"/>
        <w:jc w:val="both"/>
        <w:rPr>
          <w:szCs w:val="22"/>
        </w:rPr>
      </w:pPr>
    </w:p>
    <w:p w:rsidR="00650E6F" w:rsidRPr="00EB1473" w:rsidRDefault="00500448" w:rsidP="00F74DE1">
      <w:pPr>
        <w:pStyle w:val="StandaardSV"/>
        <w:ind w:left="426"/>
        <w:rPr>
          <w:szCs w:val="22"/>
        </w:rPr>
      </w:pPr>
      <w:r w:rsidRPr="00EB1473">
        <w:rPr>
          <w:szCs w:val="22"/>
        </w:rPr>
        <w:t>Andere v</w:t>
      </w:r>
      <w:r w:rsidR="00650E6F" w:rsidRPr="00EB1473">
        <w:rPr>
          <w:szCs w:val="22"/>
        </w:rPr>
        <w:t xml:space="preserve">oorzieningen zijn niet verplicht om binnen de cliëntregistratie te melden of de personen die zij opvangen het statuut van internering hebben. Bij doorstroom naar een andere voorziening </w:t>
      </w:r>
      <w:r w:rsidR="00650E6F" w:rsidRPr="00EB1473">
        <w:rPr>
          <w:szCs w:val="22"/>
        </w:rPr>
        <w:lastRenderedPageBreak/>
        <w:t>gebeurt er dus geen opgave van het statuut</w:t>
      </w:r>
      <w:r w:rsidRPr="00EB1473">
        <w:rPr>
          <w:szCs w:val="22"/>
        </w:rPr>
        <w:t>.</w:t>
      </w:r>
      <w:r w:rsidR="00650E6F" w:rsidRPr="00EB1473">
        <w:rPr>
          <w:szCs w:val="22"/>
        </w:rPr>
        <w:t xml:space="preserve"> Het is dus niet mogelijk om een doorstroom in kaart te brengen. </w:t>
      </w:r>
    </w:p>
    <w:p w:rsidR="00650E6F" w:rsidRPr="00EB1473" w:rsidRDefault="00650E6F" w:rsidP="00F74DE1">
      <w:pPr>
        <w:pStyle w:val="StandaardSV"/>
        <w:ind w:left="426"/>
        <w:rPr>
          <w:szCs w:val="22"/>
        </w:rPr>
      </w:pPr>
    </w:p>
    <w:p w:rsidR="00650E6F" w:rsidRPr="00EB1473" w:rsidRDefault="000F6641" w:rsidP="003D04B1">
      <w:pPr>
        <w:pStyle w:val="StandaardSV"/>
        <w:numPr>
          <w:ilvl w:val="0"/>
          <w:numId w:val="1"/>
        </w:numPr>
        <w:ind w:left="426" w:hanging="426"/>
        <w:rPr>
          <w:szCs w:val="22"/>
        </w:rPr>
      </w:pPr>
      <w:r w:rsidRPr="00EB1473">
        <w:rPr>
          <w:szCs w:val="22"/>
        </w:rPr>
        <w:t xml:space="preserve">Voor het forensisch psychiatrisch centrum in Gent is de procedure tot bepaling </w:t>
      </w:r>
      <w:r w:rsidR="00EB1473">
        <w:rPr>
          <w:szCs w:val="22"/>
        </w:rPr>
        <w:t>van de</w:t>
      </w:r>
      <w:r w:rsidRPr="00EB1473">
        <w:rPr>
          <w:szCs w:val="22"/>
        </w:rPr>
        <w:t xml:space="preserve"> uitbat</w:t>
      </w:r>
      <w:r w:rsidR="00EB1473">
        <w:rPr>
          <w:szCs w:val="22"/>
        </w:rPr>
        <w:t>er</w:t>
      </w:r>
      <w:r w:rsidRPr="00EB1473">
        <w:rPr>
          <w:szCs w:val="22"/>
        </w:rPr>
        <w:t xml:space="preserve"> momenteel lopende bij de federale overheid. Doelstelling is dit op 1 mei 2014 te openen. Voor het forensisch psychiatrisch centrum in Antwerpen, blijken de nodige vergunningen in orde te zijn en zou de bouw mogelijk starten in september van dit jaar met als doel eind 2015</w:t>
      </w:r>
      <w:r w:rsidR="00EB1473">
        <w:rPr>
          <w:szCs w:val="22"/>
        </w:rPr>
        <w:t xml:space="preserve"> -</w:t>
      </w:r>
      <w:r w:rsidRPr="00EB1473">
        <w:rPr>
          <w:szCs w:val="22"/>
        </w:rPr>
        <w:t xml:space="preserve"> begin 2016 te openen.</w:t>
      </w:r>
    </w:p>
    <w:p w:rsidR="000F6641" w:rsidRPr="00EB1473" w:rsidRDefault="000F6641" w:rsidP="00F74DE1">
      <w:pPr>
        <w:pStyle w:val="StandaardSV"/>
        <w:ind w:left="426"/>
        <w:rPr>
          <w:szCs w:val="22"/>
        </w:rPr>
      </w:pPr>
    </w:p>
    <w:p w:rsidR="000F6641" w:rsidRPr="00EB1473" w:rsidRDefault="00D351D8" w:rsidP="003D04B1">
      <w:pPr>
        <w:pStyle w:val="StandaardSV"/>
        <w:numPr>
          <w:ilvl w:val="0"/>
          <w:numId w:val="1"/>
        </w:numPr>
        <w:ind w:left="426" w:hanging="426"/>
        <w:rPr>
          <w:szCs w:val="22"/>
        </w:rPr>
      </w:pPr>
      <w:r w:rsidRPr="00EB1473">
        <w:rPr>
          <w:szCs w:val="22"/>
        </w:rPr>
        <w:t>D</w:t>
      </w:r>
      <w:r w:rsidR="000F6641" w:rsidRPr="00EB1473">
        <w:rPr>
          <w:szCs w:val="22"/>
        </w:rPr>
        <w:t xml:space="preserve">e uitbouw van </w:t>
      </w:r>
      <w:proofErr w:type="spellStart"/>
      <w:r w:rsidR="000F6641" w:rsidRPr="00EB1473">
        <w:rPr>
          <w:szCs w:val="22"/>
        </w:rPr>
        <w:t>voorzieningoverschrijdende</w:t>
      </w:r>
      <w:proofErr w:type="spellEnd"/>
      <w:r w:rsidR="000F6641" w:rsidRPr="00EB1473">
        <w:rPr>
          <w:szCs w:val="22"/>
        </w:rPr>
        <w:t xml:space="preserve"> forensische zorgtrajecten voor geïnterneerden </w:t>
      </w:r>
      <w:r w:rsidRPr="00EB1473">
        <w:rPr>
          <w:szCs w:val="22"/>
        </w:rPr>
        <w:t xml:space="preserve">heeft nog geen </w:t>
      </w:r>
      <w:r w:rsidR="000F6641" w:rsidRPr="00EB1473">
        <w:rPr>
          <w:szCs w:val="22"/>
        </w:rPr>
        <w:t>onderwerp uitgemaakt van een interministeriële conferentie</w:t>
      </w:r>
      <w:r w:rsidRPr="00EB1473">
        <w:rPr>
          <w:szCs w:val="22"/>
        </w:rPr>
        <w:t>.</w:t>
      </w:r>
    </w:p>
    <w:p w:rsidR="00D351D8" w:rsidRPr="003D04B1" w:rsidRDefault="00D351D8" w:rsidP="00F74DE1">
      <w:pPr>
        <w:ind w:left="426"/>
        <w:jc w:val="both"/>
        <w:rPr>
          <w:szCs w:val="22"/>
        </w:rPr>
      </w:pPr>
    </w:p>
    <w:p w:rsidR="00D351D8" w:rsidRPr="003D04B1" w:rsidRDefault="00D351D8" w:rsidP="003D04B1">
      <w:pPr>
        <w:pStyle w:val="Lijstalinea"/>
        <w:numPr>
          <w:ilvl w:val="0"/>
          <w:numId w:val="1"/>
        </w:numPr>
        <w:ind w:left="426" w:hanging="426"/>
        <w:jc w:val="both"/>
        <w:rPr>
          <w:szCs w:val="22"/>
        </w:rPr>
      </w:pPr>
      <w:r w:rsidRPr="003D04B1">
        <w:rPr>
          <w:szCs w:val="22"/>
        </w:rPr>
        <w:t>Er zijn een aantal initiatieven lopende</w:t>
      </w:r>
      <w:r w:rsidR="00EB1473" w:rsidRPr="003D04B1">
        <w:rPr>
          <w:szCs w:val="22"/>
        </w:rPr>
        <w:t>:</w:t>
      </w:r>
    </w:p>
    <w:p w:rsidR="00D351D8" w:rsidRPr="003D04B1" w:rsidRDefault="00EB1473" w:rsidP="003D04B1">
      <w:pPr>
        <w:pStyle w:val="Lijstalinea"/>
        <w:numPr>
          <w:ilvl w:val="1"/>
          <w:numId w:val="1"/>
        </w:numPr>
        <w:ind w:left="851" w:hanging="425"/>
        <w:jc w:val="both"/>
        <w:rPr>
          <w:szCs w:val="22"/>
        </w:rPr>
      </w:pPr>
      <w:r w:rsidRPr="003D04B1">
        <w:rPr>
          <w:szCs w:val="22"/>
        </w:rPr>
        <w:t>i</w:t>
      </w:r>
      <w:r w:rsidR="00D351D8" w:rsidRPr="003D04B1">
        <w:rPr>
          <w:szCs w:val="22"/>
        </w:rPr>
        <w:t>n de ontwikkeling van zorgcircuits en netwerken (projecten 107) wordt er gepoogd om ook de doelgroep ‘geïnterneerden’ te betrekken en te begeleiden</w:t>
      </w:r>
      <w:r w:rsidRPr="003D04B1">
        <w:rPr>
          <w:szCs w:val="22"/>
        </w:rPr>
        <w:t>;</w:t>
      </w:r>
    </w:p>
    <w:p w:rsidR="00D351D8" w:rsidRPr="003D04B1" w:rsidRDefault="00EB1473" w:rsidP="003D04B1">
      <w:pPr>
        <w:pStyle w:val="Lijstalinea"/>
        <w:numPr>
          <w:ilvl w:val="1"/>
          <w:numId w:val="1"/>
        </w:numPr>
        <w:ind w:left="851" w:hanging="425"/>
        <w:jc w:val="both"/>
        <w:rPr>
          <w:szCs w:val="22"/>
        </w:rPr>
      </w:pPr>
      <w:r w:rsidRPr="003D04B1">
        <w:rPr>
          <w:szCs w:val="22"/>
        </w:rPr>
        <w:t>v</w:t>
      </w:r>
      <w:r w:rsidR="00D351D8" w:rsidRPr="003D04B1">
        <w:rPr>
          <w:szCs w:val="22"/>
        </w:rPr>
        <w:t>anuit de FOD Volksgezondheid wordt er per gerechtelijk arrondissement een coördinator gefinancierd die de brugfunctie vormt</w:t>
      </w:r>
      <w:r w:rsidRPr="003D04B1">
        <w:rPr>
          <w:szCs w:val="22"/>
        </w:rPr>
        <w:t xml:space="preserve"> tussen GGZ en Justitie;</w:t>
      </w:r>
    </w:p>
    <w:p w:rsidR="00D351D8" w:rsidRPr="003D04B1" w:rsidRDefault="00EB1473" w:rsidP="003D04B1">
      <w:pPr>
        <w:pStyle w:val="Lijstalinea"/>
        <w:numPr>
          <w:ilvl w:val="1"/>
          <w:numId w:val="1"/>
        </w:numPr>
        <w:ind w:left="851" w:hanging="425"/>
        <w:jc w:val="both"/>
        <w:rPr>
          <w:szCs w:val="22"/>
        </w:rPr>
      </w:pPr>
      <w:r w:rsidRPr="003D04B1">
        <w:rPr>
          <w:szCs w:val="22"/>
        </w:rPr>
        <w:t>m</w:t>
      </w:r>
      <w:r w:rsidR="00D351D8" w:rsidRPr="003D04B1">
        <w:rPr>
          <w:szCs w:val="22"/>
        </w:rPr>
        <w:t xml:space="preserve">en is vanuit FOD Justitie betrokken bij de hervorming van de </w:t>
      </w:r>
      <w:r w:rsidRPr="003D04B1">
        <w:rPr>
          <w:szCs w:val="22"/>
        </w:rPr>
        <w:t xml:space="preserve">‘wet </w:t>
      </w:r>
      <w:r w:rsidR="00D351D8" w:rsidRPr="003D04B1">
        <w:rPr>
          <w:szCs w:val="22"/>
        </w:rPr>
        <w:t>internering</w:t>
      </w:r>
      <w:r w:rsidRPr="003D04B1">
        <w:rPr>
          <w:szCs w:val="22"/>
        </w:rPr>
        <w:t>’</w:t>
      </w:r>
      <w:r w:rsidR="00D351D8" w:rsidRPr="003D04B1">
        <w:rPr>
          <w:szCs w:val="22"/>
        </w:rPr>
        <w:t xml:space="preserve">. Mijn administratie volgt de ontwikkelingen op met oog voor de consequenties voor de geestelijke gezondheidszorg. </w:t>
      </w:r>
      <w:bookmarkStart w:id="6" w:name="_GoBack"/>
      <w:bookmarkEnd w:id="6"/>
    </w:p>
    <w:sectPr w:rsidR="00D351D8" w:rsidRPr="003D04B1" w:rsidSect="003D04B1">
      <w:type w:val="continuous"/>
      <w:pgSz w:w="11906" w:h="16838"/>
      <w:pgMar w:top="1417" w:right="1417" w:bottom="1417" w:left="1418"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81E" w:rsidRDefault="0073281E">
      <w:r>
        <w:separator/>
      </w:r>
    </w:p>
  </w:endnote>
  <w:endnote w:type="continuationSeparator" w:id="0">
    <w:p w:rsidR="0073281E" w:rsidRDefault="0073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81E" w:rsidRDefault="0073281E">
      <w:r>
        <w:separator/>
      </w:r>
    </w:p>
  </w:footnote>
  <w:footnote w:type="continuationSeparator" w:id="0">
    <w:p w:rsidR="0073281E" w:rsidRDefault="00732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B37C7"/>
    <w:multiLevelType w:val="hybridMultilevel"/>
    <w:tmpl w:val="3B84AC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6B240349"/>
    <w:multiLevelType w:val="hybridMultilevel"/>
    <w:tmpl w:val="7DCC991E"/>
    <w:lvl w:ilvl="0" w:tplc="0813000F">
      <w:start w:val="1"/>
      <w:numFmt w:val="decimal"/>
      <w:lvlText w:val="%1."/>
      <w:lvlJc w:val="left"/>
      <w:pPr>
        <w:ind w:left="720" w:hanging="360"/>
      </w:pPr>
      <w:rPr>
        <w:rFonts w:hint="default"/>
      </w:rPr>
    </w:lvl>
    <w:lvl w:ilvl="1" w:tplc="36A83740">
      <w:start w:val="7"/>
      <w:numFmt w:val="bullet"/>
      <w:lvlText w:val="-"/>
      <w:lvlJc w:val="left"/>
      <w:pPr>
        <w:ind w:left="1440" w:hanging="360"/>
      </w:pPr>
      <w:rPr>
        <w:rFonts w:ascii="Times New Roman" w:eastAsia="Times New Roman" w:hAnsi="Times New Roman" w:cs="Times New Roman"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70930EA5"/>
    <w:multiLevelType w:val="hybridMultilevel"/>
    <w:tmpl w:val="0F8480F0"/>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8"/>
    <w:rsid w:val="00031E9C"/>
    <w:rsid w:val="000F6641"/>
    <w:rsid w:val="001119C8"/>
    <w:rsid w:val="003B3111"/>
    <w:rsid w:val="003D04B1"/>
    <w:rsid w:val="003E56E5"/>
    <w:rsid w:val="00500448"/>
    <w:rsid w:val="006359E3"/>
    <w:rsid w:val="00650E6F"/>
    <w:rsid w:val="006F4096"/>
    <w:rsid w:val="0073281E"/>
    <w:rsid w:val="00C33DC6"/>
    <w:rsid w:val="00CF6F78"/>
    <w:rsid w:val="00D351D8"/>
    <w:rsid w:val="00EB1473"/>
    <w:rsid w:val="00EE4E83"/>
    <w:rsid w:val="00F74D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33DC6"/>
    <w:rPr>
      <w:sz w:val="22"/>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ntwoordNaamMinister">
    <w:name w:val="AntwoordNaamMinister"/>
    <w:basedOn w:val="Standaard"/>
    <w:link w:val="AntwoordNaamMinisterChar"/>
    <w:rsid w:val="00C33DC6"/>
    <w:rPr>
      <w:b/>
      <w:smallCaps/>
      <w:lang w:val="nl-BE"/>
    </w:rPr>
  </w:style>
  <w:style w:type="paragraph" w:customStyle="1" w:styleId="A-TitelMinister">
    <w:name w:val="A-TitelMinister"/>
    <w:basedOn w:val="Standaard"/>
    <w:rsid w:val="00C33DC6"/>
    <w:rPr>
      <w:smallCaps/>
      <w:szCs w:val="22"/>
      <w:lang w:val="nl-BE"/>
    </w:rPr>
  </w:style>
  <w:style w:type="paragraph" w:customStyle="1" w:styleId="A-NaamMinister">
    <w:name w:val="A-NaamMinister"/>
    <w:basedOn w:val="Standaard"/>
    <w:link w:val="A-NaamMinisterChar"/>
    <w:rsid w:val="00C33DC6"/>
    <w:rPr>
      <w:b/>
      <w:smallCaps/>
      <w:lang w:val="nl-BE"/>
    </w:rPr>
  </w:style>
  <w:style w:type="paragraph" w:customStyle="1" w:styleId="A-Lijn">
    <w:name w:val="A-Lijn"/>
    <w:basedOn w:val="Standaard"/>
    <w:rsid w:val="00C33DC6"/>
    <w:pPr>
      <w:pBdr>
        <w:top w:val="single" w:sz="4" w:space="1" w:color="auto"/>
      </w:pBdr>
    </w:pPr>
    <w:rPr>
      <w:smallCaps/>
      <w:szCs w:val="22"/>
      <w:lang w:val="nl-BE"/>
    </w:rPr>
  </w:style>
  <w:style w:type="paragraph" w:customStyle="1" w:styleId="A-Type">
    <w:name w:val="A-Type"/>
    <w:link w:val="A-TypeChar"/>
    <w:rsid w:val="00C33DC6"/>
    <w:rPr>
      <w:b/>
      <w:smallCaps/>
      <w:sz w:val="22"/>
      <w:szCs w:val="22"/>
      <w:lang w:eastAsia="nl-NL"/>
    </w:rPr>
  </w:style>
  <w:style w:type="character" w:customStyle="1" w:styleId="A-NaamMinisterChar">
    <w:name w:val="A-NaamMinister Char"/>
    <w:basedOn w:val="Standaardalinea-lettertype"/>
    <w:link w:val="A-NaamMinister"/>
    <w:rsid w:val="00C33DC6"/>
    <w:rPr>
      <w:b/>
      <w:smallCaps/>
      <w:sz w:val="22"/>
      <w:szCs w:val="24"/>
      <w:lang w:val="nl-BE" w:eastAsia="nl-NL" w:bidi="ar-SA"/>
    </w:rPr>
  </w:style>
  <w:style w:type="character" w:customStyle="1" w:styleId="A-TypeChar">
    <w:name w:val="A-Type Char"/>
    <w:basedOn w:val="Standaardalinea-lettertype"/>
    <w:link w:val="A-Type"/>
    <w:rsid w:val="00C33DC6"/>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C33DC6"/>
    <w:rPr>
      <w:b/>
      <w:smallCaps/>
      <w:sz w:val="22"/>
      <w:szCs w:val="24"/>
      <w:lang w:val="nl-BE" w:eastAsia="nl-NL" w:bidi="ar-SA"/>
    </w:rPr>
  </w:style>
  <w:style w:type="paragraph" w:customStyle="1" w:styleId="StandaardSV">
    <w:name w:val="Standaard SV"/>
    <w:basedOn w:val="Standaard"/>
    <w:rsid w:val="00650E6F"/>
    <w:pPr>
      <w:jc w:val="both"/>
    </w:pPr>
    <w:rPr>
      <w:szCs w:val="20"/>
    </w:rPr>
  </w:style>
  <w:style w:type="table" w:styleId="Tabelraster">
    <w:name w:val="Table Grid"/>
    <w:basedOn w:val="Standaardtabel"/>
    <w:rsid w:val="00650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D351D8"/>
    <w:pPr>
      <w:ind w:left="720"/>
      <w:contextualSpacing/>
    </w:pPr>
  </w:style>
  <w:style w:type="paragraph" w:styleId="Ballontekst">
    <w:name w:val="Balloon Text"/>
    <w:basedOn w:val="Standaard"/>
    <w:link w:val="BallontekstChar"/>
    <w:rsid w:val="00F74DE1"/>
    <w:rPr>
      <w:rFonts w:ascii="Tahoma" w:hAnsi="Tahoma" w:cs="Tahoma"/>
      <w:sz w:val="16"/>
      <w:szCs w:val="16"/>
    </w:rPr>
  </w:style>
  <w:style w:type="character" w:customStyle="1" w:styleId="BallontekstChar">
    <w:name w:val="Ballontekst Char"/>
    <w:basedOn w:val="Standaardalinea-lettertype"/>
    <w:link w:val="Ballontekst"/>
    <w:rsid w:val="00F74DE1"/>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33DC6"/>
    <w:rPr>
      <w:sz w:val="22"/>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ntwoordNaamMinister">
    <w:name w:val="AntwoordNaamMinister"/>
    <w:basedOn w:val="Standaard"/>
    <w:link w:val="AntwoordNaamMinisterChar"/>
    <w:rsid w:val="00C33DC6"/>
    <w:rPr>
      <w:b/>
      <w:smallCaps/>
      <w:lang w:val="nl-BE"/>
    </w:rPr>
  </w:style>
  <w:style w:type="paragraph" w:customStyle="1" w:styleId="A-TitelMinister">
    <w:name w:val="A-TitelMinister"/>
    <w:basedOn w:val="Standaard"/>
    <w:rsid w:val="00C33DC6"/>
    <w:rPr>
      <w:smallCaps/>
      <w:szCs w:val="22"/>
      <w:lang w:val="nl-BE"/>
    </w:rPr>
  </w:style>
  <w:style w:type="paragraph" w:customStyle="1" w:styleId="A-NaamMinister">
    <w:name w:val="A-NaamMinister"/>
    <w:basedOn w:val="Standaard"/>
    <w:link w:val="A-NaamMinisterChar"/>
    <w:rsid w:val="00C33DC6"/>
    <w:rPr>
      <w:b/>
      <w:smallCaps/>
      <w:lang w:val="nl-BE"/>
    </w:rPr>
  </w:style>
  <w:style w:type="paragraph" w:customStyle="1" w:styleId="A-Lijn">
    <w:name w:val="A-Lijn"/>
    <w:basedOn w:val="Standaard"/>
    <w:rsid w:val="00C33DC6"/>
    <w:pPr>
      <w:pBdr>
        <w:top w:val="single" w:sz="4" w:space="1" w:color="auto"/>
      </w:pBdr>
    </w:pPr>
    <w:rPr>
      <w:smallCaps/>
      <w:szCs w:val="22"/>
      <w:lang w:val="nl-BE"/>
    </w:rPr>
  </w:style>
  <w:style w:type="paragraph" w:customStyle="1" w:styleId="A-Type">
    <w:name w:val="A-Type"/>
    <w:link w:val="A-TypeChar"/>
    <w:rsid w:val="00C33DC6"/>
    <w:rPr>
      <w:b/>
      <w:smallCaps/>
      <w:sz w:val="22"/>
      <w:szCs w:val="22"/>
      <w:lang w:eastAsia="nl-NL"/>
    </w:rPr>
  </w:style>
  <w:style w:type="character" w:customStyle="1" w:styleId="A-NaamMinisterChar">
    <w:name w:val="A-NaamMinister Char"/>
    <w:basedOn w:val="Standaardalinea-lettertype"/>
    <w:link w:val="A-NaamMinister"/>
    <w:rsid w:val="00C33DC6"/>
    <w:rPr>
      <w:b/>
      <w:smallCaps/>
      <w:sz w:val="22"/>
      <w:szCs w:val="24"/>
      <w:lang w:val="nl-BE" w:eastAsia="nl-NL" w:bidi="ar-SA"/>
    </w:rPr>
  </w:style>
  <w:style w:type="character" w:customStyle="1" w:styleId="A-TypeChar">
    <w:name w:val="A-Type Char"/>
    <w:basedOn w:val="Standaardalinea-lettertype"/>
    <w:link w:val="A-Type"/>
    <w:rsid w:val="00C33DC6"/>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C33DC6"/>
    <w:rPr>
      <w:b/>
      <w:smallCaps/>
      <w:sz w:val="22"/>
      <w:szCs w:val="24"/>
      <w:lang w:val="nl-BE" w:eastAsia="nl-NL" w:bidi="ar-SA"/>
    </w:rPr>
  </w:style>
  <w:style w:type="paragraph" w:customStyle="1" w:styleId="StandaardSV">
    <w:name w:val="Standaard SV"/>
    <w:basedOn w:val="Standaard"/>
    <w:rsid w:val="00650E6F"/>
    <w:pPr>
      <w:jc w:val="both"/>
    </w:pPr>
    <w:rPr>
      <w:szCs w:val="20"/>
    </w:rPr>
  </w:style>
  <w:style w:type="table" w:styleId="Tabelraster">
    <w:name w:val="Table Grid"/>
    <w:basedOn w:val="Standaardtabel"/>
    <w:rsid w:val="00650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D351D8"/>
    <w:pPr>
      <w:ind w:left="720"/>
      <w:contextualSpacing/>
    </w:pPr>
  </w:style>
  <w:style w:type="paragraph" w:styleId="Ballontekst">
    <w:name w:val="Balloon Text"/>
    <w:basedOn w:val="Standaard"/>
    <w:link w:val="BallontekstChar"/>
    <w:rsid w:val="00F74DE1"/>
    <w:rPr>
      <w:rFonts w:ascii="Tahoma" w:hAnsi="Tahoma" w:cs="Tahoma"/>
      <w:sz w:val="16"/>
      <w:szCs w:val="16"/>
    </w:rPr>
  </w:style>
  <w:style w:type="character" w:customStyle="1" w:styleId="BallontekstChar">
    <w:name w:val="Ballontekst Char"/>
    <w:basedOn w:val="Standaardalinea-lettertype"/>
    <w:link w:val="Ballontekst"/>
    <w:rsid w:val="00F74DE1"/>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63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xt\LOCALS~1\Temp\notes4259E9\antwoord%20pv.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pv</Template>
  <TotalTime>2</TotalTime>
  <Pages>2</Pages>
  <Words>424</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JO VANDEURZEN</vt:lpstr>
    </vt:vector>
  </TitlesOfParts>
  <Company>MVG</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 VANDEURZEN</dc:title>
  <dc:creator>Tjoen Kevin</dc:creator>
  <cp:lastModifiedBy>Nathalie De Keyzer</cp:lastModifiedBy>
  <cp:revision>3</cp:revision>
  <cp:lastPrinted>2013-05-29T10:51:00Z</cp:lastPrinted>
  <dcterms:created xsi:type="dcterms:W3CDTF">2013-05-29T10:51:00Z</dcterms:created>
  <dcterms:modified xsi:type="dcterms:W3CDTF">2013-06-03T14:27:00Z</dcterms:modified>
</cp:coreProperties>
</file>