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rsidP="00C27E13">
      <w:pPr>
        <w:jc w:val="both"/>
        <w:rPr>
          <w:b/>
          <w:smallCaps/>
          <w:sz w:val="22"/>
        </w:rPr>
      </w:pPr>
      <w:r>
        <w:rPr>
          <w:b/>
          <w:smallCaps/>
          <w:sz w:val="22"/>
        </w:rPr>
        <w:t>ingrid lieten</w:t>
      </w:r>
    </w:p>
    <w:p w:rsidR="005431C7" w:rsidRDefault="005431C7" w:rsidP="00C27E13">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rsidP="00C27E13">
      <w:pPr>
        <w:pBdr>
          <w:bottom w:val="single" w:sz="4" w:space="1" w:color="auto"/>
        </w:pBdr>
        <w:jc w:val="both"/>
        <w:rPr>
          <w:sz w:val="22"/>
        </w:rPr>
      </w:pPr>
    </w:p>
    <w:p w:rsidR="005431C7" w:rsidRDefault="005431C7" w:rsidP="00C27E13">
      <w:pPr>
        <w:jc w:val="both"/>
        <w:rPr>
          <w:sz w:val="22"/>
        </w:rPr>
      </w:pPr>
    </w:p>
    <w:p w:rsidR="00CA30A2" w:rsidRPr="00103D45" w:rsidRDefault="00CA30A2" w:rsidP="00C27E13">
      <w:pPr>
        <w:jc w:val="both"/>
        <w:rPr>
          <w:b/>
          <w:smallCaps/>
          <w:sz w:val="22"/>
          <w:szCs w:val="22"/>
        </w:rPr>
      </w:pPr>
      <w:r w:rsidRPr="00103D45">
        <w:rPr>
          <w:b/>
          <w:smallCaps/>
          <w:sz w:val="22"/>
          <w:szCs w:val="22"/>
        </w:rPr>
        <w:t>antwoord</w:t>
      </w:r>
    </w:p>
    <w:p w:rsidR="00CA30A2" w:rsidRPr="00103D45" w:rsidRDefault="00CA30A2" w:rsidP="00C27E13">
      <w:pPr>
        <w:jc w:val="both"/>
        <w:rPr>
          <w:sz w:val="22"/>
          <w:szCs w:val="22"/>
        </w:rPr>
      </w:pPr>
      <w:r w:rsidRPr="00103D45">
        <w:rPr>
          <w:sz w:val="22"/>
          <w:szCs w:val="22"/>
        </w:rPr>
        <w:t xml:space="preserve">op vraag nr. </w:t>
      </w:r>
      <w:r w:rsidR="0026187F">
        <w:rPr>
          <w:sz w:val="22"/>
        </w:rPr>
        <w:t>360</w:t>
      </w:r>
      <w:r w:rsidRPr="00103D45">
        <w:rPr>
          <w:sz w:val="22"/>
          <w:szCs w:val="22"/>
        </w:rPr>
        <w:t xml:space="preserve"> van </w:t>
      </w:r>
      <w:r w:rsidR="0026187F">
        <w:rPr>
          <w:sz w:val="22"/>
        </w:rPr>
        <w:t>24 april 2013</w:t>
      </w:r>
    </w:p>
    <w:p w:rsidR="005431C7" w:rsidRDefault="00CA30A2" w:rsidP="00C27E13">
      <w:pPr>
        <w:jc w:val="both"/>
        <w:rPr>
          <w:sz w:val="22"/>
        </w:rPr>
      </w:pPr>
      <w:r w:rsidRPr="00103D45">
        <w:rPr>
          <w:sz w:val="22"/>
          <w:szCs w:val="22"/>
        </w:rPr>
        <w:t xml:space="preserve">van </w:t>
      </w:r>
      <w:proofErr w:type="spellStart"/>
      <w:r w:rsidR="00320E56">
        <w:rPr>
          <w:b/>
          <w:smallCaps/>
        </w:rPr>
        <w:t>patricia</w:t>
      </w:r>
      <w:proofErr w:type="spellEnd"/>
      <w:r w:rsidR="00320E56">
        <w:rPr>
          <w:b/>
          <w:smallCaps/>
        </w:rPr>
        <w:t xml:space="preserve"> </w:t>
      </w:r>
      <w:proofErr w:type="spellStart"/>
      <w:r w:rsidR="00320E56">
        <w:rPr>
          <w:b/>
          <w:smallCaps/>
        </w:rPr>
        <w:t>c</w:t>
      </w:r>
      <w:r w:rsidR="0026187F">
        <w:rPr>
          <w:b/>
          <w:smallCaps/>
        </w:rPr>
        <w:t>eysens</w:t>
      </w:r>
      <w:proofErr w:type="spellEnd"/>
    </w:p>
    <w:p w:rsidR="005431C7" w:rsidRDefault="005431C7" w:rsidP="00C27E13">
      <w:pPr>
        <w:pBdr>
          <w:bottom w:val="single" w:sz="4" w:space="1" w:color="auto"/>
        </w:pBdr>
        <w:jc w:val="both"/>
        <w:rPr>
          <w:sz w:val="22"/>
        </w:rPr>
      </w:pPr>
    </w:p>
    <w:p w:rsidR="005431C7" w:rsidRPr="00857F70" w:rsidRDefault="005431C7" w:rsidP="00C27E13">
      <w:pPr>
        <w:jc w:val="both"/>
        <w:rPr>
          <w:sz w:val="22"/>
          <w:szCs w:val="22"/>
        </w:rPr>
      </w:pPr>
    </w:p>
    <w:p w:rsidR="006A324D" w:rsidRDefault="006A324D" w:rsidP="00C27E13">
      <w:pPr>
        <w:jc w:val="both"/>
        <w:rPr>
          <w:sz w:val="22"/>
          <w:szCs w:val="22"/>
        </w:rPr>
      </w:pPr>
    </w:p>
    <w:p w:rsidR="00857F70" w:rsidRDefault="00B50D72" w:rsidP="00C27E13">
      <w:pPr>
        <w:jc w:val="both"/>
        <w:rPr>
          <w:sz w:val="22"/>
          <w:szCs w:val="22"/>
        </w:rPr>
      </w:pPr>
      <w:r>
        <w:rPr>
          <w:sz w:val="22"/>
          <w:szCs w:val="22"/>
        </w:rPr>
        <w:t>V</w:t>
      </w:r>
      <w:r w:rsidR="00857F70">
        <w:rPr>
          <w:sz w:val="22"/>
          <w:szCs w:val="22"/>
        </w:rPr>
        <w:t xml:space="preserve">ooraf wil ik u opmerkzaam maken op het feit dat ik als antwoord op (deelvraag 2) van uw schriftelijke vraag nr. 266 van 4 maart 2013 heb gemeld dat </w:t>
      </w:r>
      <w:r w:rsidR="00857F70" w:rsidRPr="00B50D72">
        <w:rPr>
          <w:i/>
          <w:sz w:val="22"/>
          <w:szCs w:val="22"/>
        </w:rPr>
        <w:t xml:space="preserve">“in de periode 2005-2011 94 spin-offs aan de vijf Vlaamse universiteiten werden opgericht waarvan 4 spin-offs met formele rol van het universitair ziekenhuis en 4 spin-offs </w:t>
      </w:r>
      <w:r>
        <w:rPr>
          <w:i/>
          <w:sz w:val="22"/>
          <w:szCs w:val="22"/>
        </w:rPr>
        <w:t>d</w:t>
      </w:r>
      <w:r w:rsidR="00857F70" w:rsidRPr="00B50D72">
        <w:rPr>
          <w:i/>
          <w:sz w:val="22"/>
          <w:szCs w:val="22"/>
        </w:rPr>
        <w:t>ie gebaseerd zijn op onderzoek aan de medische faculteiten”</w:t>
      </w:r>
      <w:r w:rsidR="00857F70" w:rsidRPr="00857F70">
        <w:rPr>
          <w:sz w:val="22"/>
          <w:szCs w:val="22"/>
        </w:rPr>
        <w:t>.</w:t>
      </w:r>
      <w:r w:rsidR="00857F70">
        <w:rPr>
          <w:sz w:val="22"/>
          <w:szCs w:val="22"/>
        </w:rPr>
        <w:t xml:space="preserve"> Er zijn dus niet “een honde</w:t>
      </w:r>
      <w:bookmarkStart w:id="0" w:name="_GoBack"/>
      <w:bookmarkEnd w:id="0"/>
      <w:r w:rsidR="00857F70">
        <w:rPr>
          <w:sz w:val="22"/>
          <w:szCs w:val="22"/>
        </w:rPr>
        <w:t>rdtal spin-offs voortgekomen uit Vlaamse ziekenhuizen</w:t>
      </w:r>
      <w:r>
        <w:rPr>
          <w:sz w:val="22"/>
          <w:szCs w:val="22"/>
        </w:rPr>
        <w:t>”; wel zijn er in de periode 2</w:t>
      </w:r>
      <w:r w:rsidRPr="00B50D72">
        <w:rPr>
          <w:sz w:val="22"/>
          <w:szCs w:val="22"/>
        </w:rPr>
        <w:t xml:space="preserve">005-2011 </w:t>
      </w:r>
      <w:r w:rsidRPr="00B50D72">
        <w:rPr>
          <w:sz w:val="22"/>
          <w:szCs w:val="22"/>
          <w:u w:val="single"/>
        </w:rPr>
        <w:t>94 spin-offs</w:t>
      </w:r>
      <w:r w:rsidRPr="00B50D72">
        <w:rPr>
          <w:sz w:val="22"/>
          <w:szCs w:val="22"/>
        </w:rPr>
        <w:t xml:space="preserve"> </w:t>
      </w:r>
      <w:r w:rsidRPr="00B50D72">
        <w:rPr>
          <w:sz w:val="22"/>
          <w:szCs w:val="22"/>
          <w:u w:val="single"/>
        </w:rPr>
        <w:t>aan de vijf Vlaamse universiteiten</w:t>
      </w:r>
      <w:r w:rsidRPr="00B50D72">
        <w:rPr>
          <w:sz w:val="22"/>
          <w:szCs w:val="22"/>
        </w:rPr>
        <w:t xml:space="preserve"> opgericht </w:t>
      </w:r>
      <w:r>
        <w:rPr>
          <w:sz w:val="22"/>
          <w:szCs w:val="22"/>
        </w:rPr>
        <w:t>d</w:t>
      </w:r>
      <w:r w:rsidRPr="00B50D72">
        <w:rPr>
          <w:sz w:val="22"/>
          <w:szCs w:val="22"/>
        </w:rPr>
        <w:t>ie</w:t>
      </w:r>
      <w:r>
        <w:rPr>
          <w:sz w:val="22"/>
          <w:szCs w:val="22"/>
        </w:rPr>
        <w:t xml:space="preserve"> echter </w:t>
      </w:r>
      <w:r w:rsidRPr="00B50D72">
        <w:rPr>
          <w:sz w:val="22"/>
          <w:szCs w:val="22"/>
          <w:u w:val="single"/>
        </w:rPr>
        <w:t>niet</w:t>
      </w:r>
      <w:r w:rsidRPr="00B50D72">
        <w:rPr>
          <w:sz w:val="22"/>
          <w:szCs w:val="22"/>
        </w:rPr>
        <w:t xml:space="preserve"> allemaal onder de koepel van de Vlaamse universitaire ziekenhuizen</w:t>
      </w:r>
      <w:r>
        <w:rPr>
          <w:sz w:val="22"/>
          <w:szCs w:val="22"/>
        </w:rPr>
        <w:t xml:space="preserve"> zijn gebeurd</w:t>
      </w:r>
      <w:r w:rsidR="00857F70">
        <w:rPr>
          <w:sz w:val="22"/>
          <w:szCs w:val="22"/>
        </w:rPr>
        <w:t>.</w:t>
      </w:r>
    </w:p>
    <w:p w:rsidR="00857F70" w:rsidRDefault="00857F70" w:rsidP="00C27E13">
      <w:pPr>
        <w:jc w:val="both"/>
        <w:rPr>
          <w:sz w:val="22"/>
          <w:szCs w:val="22"/>
        </w:rPr>
      </w:pPr>
    </w:p>
    <w:p w:rsidR="00857F70" w:rsidRDefault="00857F70" w:rsidP="00C27E13">
      <w:pPr>
        <w:jc w:val="both"/>
        <w:rPr>
          <w:sz w:val="22"/>
          <w:szCs w:val="22"/>
        </w:rPr>
      </w:pPr>
      <w:r>
        <w:rPr>
          <w:sz w:val="22"/>
          <w:szCs w:val="22"/>
        </w:rPr>
        <w:t xml:space="preserve">In onderstaande </w:t>
      </w:r>
      <w:r w:rsidRPr="00B50D72">
        <w:rPr>
          <w:sz w:val="22"/>
          <w:szCs w:val="22"/>
          <w:u w:val="single"/>
        </w:rPr>
        <w:t>tabel</w:t>
      </w:r>
      <w:r>
        <w:rPr>
          <w:sz w:val="22"/>
          <w:szCs w:val="22"/>
        </w:rPr>
        <w:t xml:space="preserve"> vindt u dan ook detailinformatie met betrekking tot de </w:t>
      </w:r>
      <w:r w:rsidRPr="00B50D72">
        <w:rPr>
          <w:sz w:val="22"/>
          <w:szCs w:val="22"/>
          <w:u w:val="single"/>
        </w:rPr>
        <w:t>acht spin-offs</w:t>
      </w:r>
      <w:r>
        <w:rPr>
          <w:sz w:val="22"/>
          <w:szCs w:val="22"/>
        </w:rPr>
        <w:t xml:space="preserve"> die zoals vermeld in mijn antwoord op (deelvraag 2) van uw schriftelijke vraag nr. 266 van 4 maart 2013 </w:t>
      </w:r>
      <w:r w:rsidR="00B50D72">
        <w:rPr>
          <w:sz w:val="22"/>
          <w:szCs w:val="22"/>
        </w:rPr>
        <w:t xml:space="preserve">zijn voortgekomen uit de Vlaamse universiteiten </w:t>
      </w:r>
      <w:r w:rsidR="00B50D72" w:rsidRPr="00B50D72">
        <w:rPr>
          <w:sz w:val="22"/>
          <w:szCs w:val="22"/>
          <w:u w:val="single"/>
        </w:rPr>
        <w:t>met formele rol van het universitair ziekenhuis dan wel gebaseerd op onderzoek aan de medische faculteiten</w:t>
      </w:r>
      <w:r w:rsidR="00B50D72">
        <w:rPr>
          <w:sz w:val="22"/>
          <w:szCs w:val="22"/>
        </w:rPr>
        <w:t>.</w:t>
      </w:r>
    </w:p>
    <w:p w:rsidR="00857F70" w:rsidRDefault="00857F70" w:rsidP="00C27E13">
      <w:pPr>
        <w:jc w:val="both"/>
        <w:rPr>
          <w:sz w:val="22"/>
          <w:szCs w:val="22"/>
        </w:rPr>
      </w:pPr>
    </w:p>
    <w:p w:rsidR="00857F70" w:rsidRPr="00857F70" w:rsidRDefault="00B50D72" w:rsidP="00C27E13">
      <w:pPr>
        <w:jc w:val="both"/>
        <w:rPr>
          <w:sz w:val="22"/>
          <w:szCs w:val="22"/>
          <w:lang w:val="nl-BE"/>
        </w:rPr>
      </w:pPr>
      <w:r>
        <w:rPr>
          <w:sz w:val="22"/>
          <w:szCs w:val="22"/>
          <w:lang w:val="nl-BE"/>
        </w:rPr>
        <w:t>De informatie in o</w:t>
      </w:r>
      <w:r w:rsidR="00857F70" w:rsidRPr="00857F70">
        <w:rPr>
          <w:sz w:val="22"/>
          <w:szCs w:val="22"/>
          <w:lang w:val="nl-BE"/>
        </w:rPr>
        <w:t xml:space="preserve">nderstaande </w:t>
      </w:r>
      <w:r>
        <w:rPr>
          <w:sz w:val="22"/>
          <w:szCs w:val="22"/>
          <w:lang w:val="nl-BE"/>
        </w:rPr>
        <w:t>tabel</w:t>
      </w:r>
      <w:r w:rsidR="00857F70" w:rsidRPr="00857F70">
        <w:rPr>
          <w:sz w:val="22"/>
          <w:szCs w:val="22"/>
          <w:lang w:val="nl-BE"/>
        </w:rPr>
        <w:t xml:space="preserve"> komt uit de oprichtingsaktes die het Expertisecentrum O&amp;O Monitoring (ECOOM) ontvangt </w:t>
      </w:r>
      <w:r w:rsidR="0026187F" w:rsidRPr="00857F70">
        <w:rPr>
          <w:sz w:val="22"/>
          <w:szCs w:val="22"/>
          <w:lang w:val="nl-BE"/>
        </w:rPr>
        <w:t xml:space="preserve">(zoals </w:t>
      </w:r>
      <w:r w:rsidR="00857F70" w:rsidRPr="00857F70">
        <w:rPr>
          <w:sz w:val="22"/>
          <w:szCs w:val="22"/>
          <w:lang w:val="nl-BE"/>
        </w:rPr>
        <w:t xml:space="preserve">aandeelhouderschap en doelstellingen) in het kader van de spin-offs parameter voor de </w:t>
      </w:r>
      <w:r>
        <w:rPr>
          <w:sz w:val="22"/>
          <w:szCs w:val="22"/>
          <w:lang w:val="nl-BE"/>
        </w:rPr>
        <w:t xml:space="preserve">berekening van de </w:t>
      </w:r>
      <w:r w:rsidR="00857F70" w:rsidRPr="00857F70">
        <w:rPr>
          <w:sz w:val="22"/>
          <w:szCs w:val="22"/>
          <w:lang w:val="nl-BE"/>
        </w:rPr>
        <w:t xml:space="preserve">IOF-sleutel. Na de oprichtingen kunnen er uiteraard allerlei kapitaalwijzigingen/aandeelhouderschap </w:t>
      </w:r>
      <w:r>
        <w:rPr>
          <w:sz w:val="22"/>
          <w:szCs w:val="22"/>
          <w:lang w:val="nl-BE"/>
        </w:rPr>
        <w:t xml:space="preserve">zijn </w:t>
      </w:r>
      <w:r w:rsidR="00857F70" w:rsidRPr="00857F70">
        <w:rPr>
          <w:sz w:val="22"/>
          <w:szCs w:val="22"/>
          <w:lang w:val="nl-BE"/>
        </w:rPr>
        <w:t xml:space="preserve">gebeurd </w:t>
      </w:r>
      <w:r>
        <w:rPr>
          <w:sz w:val="22"/>
          <w:szCs w:val="22"/>
          <w:lang w:val="nl-BE"/>
        </w:rPr>
        <w:t>w</w:t>
      </w:r>
      <w:r w:rsidR="00857F70" w:rsidRPr="00857F70">
        <w:rPr>
          <w:sz w:val="22"/>
          <w:szCs w:val="22"/>
          <w:lang w:val="nl-BE"/>
        </w:rPr>
        <w:t>aar ECOOM geen zicht op heeft.</w:t>
      </w:r>
    </w:p>
    <w:p w:rsidR="00857F70" w:rsidRDefault="00857F70" w:rsidP="00C27E13">
      <w:pPr>
        <w:ind w:left="360"/>
        <w:jc w:val="both"/>
        <w:rPr>
          <w:lang w:val="nl-BE"/>
        </w:rPr>
        <w:sectPr w:rsidR="00857F70">
          <w:type w:val="continuous"/>
          <w:pgSz w:w="11906" w:h="16838"/>
          <w:pgMar w:top="1417" w:right="1417" w:bottom="1417" w:left="1417" w:header="708" w:footer="708" w:gutter="0"/>
          <w:cols w:space="708"/>
          <w:formProt w:val="0"/>
          <w:docGrid w:linePitch="360"/>
        </w:sectPr>
      </w:pPr>
    </w:p>
    <w:p w:rsidR="00857F70" w:rsidRPr="007A1AF2" w:rsidRDefault="00857F70" w:rsidP="00C27E13">
      <w:pPr>
        <w:jc w:val="both"/>
        <w:rPr>
          <w:lang w:val="nl-BE"/>
        </w:rPr>
      </w:pPr>
    </w:p>
    <w:tbl>
      <w:tblPr>
        <w:tblStyle w:val="Lichtelijst-accent1"/>
        <w:tblW w:w="5000" w:type="pct"/>
        <w:jc w:val="center"/>
        <w:tblLayout w:type="fixed"/>
        <w:tblLook w:val="04A0" w:firstRow="1" w:lastRow="0" w:firstColumn="1" w:lastColumn="0" w:noHBand="0" w:noVBand="1"/>
      </w:tblPr>
      <w:tblGrid>
        <w:gridCol w:w="2415"/>
        <w:gridCol w:w="1374"/>
        <w:gridCol w:w="3421"/>
        <w:gridCol w:w="4257"/>
        <w:gridCol w:w="2753"/>
      </w:tblGrid>
      <w:tr w:rsidR="00857F70" w:rsidRPr="003D1F01" w:rsidTr="0025795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Pr="003D1F01" w:rsidRDefault="00857F70" w:rsidP="00C27E13">
            <w:pPr>
              <w:jc w:val="both"/>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Spin-off</w:t>
            </w:r>
          </w:p>
        </w:tc>
        <w:tc>
          <w:tcPr>
            <w:tcW w:w="483" w:type="pct"/>
            <w:noWrap/>
            <w:hideMark/>
          </w:tcPr>
          <w:p w:rsidR="00857F70" w:rsidRPr="003D1F01" w:rsidRDefault="00857F70" w:rsidP="00C27E1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Universiteit</w:t>
            </w:r>
          </w:p>
        </w:tc>
        <w:tc>
          <w:tcPr>
            <w:tcW w:w="1203" w:type="pct"/>
            <w:noWrap/>
            <w:hideMark/>
          </w:tcPr>
          <w:p w:rsidR="00857F70" w:rsidRPr="003D1F01" w:rsidRDefault="00857F70" w:rsidP="00C27E1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Aandeelhouders</w:t>
            </w:r>
          </w:p>
        </w:tc>
        <w:tc>
          <w:tcPr>
            <w:tcW w:w="1497" w:type="pct"/>
            <w:noWrap/>
            <w:hideMark/>
          </w:tcPr>
          <w:p w:rsidR="00857F70" w:rsidRPr="003D1F01" w:rsidRDefault="00857F70" w:rsidP="00C27E1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Beschrijving van de voornaamste activiteiten</w:t>
            </w:r>
          </w:p>
        </w:tc>
        <w:tc>
          <w:tcPr>
            <w:tcW w:w="968" w:type="pct"/>
            <w:noWrap/>
            <w:hideMark/>
          </w:tcPr>
          <w:p w:rsidR="00857F70" w:rsidRPr="003D1F01" w:rsidRDefault="00857F70" w:rsidP="00C27E13">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Opmerkingen</w:t>
            </w:r>
          </w:p>
        </w:tc>
      </w:tr>
      <w:tr w:rsidR="00857F70" w:rsidRPr="003D1F01" w:rsidTr="0025795B">
        <w:trPr>
          <w:cnfStyle w:val="000000100000" w:firstRow="0" w:lastRow="0" w:firstColumn="0" w:lastColumn="0" w:oddVBand="0" w:evenVBand="0" w:oddHBand="1" w:evenHBand="0" w:firstRowFirstColumn="0" w:firstRowLastColumn="0" w:lastRowFirstColumn="0" w:lastRowLastColumn="0"/>
          <w:trHeight w:val="3915"/>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Default="00857F70" w:rsidP="00C27E13">
            <w:pPr>
              <w:jc w:val="both"/>
              <w:rPr>
                <w:rFonts w:ascii="Calibri" w:eastAsia="Times New Roman" w:hAnsi="Calibri" w:cs="Times New Roman"/>
                <w:sz w:val="20"/>
                <w:szCs w:val="20"/>
                <w:lang w:val="nl-BE"/>
              </w:rPr>
            </w:pPr>
            <w:r w:rsidRPr="003D1F01">
              <w:rPr>
                <w:rFonts w:ascii="Calibri" w:eastAsia="Times New Roman" w:hAnsi="Calibri" w:cs="Times New Roman"/>
                <w:sz w:val="20"/>
                <w:szCs w:val="20"/>
                <w:lang w:val="nl-BE"/>
              </w:rPr>
              <w:t xml:space="preserve">Icometrix (2/2/2011) </w:t>
            </w:r>
          </w:p>
          <w:p w:rsidR="00857F70" w:rsidRDefault="00857F70" w:rsidP="00C27E13">
            <w:pPr>
              <w:jc w:val="both"/>
              <w:rPr>
                <w:rFonts w:ascii="Calibri" w:eastAsia="Times New Roman" w:hAnsi="Calibri" w:cs="Times New Roman"/>
                <w:sz w:val="20"/>
                <w:szCs w:val="20"/>
                <w:lang w:val="nl-BE"/>
              </w:rPr>
            </w:pPr>
          </w:p>
          <w:p w:rsidR="00857F70" w:rsidRDefault="00857F70" w:rsidP="00C27E13">
            <w:pPr>
              <w:jc w:val="both"/>
              <w:rPr>
                <w:rFonts w:ascii="Calibri" w:eastAsia="Times New Roman" w:hAnsi="Calibri" w:cs="Times New Roman"/>
                <w:sz w:val="20"/>
                <w:szCs w:val="20"/>
                <w:lang w:val="nl-BE"/>
              </w:rPr>
            </w:pPr>
          </w:p>
          <w:p w:rsidR="00857F70" w:rsidRPr="003D1F01" w:rsidRDefault="00857F70" w:rsidP="00C27E13">
            <w:pPr>
              <w:jc w:val="both"/>
              <w:rPr>
                <w:rFonts w:ascii="Calibri" w:eastAsia="Times New Roman" w:hAnsi="Calibri" w:cs="Times New Roman"/>
                <w:sz w:val="20"/>
                <w:szCs w:val="20"/>
                <w:lang w:val="nl-BE"/>
              </w:rPr>
            </w:pPr>
            <w:r w:rsidRPr="00836F70">
              <w:rPr>
                <w:rFonts w:ascii="Calibri" w:eastAsia="Times New Roman" w:hAnsi="Calibri" w:cs="Times New Roman"/>
                <w:sz w:val="20"/>
                <w:szCs w:val="20"/>
                <w:highlight w:val="yellow"/>
                <w:lang w:val="nl-BE"/>
              </w:rPr>
              <w:t>Formele rol UZA</w:t>
            </w:r>
          </w:p>
        </w:tc>
        <w:tc>
          <w:tcPr>
            <w:tcW w:w="483" w:type="pct"/>
            <w:noWrap/>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UA/KUL</w:t>
            </w:r>
          </w:p>
        </w:tc>
        <w:tc>
          <w:tcPr>
            <w:tcW w:w="1203"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(1)Dhr Loeckx Dirk (42889 aandelen); (2)Dhr Van hecke Wim (42889 aandelen); (3)Dhr Suetens Paul(4185 aandelen); (4)Dhr Sunaert Stefan(4185 aandelen); (5)Dhr Parizel Paul(4185 aandelen); (6)Dhr Sijbers Jan (1385 aandelen); (7)Dhr Maes Frederik (1323 aandelen); (8)Dhr Slagmolen Pieter (923 aandelen); (9)Dhr Coudyzer Walter (923 aandelen). Kapitaalsverhoging (15/06/2011) - de kapitaalsverhoging zal gebeuren via creatie van 29713 aandelen met stemrecht (1) Katholieke Universiteit Leuven (11713 aandelen) (2) Universiteit Antwerpen (10200 aandelen) (3) Het Universitaire Ziekenhuis Antwerpen (1800 aandelen) en (4)Koning Boudewijnstichting (6000 aandelen)</w:t>
            </w:r>
          </w:p>
        </w:tc>
        <w:tc>
          <w:tcPr>
            <w:tcW w:w="1497"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De vennootschap heeft ten doel, in de meest ruime zin, zowel in België als in het buitenland, het aanbieden van producten en diensten in biomedische, diagnostische en therapeutische domeinen, bijvoorbeeld door systemen en activiteiten te ontwikkelen, te verhandelen en te commercialiseren steunend op medische beeldbewerking</w:t>
            </w:r>
          </w:p>
        </w:tc>
        <w:tc>
          <w:tcPr>
            <w:tcW w:w="968" w:type="pct"/>
            <w:noWrap/>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Aandelen aan UZ Antwerpen</w:t>
            </w:r>
          </w:p>
        </w:tc>
      </w:tr>
      <w:tr w:rsidR="00857F70" w:rsidRPr="00F431FC" w:rsidTr="0025795B">
        <w:trPr>
          <w:trHeight w:val="3600"/>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Default="00857F70" w:rsidP="00C27E13">
            <w:pPr>
              <w:jc w:val="both"/>
              <w:rPr>
                <w:rFonts w:ascii="Calibri" w:eastAsia="Times New Roman" w:hAnsi="Calibri" w:cs="Times New Roman"/>
                <w:sz w:val="20"/>
                <w:szCs w:val="20"/>
                <w:lang w:val="nl-BE"/>
              </w:rPr>
            </w:pPr>
            <w:r w:rsidRPr="003D1F01">
              <w:rPr>
                <w:rFonts w:ascii="Calibri" w:eastAsia="Times New Roman" w:hAnsi="Calibri" w:cs="Times New Roman"/>
                <w:sz w:val="20"/>
                <w:szCs w:val="20"/>
                <w:lang w:val="nl-BE"/>
              </w:rPr>
              <w:lastRenderedPageBreak/>
              <w:t>Oxypoint (6/01/2011)</w:t>
            </w:r>
          </w:p>
          <w:p w:rsidR="00857F70" w:rsidRDefault="00857F70" w:rsidP="00C27E13">
            <w:pPr>
              <w:jc w:val="both"/>
              <w:rPr>
                <w:rFonts w:ascii="Calibri" w:eastAsia="Times New Roman" w:hAnsi="Calibri" w:cs="Times New Roman"/>
                <w:sz w:val="20"/>
                <w:szCs w:val="20"/>
                <w:lang w:val="nl-BE"/>
              </w:rPr>
            </w:pPr>
          </w:p>
          <w:p w:rsidR="00857F70" w:rsidRPr="003D1F01" w:rsidRDefault="00857F70" w:rsidP="00C27E13">
            <w:pPr>
              <w:jc w:val="both"/>
              <w:rPr>
                <w:rFonts w:ascii="Calibri" w:eastAsia="Times New Roman" w:hAnsi="Calibri" w:cs="Times New Roman"/>
                <w:sz w:val="20"/>
                <w:szCs w:val="20"/>
                <w:lang w:val="nl-BE"/>
              </w:rPr>
            </w:pPr>
            <w:r>
              <w:rPr>
                <w:rFonts w:ascii="Calibri" w:eastAsia="Times New Roman" w:hAnsi="Calibri" w:cs="Times New Roman"/>
                <w:sz w:val="20"/>
                <w:szCs w:val="20"/>
                <w:highlight w:val="yellow"/>
                <w:lang w:val="nl-BE"/>
              </w:rPr>
              <w:t>Gebaseerd op onderzoek in</w:t>
            </w:r>
            <w:r w:rsidRPr="00261E10">
              <w:rPr>
                <w:rFonts w:ascii="Calibri" w:eastAsia="Times New Roman" w:hAnsi="Calibri" w:cs="Times New Roman"/>
                <w:sz w:val="20"/>
                <w:szCs w:val="20"/>
                <w:highlight w:val="yellow"/>
                <w:lang w:val="nl-BE"/>
              </w:rPr>
              <w:t xml:space="preserve"> medische faculteit UA</w:t>
            </w:r>
          </w:p>
        </w:tc>
        <w:tc>
          <w:tcPr>
            <w:tcW w:w="483" w:type="pct"/>
            <w:noWrap/>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UA</w:t>
            </w:r>
          </w:p>
        </w:tc>
        <w:tc>
          <w:tcPr>
            <w:tcW w:w="1203"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(1)Dhr Hendrickx Philip Christian Monique (100 aandelen); (2)Dhr Borgonjon Dirk Juliaan Petrus (100 aandelen)</w:t>
            </w:r>
          </w:p>
        </w:tc>
        <w:tc>
          <w:tcPr>
            <w:tcW w:w="1497"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De vennootschap heeft ten doel: Technologie, toestellen en toebehoren voor energiebesparing en duurzaam omspringen met grondstoffen ontwikkelen, verdelen en vermarkten. Onder andere maar niet beperkt tot spaartechnologie voor zuurstoftherapie thuis en in ziekenhuizen. Diensten in verband met zuurstofbesparing verlenen. het valoriseren van kennis opgebouwd op de Universiteit Antwerpen en in samenwerking met het Universitair Ziekenhuis Antwerpen</w:t>
            </w:r>
          </w:p>
        </w:tc>
        <w:tc>
          <w:tcPr>
            <w:tcW w:w="968"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Licentieovereenkomst tussen Universiteit Antwerpen en Oxypoint</w:t>
            </w:r>
          </w:p>
        </w:tc>
      </w:tr>
      <w:tr w:rsidR="00857F70" w:rsidRPr="00F431FC" w:rsidTr="0025795B">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Default="00857F70" w:rsidP="00C27E13">
            <w:pPr>
              <w:jc w:val="both"/>
              <w:rPr>
                <w:rFonts w:ascii="Calibri" w:eastAsia="Times New Roman" w:hAnsi="Calibri" w:cs="Times New Roman"/>
                <w:sz w:val="20"/>
                <w:szCs w:val="20"/>
                <w:lang w:val="nl-BE"/>
              </w:rPr>
            </w:pPr>
            <w:r w:rsidRPr="003D1F01">
              <w:rPr>
                <w:rFonts w:ascii="Calibri" w:eastAsia="Times New Roman" w:hAnsi="Calibri" w:cs="Times New Roman"/>
                <w:sz w:val="20"/>
                <w:szCs w:val="20"/>
                <w:lang w:val="nl-BE"/>
              </w:rPr>
              <w:t xml:space="preserve">Qaelum (8/11/2011) </w:t>
            </w:r>
          </w:p>
          <w:p w:rsidR="00857F70" w:rsidRDefault="00857F70" w:rsidP="00C27E13">
            <w:pPr>
              <w:jc w:val="both"/>
              <w:rPr>
                <w:rFonts w:ascii="Calibri" w:eastAsia="Times New Roman" w:hAnsi="Calibri" w:cs="Times New Roman"/>
                <w:sz w:val="20"/>
                <w:szCs w:val="20"/>
                <w:lang w:val="nl-BE"/>
              </w:rPr>
            </w:pPr>
          </w:p>
          <w:p w:rsidR="00857F70" w:rsidRPr="003D1F01" w:rsidRDefault="00857F70" w:rsidP="00C27E13">
            <w:pPr>
              <w:jc w:val="both"/>
              <w:rPr>
                <w:rFonts w:ascii="Calibri" w:eastAsia="Times New Roman" w:hAnsi="Calibri" w:cs="Times New Roman"/>
                <w:sz w:val="20"/>
                <w:szCs w:val="20"/>
                <w:lang w:val="nl-BE"/>
              </w:rPr>
            </w:pPr>
            <w:r w:rsidRPr="00261E10">
              <w:rPr>
                <w:rFonts w:ascii="Calibri" w:eastAsia="Times New Roman" w:hAnsi="Calibri" w:cs="Times New Roman"/>
                <w:sz w:val="20"/>
                <w:szCs w:val="20"/>
                <w:highlight w:val="yellow"/>
                <w:lang w:val="nl-BE"/>
              </w:rPr>
              <w:t>Formele rol UZ Leuven</w:t>
            </w:r>
          </w:p>
        </w:tc>
        <w:tc>
          <w:tcPr>
            <w:tcW w:w="483" w:type="pct"/>
            <w:noWrap/>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KUL</w:t>
            </w:r>
          </w:p>
        </w:tc>
        <w:tc>
          <w:tcPr>
            <w:tcW w:w="1203"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(1)Mevrouw Bosmans Hilde (15500 aandelen); (2) Dhr Deaulmerie Louis (15500 aandelen); (3) Dhr Oyen Raymond (15500 aandelen); (4) Mevrouw Stessens Relinde (15500 aandelen); (5) Dhr Jacobs Jurgen (1 aandeel)</w:t>
            </w:r>
          </w:p>
        </w:tc>
        <w:tc>
          <w:tcPr>
            <w:tcW w:w="1497"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 xml:space="preserve">De vennootschap heeft ten doel, in België alsook in et buitenland: het ontwerpen, implementeren en onderrichten van oplossingen voor </w:t>
            </w:r>
            <w:r w:rsidR="0026187F" w:rsidRPr="003D1F01">
              <w:rPr>
                <w:rFonts w:ascii="Calibri" w:eastAsia="Times New Roman" w:hAnsi="Calibri" w:cs="Times New Roman"/>
                <w:color w:val="000000"/>
                <w:sz w:val="20"/>
                <w:szCs w:val="20"/>
                <w:lang w:val="nl-BE"/>
              </w:rPr>
              <w:t>kwaliteitsbewaking</w:t>
            </w:r>
            <w:r w:rsidRPr="003D1F01">
              <w:rPr>
                <w:rFonts w:ascii="Calibri" w:eastAsia="Times New Roman" w:hAnsi="Calibri" w:cs="Times New Roman"/>
                <w:color w:val="000000"/>
                <w:sz w:val="20"/>
                <w:szCs w:val="20"/>
                <w:lang w:val="nl-BE"/>
              </w:rPr>
              <w:t xml:space="preserve"> en kwaliteitsverbetering in de medische sector.</w:t>
            </w:r>
          </w:p>
        </w:tc>
        <w:tc>
          <w:tcPr>
            <w:tcW w:w="968"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Licentieovereenkomst tussen Qaelum, Katholieke Universiteit Leuven en Universitair Ziekenhuis Leuven</w:t>
            </w:r>
          </w:p>
        </w:tc>
      </w:tr>
      <w:tr w:rsidR="00857F70" w:rsidRPr="00F431FC" w:rsidTr="0025795B">
        <w:trPr>
          <w:trHeight w:val="5700"/>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Default="00857F70" w:rsidP="00C27E13">
            <w:pPr>
              <w:jc w:val="both"/>
              <w:rPr>
                <w:rFonts w:ascii="Calibri" w:eastAsia="Times New Roman" w:hAnsi="Calibri" w:cs="Times New Roman"/>
                <w:sz w:val="20"/>
                <w:szCs w:val="20"/>
                <w:lang w:val="nl-BE"/>
              </w:rPr>
            </w:pPr>
            <w:r w:rsidRPr="003D1F01">
              <w:rPr>
                <w:rFonts w:ascii="Calibri" w:eastAsia="Times New Roman" w:hAnsi="Calibri" w:cs="Times New Roman"/>
                <w:sz w:val="20"/>
                <w:szCs w:val="20"/>
                <w:lang w:val="nl-BE"/>
              </w:rPr>
              <w:t xml:space="preserve">ADX Neurosciences (16/09/2011) </w:t>
            </w:r>
          </w:p>
          <w:p w:rsidR="00857F70" w:rsidRDefault="00857F70" w:rsidP="00C27E13">
            <w:pPr>
              <w:jc w:val="both"/>
              <w:rPr>
                <w:rFonts w:ascii="Calibri" w:eastAsia="Times New Roman" w:hAnsi="Calibri" w:cs="Times New Roman"/>
                <w:sz w:val="20"/>
                <w:szCs w:val="20"/>
                <w:lang w:val="nl-BE"/>
              </w:rPr>
            </w:pPr>
          </w:p>
          <w:p w:rsidR="00857F70" w:rsidRPr="003D1F01" w:rsidRDefault="00857F70" w:rsidP="00C27E13">
            <w:pPr>
              <w:jc w:val="both"/>
              <w:rPr>
                <w:rFonts w:ascii="Calibri" w:eastAsia="Times New Roman" w:hAnsi="Calibri" w:cs="Times New Roman"/>
                <w:sz w:val="20"/>
                <w:szCs w:val="20"/>
                <w:lang w:val="nl-BE"/>
              </w:rPr>
            </w:pPr>
            <w:r w:rsidRPr="00261E10">
              <w:rPr>
                <w:rFonts w:ascii="Calibri" w:eastAsia="Times New Roman" w:hAnsi="Calibri" w:cs="Times New Roman"/>
                <w:sz w:val="20"/>
                <w:szCs w:val="20"/>
                <w:highlight w:val="yellow"/>
                <w:lang w:val="nl-BE"/>
              </w:rPr>
              <w:t xml:space="preserve">Gebaseerd op onderzoek in medische faculteit </w:t>
            </w:r>
            <w:r w:rsidR="0026187F" w:rsidRPr="00261E10">
              <w:rPr>
                <w:rFonts w:ascii="Calibri" w:eastAsia="Times New Roman" w:hAnsi="Calibri" w:cs="Times New Roman"/>
                <w:sz w:val="20"/>
                <w:szCs w:val="20"/>
                <w:highlight w:val="yellow"/>
                <w:lang w:val="nl-BE"/>
              </w:rPr>
              <w:t>KU</w:t>
            </w:r>
            <w:r w:rsidR="0026187F">
              <w:rPr>
                <w:rFonts w:ascii="Calibri" w:hAnsi="Calibri"/>
                <w:sz w:val="20"/>
                <w:szCs w:val="20"/>
                <w:highlight w:val="yellow"/>
                <w:lang w:val="nl-BE"/>
              </w:rPr>
              <w:t xml:space="preserve"> </w:t>
            </w:r>
            <w:r w:rsidR="0026187F" w:rsidRPr="00261E10">
              <w:rPr>
                <w:rFonts w:ascii="Calibri" w:eastAsia="Times New Roman" w:hAnsi="Calibri" w:cs="Times New Roman"/>
                <w:sz w:val="20"/>
                <w:szCs w:val="20"/>
                <w:highlight w:val="yellow"/>
                <w:lang w:val="nl-BE"/>
              </w:rPr>
              <w:t>Leuven</w:t>
            </w:r>
          </w:p>
        </w:tc>
        <w:tc>
          <w:tcPr>
            <w:tcW w:w="483" w:type="pct"/>
            <w:noWrap/>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KUL</w:t>
            </w:r>
          </w:p>
        </w:tc>
        <w:tc>
          <w:tcPr>
            <w:tcW w:w="1203"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 xml:space="preserve">Na oprichting en kapitaalsverhoging (12/07/2012) zijn de aandelen als volg verdeeld (1) Dhr Appermont Paul (1860 "A" aandelen); (2) Dhr Vanmechelen Eugeen (490 "A" aandelen); (3) Dhr Vanderstichele Hugo (490 "A" aandelen); (4) Dhr Dewaele Koen (770 "A" aandelen); (5) Dhr Liu Sen (500 "B" aandelen); (6) Orlay commanditaire vennootschap (1300 "B" aandelen); (7) Mevrouw De Vos Ann (250 "B" aandelen); (8) Dhr Thibaut Gino (100 "B" aandelen); (9) Dhr Appelmans Paul (100 "B" aandelen); (10) De </w:t>
            </w:r>
            <w:r w:rsidR="0026187F" w:rsidRPr="003D1F01">
              <w:rPr>
                <w:rFonts w:ascii="Calibri" w:eastAsia="Times New Roman" w:hAnsi="Calibri" w:cs="Times New Roman"/>
                <w:color w:val="000000"/>
                <w:sz w:val="20"/>
                <w:szCs w:val="20"/>
                <w:lang w:val="nl-BE"/>
              </w:rPr>
              <w:t xml:space="preserve">huwgemeenschap </w:t>
            </w:r>
            <w:r w:rsidRPr="003D1F01">
              <w:rPr>
                <w:rFonts w:ascii="Calibri" w:eastAsia="Times New Roman" w:hAnsi="Calibri" w:cs="Times New Roman"/>
                <w:color w:val="000000"/>
                <w:sz w:val="20"/>
                <w:szCs w:val="20"/>
                <w:lang w:val="nl-BE"/>
              </w:rPr>
              <w:t xml:space="preserve">bestaande tussen </w:t>
            </w:r>
            <w:r w:rsidR="0026187F" w:rsidRPr="003D1F01">
              <w:rPr>
                <w:rFonts w:ascii="Calibri" w:eastAsia="Times New Roman" w:hAnsi="Calibri" w:cs="Times New Roman"/>
                <w:color w:val="000000"/>
                <w:sz w:val="20"/>
                <w:szCs w:val="20"/>
                <w:lang w:val="nl-BE"/>
              </w:rPr>
              <w:t>dhr.</w:t>
            </w:r>
            <w:r w:rsidRPr="003D1F01">
              <w:rPr>
                <w:rFonts w:ascii="Calibri" w:eastAsia="Times New Roman" w:hAnsi="Calibri" w:cs="Times New Roman"/>
                <w:color w:val="000000"/>
                <w:sz w:val="20"/>
                <w:szCs w:val="20"/>
                <w:lang w:val="nl-BE"/>
              </w:rPr>
              <w:t xml:space="preserve"> Winderickx Steven en mevrouw De Beir Evelyn (2550 "B" </w:t>
            </w:r>
            <w:r w:rsidR="0026187F" w:rsidRPr="003D1F01">
              <w:rPr>
                <w:rFonts w:ascii="Calibri" w:eastAsia="Times New Roman" w:hAnsi="Calibri" w:cs="Times New Roman"/>
                <w:color w:val="000000"/>
                <w:sz w:val="20"/>
                <w:szCs w:val="20"/>
                <w:lang w:val="nl-BE"/>
              </w:rPr>
              <w:t>aandelen);</w:t>
            </w:r>
            <w:r w:rsidRPr="003D1F01">
              <w:rPr>
                <w:rFonts w:ascii="Calibri" w:eastAsia="Times New Roman" w:hAnsi="Calibri" w:cs="Times New Roman"/>
                <w:color w:val="000000"/>
                <w:sz w:val="20"/>
                <w:szCs w:val="20"/>
                <w:lang w:val="nl-BE"/>
              </w:rPr>
              <w:t xml:space="preserve"> (11) Dhr Winderickx Joris (90 "B" aandelen); (12) De Associatie Katholieke Universiteit Leuven (500 "B" aandelen); (13) de Vennootschap naar Duits recht Euroimmun (2000 "C" aandelen) en (14) de naamloze vennootschap Ambo Holding (2000 "C" aandelen).</w:t>
            </w:r>
          </w:p>
        </w:tc>
        <w:tc>
          <w:tcPr>
            <w:tcW w:w="1497"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De vennootschap heeft tot doel, in België en in het buitenland, zowel voor eigen rekening als voor derden, alleen of in participatie met derden, a) het uitvoeren van alle vormen van onderzoek en ontwikkeling op biologische verbindingen, alsmede de bescherming, productie, industrialisatie en commercialisatie van de resultaten ervan. Meer bepaald zal zij zich onder ander toeleggen op het onderzoek naar en de ontwikkeling van biotechnologische of afgeleide producten, die een marktwaarde hebben in de humane en veterinaire gezondheidzorg, in het bijzonder nieuwe diagnostica en therapeutica. Daarnaast kunnen eveneens diagnostica voor andere marktsectoren of gebaseerd op ander technieken worden ontwikkeld en/of gecommercialiseerd.</w:t>
            </w:r>
          </w:p>
        </w:tc>
        <w:tc>
          <w:tcPr>
            <w:tcW w:w="968"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Licentieovereenkomst tussen Katholieke Universiteit Leuven en ADX Neurosciences rond "Antibody Patents"</w:t>
            </w:r>
          </w:p>
        </w:tc>
      </w:tr>
      <w:tr w:rsidR="00857F70" w:rsidRPr="00F431FC" w:rsidTr="0025795B">
        <w:trPr>
          <w:cnfStyle w:val="000000100000" w:firstRow="0" w:lastRow="0" w:firstColumn="0" w:lastColumn="0" w:oddVBand="0" w:evenVBand="0" w:oddHBand="1" w:evenHBand="0" w:firstRowFirstColumn="0" w:firstRowLastColumn="0" w:lastRowFirstColumn="0" w:lastRowLastColumn="0"/>
          <w:trHeight w:val="3900"/>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Default="00857F70" w:rsidP="00C27E13">
            <w:pPr>
              <w:jc w:val="both"/>
              <w:rPr>
                <w:rFonts w:ascii="Calibri" w:eastAsia="Times New Roman" w:hAnsi="Calibri" w:cs="Times New Roman"/>
                <w:sz w:val="20"/>
                <w:szCs w:val="20"/>
                <w:lang w:val="nl-BE"/>
              </w:rPr>
            </w:pPr>
            <w:r w:rsidRPr="003D1F01">
              <w:rPr>
                <w:rFonts w:ascii="Calibri" w:eastAsia="Times New Roman" w:hAnsi="Calibri" w:cs="Times New Roman"/>
                <w:sz w:val="20"/>
                <w:szCs w:val="20"/>
                <w:lang w:val="nl-BE"/>
              </w:rPr>
              <w:t>Imcyse (10/08/2010)</w:t>
            </w:r>
          </w:p>
          <w:p w:rsidR="00857F70" w:rsidRDefault="00857F70" w:rsidP="00C27E13">
            <w:pPr>
              <w:jc w:val="both"/>
              <w:rPr>
                <w:rFonts w:ascii="Calibri" w:eastAsia="Times New Roman" w:hAnsi="Calibri" w:cs="Times New Roman"/>
                <w:sz w:val="20"/>
                <w:szCs w:val="20"/>
                <w:lang w:val="nl-BE"/>
              </w:rPr>
            </w:pPr>
          </w:p>
          <w:p w:rsidR="00857F70" w:rsidRPr="003D1F01" w:rsidRDefault="00857F70" w:rsidP="00C27E13">
            <w:pPr>
              <w:jc w:val="both"/>
              <w:rPr>
                <w:rFonts w:ascii="Calibri" w:eastAsia="Times New Roman" w:hAnsi="Calibri" w:cs="Times New Roman"/>
                <w:sz w:val="20"/>
                <w:szCs w:val="20"/>
                <w:lang w:val="nl-BE"/>
              </w:rPr>
            </w:pPr>
            <w:r w:rsidRPr="00261E10">
              <w:rPr>
                <w:rFonts w:ascii="Calibri" w:eastAsia="Times New Roman" w:hAnsi="Calibri" w:cs="Times New Roman"/>
                <w:sz w:val="20"/>
                <w:szCs w:val="20"/>
                <w:highlight w:val="yellow"/>
                <w:lang w:val="nl-BE"/>
              </w:rPr>
              <w:t xml:space="preserve">Gebaseerd op onderzoek in medische faculteit </w:t>
            </w:r>
            <w:r w:rsidR="0026187F" w:rsidRPr="00261E10">
              <w:rPr>
                <w:rFonts w:ascii="Calibri" w:eastAsia="Times New Roman" w:hAnsi="Calibri" w:cs="Times New Roman"/>
                <w:sz w:val="20"/>
                <w:szCs w:val="20"/>
                <w:highlight w:val="yellow"/>
                <w:lang w:val="nl-BE"/>
              </w:rPr>
              <w:t>KU</w:t>
            </w:r>
            <w:r w:rsidR="0026187F">
              <w:rPr>
                <w:rFonts w:ascii="Calibri" w:hAnsi="Calibri"/>
                <w:sz w:val="20"/>
                <w:szCs w:val="20"/>
                <w:highlight w:val="yellow"/>
                <w:lang w:val="nl-BE"/>
              </w:rPr>
              <w:t xml:space="preserve"> </w:t>
            </w:r>
            <w:r w:rsidR="0026187F" w:rsidRPr="00261E10">
              <w:rPr>
                <w:rFonts w:ascii="Calibri" w:eastAsia="Times New Roman" w:hAnsi="Calibri" w:cs="Times New Roman"/>
                <w:sz w:val="20"/>
                <w:szCs w:val="20"/>
                <w:highlight w:val="yellow"/>
                <w:lang w:val="nl-BE"/>
              </w:rPr>
              <w:t>Leuven</w:t>
            </w:r>
          </w:p>
        </w:tc>
        <w:tc>
          <w:tcPr>
            <w:tcW w:w="483" w:type="pct"/>
            <w:noWrap/>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KUL</w:t>
            </w:r>
          </w:p>
        </w:tc>
        <w:tc>
          <w:tcPr>
            <w:tcW w:w="1203"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(1) Dhr Saint-Remy Jean-Marie (204 aandelen) en (2) Mevrouw Saint-Remy Wivine Nicole (1 aandeel)</w:t>
            </w:r>
          </w:p>
        </w:tc>
        <w:tc>
          <w:tcPr>
            <w:tcW w:w="1497"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De vennootschap heeft tot doel, Biomedisch onderzoek (pathogene mechanismen gerelateerd aan allergieën en auto-immuunziektes, transplantatie, gentherapie, kanker,</w:t>
            </w:r>
            <w:r w:rsidR="0026187F">
              <w:rPr>
                <w:rFonts w:ascii="Calibri" w:eastAsia="Times New Roman" w:hAnsi="Calibri" w:cs="Times New Roman"/>
                <w:color w:val="000000"/>
                <w:sz w:val="20"/>
                <w:szCs w:val="20"/>
                <w:lang w:val="nl-BE"/>
              </w:rPr>
              <w:t xml:space="preserve"> </w:t>
            </w:r>
            <w:r w:rsidRPr="003D1F01">
              <w:rPr>
                <w:rFonts w:ascii="Calibri" w:eastAsia="Times New Roman" w:hAnsi="Calibri" w:cs="Times New Roman"/>
                <w:color w:val="000000"/>
                <w:sz w:val="20"/>
                <w:szCs w:val="20"/>
                <w:lang w:val="nl-BE"/>
              </w:rPr>
              <w:t>… alsook de behandeling van deze ziektes), Commercialisatie van producten uit dit onderzoek (biologische en farmacologische producten), Verkoop en verlenen van licenties van octrooien; afsluiten van commerciële akkoorden met nationale en internationale partners en Consultancy in biomedisch onderzoek</w:t>
            </w:r>
          </w:p>
        </w:tc>
        <w:tc>
          <w:tcPr>
            <w:tcW w:w="968"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 xml:space="preserve">Licentieovereenkomst tussen Katholieke Universiteit Leuven en Imcyse over </w:t>
            </w:r>
            <w:r w:rsidR="0026187F" w:rsidRPr="003D1F01">
              <w:rPr>
                <w:rFonts w:ascii="Calibri" w:eastAsia="Times New Roman" w:hAnsi="Calibri" w:cs="Times New Roman"/>
                <w:color w:val="000000"/>
                <w:sz w:val="20"/>
                <w:szCs w:val="20"/>
                <w:lang w:val="nl-BE"/>
              </w:rPr>
              <w:t>knowhow</w:t>
            </w:r>
            <w:r w:rsidRPr="003D1F01">
              <w:rPr>
                <w:rFonts w:ascii="Calibri" w:eastAsia="Times New Roman" w:hAnsi="Calibri" w:cs="Times New Roman"/>
                <w:color w:val="000000"/>
                <w:sz w:val="20"/>
                <w:szCs w:val="20"/>
                <w:lang w:val="nl-BE"/>
              </w:rPr>
              <w:t xml:space="preserve"> opgebouwd aan het Centrum voor Moleculaire en Vasculaire Biologie (CMVB, UZ Gasthuisberg)</w:t>
            </w:r>
          </w:p>
        </w:tc>
      </w:tr>
      <w:tr w:rsidR="00857F70" w:rsidRPr="00F431FC" w:rsidTr="0025795B">
        <w:trPr>
          <w:trHeight w:val="4500"/>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Default="00857F70" w:rsidP="00C27E13">
            <w:pPr>
              <w:jc w:val="both"/>
              <w:rPr>
                <w:rFonts w:ascii="Calibri" w:eastAsia="Times New Roman" w:hAnsi="Calibri" w:cs="Times New Roman"/>
                <w:sz w:val="20"/>
                <w:szCs w:val="20"/>
                <w:lang w:val="nl-BE"/>
              </w:rPr>
            </w:pPr>
            <w:r w:rsidRPr="003D1F01">
              <w:rPr>
                <w:rFonts w:ascii="Calibri" w:eastAsia="Times New Roman" w:hAnsi="Calibri" w:cs="Times New Roman"/>
                <w:sz w:val="20"/>
                <w:szCs w:val="20"/>
                <w:lang w:val="nl-BE"/>
              </w:rPr>
              <w:t xml:space="preserve">Atsharp (15/2/2010) </w:t>
            </w:r>
          </w:p>
          <w:p w:rsidR="00857F70" w:rsidRDefault="00857F70" w:rsidP="00C27E13">
            <w:pPr>
              <w:jc w:val="both"/>
              <w:rPr>
                <w:rFonts w:ascii="Calibri" w:eastAsia="Times New Roman" w:hAnsi="Calibri" w:cs="Times New Roman"/>
                <w:sz w:val="20"/>
                <w:szCs w:val="20"/>
                <w:lang w:val="nl-BE"/>
              </w:rPr>
            </w:pPr>
          </w:p>
          <w:p w:rsidR="00857F70" w:rsidRPr="003D1F01" w:rsidRDefault="00857F70" w:rsidP="00C27E13">
            <w:pPr>
              <w:jc w:val="both"/>
              <w:rPr>
                <w:rFonts w:ascii="Calibri" w:eastAsia="Times New Roman" w:hAnsi="Calibri" w:cs="Times New Roman"/>
                <w:sz w:val="20"/>
                <w:szCs w:val="20"/>
                <w:lang w:val="nl-BE"/>
              </w:rPr>
            </w:pPr>
            <w:r w:rsidRPr="00261E10">
              <w:rPr>
                <w:rFonts w:ascii="Calibri" w:eastAsia="Times New Roman" w:hAnsi="Calibri" w:cs="Times New Roman"/>
                <w:sz w:val="20"/>
                <w:szCs w:val="20"/>
                <w:highlight w:val="yellow"/>
                <w:lang w:val="nl-BE"/>
              </w:rPr>
              <w:t>Gebaseerd op onderzoek in medische faculteit UA</w:t>
            </w:r>
          </w:p>
        </w:tc>
        <w:tc>
          <w:tcPr>
            <w:tcW w:w="483" w:type="pct"/>
            <w:noWrap/>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UA</w:t>
            </w:r>
          </w:p>
        </w:tc>
        <w:tc>
          <w:tcPr>
            <w:tcW w:w="1203"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(1) Dhr Denis Tm (90 aandelen) en (2) Dhr Weyn Maarten (10 aandelen)</w:t>
            </w:r>
          </w:p>
        </w:tc>
        <w:tc>
          <w:tcPr>
            <w:tcW w:w="1497"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De vennootschap heeft ten doel: De ontwikkeling van databanken en andere software op maat. Het verlenen van advies met het oog op de ontwikkeling van bovenvermelde toepassingen door haarzelf of door derden. Implementatie van ERP-software. Het geven van training in door haar of anderen ontwikkelde softwarepakketten. Het valoriseren van technologie die werd ontwikkeld op de Associatie Universiteit en Hogescholen Antwerpen (AUHA)</w:t>
            </w:r>
          </w:p>
        </w:tc>
        <w:tc>
          <w:tcPr>
            <w:tcW w:w="968"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Licentieovereenkomst tussen Universiteit Antwerpen en Atsharp. Hierin zijn er spraken van de creatie van aandelen naar een kapitaal</w:t>
            </w:r>
            <w:r>
              <w:rPr>
                <w:rFonts w:ascii="Calibri" w:eastAsia="Times New Roman" w:hAnsi="Calibri" w:cs="Times New Roman"/>
                <w:color w:val="000000"/>
                <w:sz w:val="20"/>
                <w:szCs w:val="20"/>
                <w:lang w:val="nl-BE"/>
              </w:rPr>
              <w:t>s</w:t>
            </w:r>
            <w:r w:rsidRPr="003D1F01">
              <w:rPr>
                <w:rFonts w:ascii="Calibri" w:eastAsia="Times New Roman" w:hAnsi="Calibri" w:cs="Times New Roman"/>
                <w:color w:val="000000"/>
                <w:sz w:val="20"/>
                <w:szCs w:val="20"/>
                <w:lang w:val="nl-BE"/>
              </w:rPr>
              <w:t>ve</w:t>
            </w:r>
            <w:r>
              <w:rPr>
                <w:rFonts w:ascii="Calibri" w:eastAsia="Times New Roman" w:hAnsi="Calibri" w:cs="Times New Roman"/>
                <w:color w:val="000000"/>
                <w:sz w:val="20"/>
                <w:szCs w:val="20"/>
                <w:lang w:val="nl-BE"/>
              </w:rPr>
              <w:t>r</w:t>
            </w:r>
            <w:r w:rsidRPr="003D1F01">
              <w:rPr>
                <w:rFonts w:ascii="Calibri" w:eastAsia="Times New Roman" w:hAnsi="Calibri" w:cs="Times New Roman"/>
                <w:color w:val="000000"/>
                <w:sz w:val="20"/>
                <w:szCs w:val="20"/>
                <w:lang w:val="nl-BE"/>
              </w:rPr>
              <w:t xml:space="preserve">hoging door </w:t>
            </w:r>
            <w:r w:rsidR="0026187F" w:rsidRPr="003D1F01">
              <w:rPr>
                <w:rFonts w:ascii="Calibri" w:eastAsia="Times New Roman" w:hAnsi="Calibri" w:cs="Times New Roman"/>
                <w:color w:val="000000"/>
                <w:sz w:val="20"/>
                <w:szCs w:val="20"/>
                <w:lang w:val="nl-BE"/>
              </w:rPr>
              <w:t>de</w:t>
            </w:r>
            <w:r w:rsidRPr="003D1F01">
              <w:rPr>
                <w:rFonts w:ascii="Calibri" w:eastAsia="Times New Roman" w:hAnsi="Calibri" w:cs="Times New Roman"/>
                <w:color w:val="000000"/>
                <w:sz w:val="20"/>
                <w:szCs w:val="20"/>
                <w:lang w:val="nl-BE"/>
              </w:rPr>
              <w:t xml:space="preserve"> inbreng van een licentie op de lokalisatiesoftware, de octrooiaanvraag en de resultaten van het POC-project ("Validatie van de Artesis en UA lokalisatiesoftware en -technologie voor automatische herkalibratie in een testsetting op het Universitair Ziekenhuis Antwerpen")</w:t>
            </w:r>
          </w:p>
        </w:tc>
      </w:tr>
      <w:tr w:rsidR="00857F70" w:rsidRPr="00F431FC" w:rsidTr="0025795B">
        <w:trPr>
          <w:cnfStyle w:val="000000100000" w:firstRow="0" w:lastRow="0" w:firstColumn="0" w:lastColumn="0" w:oddVBand="0" w:evenVBand="0" w:oddHBand="1" w:evenHBand="0" w:firstRowFirstColumn="0" w:firstRowLastColumn="0" w:lastRowFirstColumn="0" w:lastRowLastColumn="0"/>
          <w:trHeight w:val="3000"/>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Default="00857F70" w:rsidP="00C27E13">
            <w:pPr>
              <w:jc w:val="both"/>
              <w:rPr>
                <w:rFonts w:ascii="Calibri" w:eastAsia="Times New Roman" w:hAnsi="Calibri" w:cs="Times New Roman"/>
                <w:sz w:val="20"/>
                <w:szCs w:val="20"/>
                <w:lang w:val="nl-BE"/>
              </w:rPr>
            </w:pPr>
            <w:r w:rsidRPr="003D1F01">
              <w:rPr>
                <w:rFonts w:ascii="Calibri" w:eastAsia="Times New Roman" w:hAnsi="Calibri" w:cs="Times New Roman"/>
                <w:sz w:val="20"/>
                <w:szCs w:val="20"/>
                <w:lang w:val="nl-BE"/>
              </w:rPr>
              <w:t xml:space="preserve">Oto Therapeutics (8/7/2009) </w:t>
            </w:r>
          </w:p>
          <w:p w:rsidR="00857F70" w:rsidRDefault="00857F70" w:rsidP="00C27E13">
            <w:pPr>
              <w:jc w:val="both"/>
              <w:rPr>
                <w:rFonts w:ascii="Calibri" w:eastAsia="Times New Roman" w:hAnsi="Calibri" w:cs="Times New Roman"/>
                <w:sz w:val="20"/>
                <w:szCs w:val="20"/>
                <w:lang w:val="nl-BE"/>
              </w:rPr>
            </w:pPr>
          </w:p>
          <w:p w:rsidR="00857F70" w:rsidRDefault="00857F70" w:rsidP="00C27E13">
            <w:pPr>
              <w:jc w:val="both"/>
              <w:rPr>
                <w:rFonts w:ascii="Calibri" w:eastAsia="Times New Roman" w:hAnsi="Calibri" w:cs="Times New Roman"/>
                <w:sz w:val="20"/>
                <w:szCs w:val="20"/>
                <w:lang w:val="nl-BE"/>
              </w:rPr>
            </w:pPr>
            <w:r w:rsidRPr="00836F70">
              <w:rPr>
                <w:rFonts w:ascii="Calibri" w:eastAsia="Times New Roman" w:hAnsi="Calibri" w:cs="Times New Roman"/>
                <w:sz w:val="20"/>
                <w:szCs w:val="20"/>
                <w:highlight w:val="yellow"/>
                <w:lang w:val="nl-BE"/>
              </w:rPr>
              <w:t>Formele rol UZA</w:t>
            </w:r>
          </w:p>
          <w:p w:rsidR="00857F70" w:rsidRDefault="00857F70" w:rsidP="00C27E13">
            <w:pPr>
              <w:jc w:val="both"/>
              <w:rPr>
                <w:rFonts w:ascii="Calibri" w:eastAsia="Times New Roman" w:hAnsi="Calibri" w:cs="Times New Roman"/>
                <w:sz w:val="20"/>
                <w:szCs w:val="20"/>
                <w:lang w:val="nl-BE"/>
              </w:rPr>
            </w:pPr>
          </w:p>
          <w:p w:rsidR="00857F70" w:rsidRPr="003D1F01" w:rsidRDefault="00857F70" w:rsidP="00C27E13">
            <w:pPr>
              <w:jc w:val="both"/>
              <w:rPr>
                <w:rFonts w:ascii="Calibri" w:eastAsia="Times New Roman" w:hAnsi="Calibri" w:cs="Times New Roman"/>
                <w:sz w:val="20"/>
                <w:szCs w:val="20"/>
                <w:lang w:val="nl-BE"/>
              </w:rPr>
            </w:pPr>
          </w:p>
        </w:tc>
        <w:tc>
          <w:tcPr>
            <w:tcW w:w="483" w:type="pct"/>
            <w:noWrap/>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UA</w:t>
            </w:r>
          </w:p>
        </w:tc>
        <w:tc>
          <w:tcPr>
            <w:tcW w:w="1203"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 xml:space="preserve">Na oprichting en kapitaalsverhoging (1) Dhr De Chaffoy de Courcelles </w:t>
            </w:r>
            <w:r w:rsidR="0026187F" w:rsidRPr="003D1F01">
              <w:rPr>
                <w:rFonts w:ascii="Calibri" w:eastAsia="Times New Roman" w:hAnsi="Calibri" w:cs="Times New Roman"/>
                <w:color w:val="000000"/>
                <w:sz w:val="20"/>
                <w:szCs w:val="20"/>
                <w:lang w:val="nl-BE"/>
              </w:rPr>
              <w:t xml:space="preserve">Didier </w:t>
            </w:r>
            <w:r w:rsidRPr="003D1F01">
              <w:rPr>
                <w:rFonts w:ascii="Calibri" w:eastAsia="Times New Roman" w:hAnsi="Calibri" w:cs="Times New Roman"/>
                <w:color w:val="000000"/>
                <w:sz w:val="20"/>
                <w:szCs w:val="20"/>
                <w:lang w:val="nl-BE"/>
              </w:rPr>
              <w:t>(3750 aandelen); (2) Dhr Van de Heyning Paul (3750 aandelen); (3) Dhr Maes Victor (1800 aandelen); (4) Universiteit Antwerpen (1094 aandelen) en (5) Universitair Ziekenhuis Antwerpen (547 aandelen)</w:t>
            </w:r>
          </w:p>
        </w:tc>
        <w:tc>
          <w:tcPr>
            <w:tcW w:w="1497"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De vennootschap heeft tot doel: Het uitvoeren van alle soorten onderzoeks-en ontwikkelingsactiviteiten; het valoriseren van kennis en technologie op het gebied van ge</w:t>
            </w:r>
            <w:r>
              <w:rPr>
                <w:rFonts w:ascii="Calibri" w:eastAsia="Times New Roman" w:hAnsi="Calibri" w:cs="Times New Roman"/>
                <w:color w:val="000000"/>
                <w:sz w:val="20"/>
                <w:szCs w:val="20"/>
                <w:lang w:val="nl-BE"/>
              </w:rPr>
              <w:t>z</w:t>
            </w:r>
            <w:r w:rsidRPr="003D1F01">
              <w:rPr>
                <w:rFonts w:ascii="Calibri" w:eastAsia="Times New Roman" w:hAnsi="Calibri" w:cs="Times New Roman"/>
                <w:color w:val="000000"/>
                <w:sz w:val="20"/>
                <w:szCs w:val="20"/>
                <w:lang w:val="nl-BE"/>
              </w:rPr>
              <w:t>ondheidsaspecten op gebied van gehoor en evenwicht; het valoriseren van aan de Universiteit Antwerpen ontwikkelde kennis en technologie op het gebied van gehoor-en evenwicht gerelateerde gezondheidsaspecten.</w:t>
            </w:r>
          </w:p>
        </w:tc>
        <w:tc>
          <w:tcPr>
            <w:tcW w:w="968" w:type="pct"/>
            <w:hideMark/>
          </w:tcPr>
          <w:p w:rsidR="00857F70" w:rsidRPr="003D1F01" w:rsidRDefault="00857F70" w:rsidP="00C27E1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Kapitaalverhoging door inbreng in natura (resultaten rond Tinnitis van UA en UZA).</w:t>
            </w:r>
          </w:p>
        </w:tc>
      </w:tr>
      <w:tr w:rsidR="00857F70" w:rsidRPr="003D1F01" w:rsidTr="0025795B">
        <w:trPr>
          <w:trHeight w:val="5100"/>
          <w:jc w:val="center"/>
        </w:trPr>
        <w:tc>
          <w:tcPr>
            <w:cnfStyle w:val="001000000000" w:firstRow="0" w:lastRow="0" w:firstColumn="1" w:lastColumn="0" w:oddVBand="0" w:evenVBand="0" w:oddHBand="0" w:evenHBand="0" w:firstRowFirstColumn="0" w:firstRowLastColumn="0" w:lastRowFirstColumn="0" w:lastRowLastColumn="0"/>
            <w:tcW w:w="849" w:type="pct"/>
            <w:noWrap/>
            <w:hideMark/>
          </w:tcPr>
          <w:p w:rsidR="00857F70" w:rsidRDefault="00857F70" w:rsidP="00C27E13">
            <w:pPr>
              <w:jc w:val="both"/>
              <w:rPr>
                <w:rFonts w:ascii="Calibri" w:eastAsia="Times New Roman" w:hAnsi="Calibri" w:cs="Times New Roman"/>
                <w:sz w:val="20"/>
                <w:szCs w:val="20"/>
                <w:lang w:val="nl-BE"/>
              </w:rPr>
            </w:pPr>
            <w:r w:rsidRPr="003D1F01">
              <w:rPr>
                <w:rFonts w:ascii="Calibri" w:eastAsia="Times New Roman" w:hAnsi="Calibri" w:cs="Times New Roman"/>
                <w:sz w:val="20"/>
                <w:szCs w:val="20"/>
                <w:lang w:val="nl-BE"/>
              </w:rPr>
              <w:t xml:space="preserve">Stepgen (26/01/2006) </w:t>
            </w:r>
          </w:p>
          <w:p w:rsidR="00857F70" w:rsidRDefault="00857F70" w:rsidP="00C27E13">
            <w:pPr>
              <w:jc w:val="both"/>
              <w:rPr>
                <w:rFonts w:ascii="Calibri" w:eastAsia="Times New Roman" w:hAnsi="Calibri" w:cs="Times New Roman"/>
                <w:sz w:val="20"/>
                <w:szCs w:val="20"/>
                <w:lang w:val="nl-BE"/>
              </w:rPr>
            </w:pPr>
          </w:p>
          <w:p w:rsidR="00857F70" w:rsidRPr="003D1F01" w:rsidRDefault="00857F70" w:rsidP="00C27E13">
            <w:pPr>
              <w:jc w:val="both"/>
              <w:rPr>
                <w:rFonts w:ascii="Calibri" w:eastAsia="Times New Roman" w:hAnsi="Calibri" w:cs="Times New Roman"/>
                <w:sz w:val="20"/>
                <w:szCs w:val="20"/>
                <w:lang w:val="nl-BE"/>
              </w:rPr>
            </w:pPr>
            <w:r w:rsidRPr="00836F70">
              <w:rPr>
                <w:rFonts w:ascii="Calibri" w:eastAsia="Times New Roman" w:hAnsi="Calibri" w:cs="Times New Roman"/>
                <w:sz w:val="20"/>
                <w:szCs w:val="20"/>
                <w:highlight w:val="yellow"/>
                <w:lang w:val="nl-BE"/>
              </w:rPr>
              <w:t>Formele rol UZ Gent</w:t>
            </w:r>
          </w:p>
        </w:tc>
        <w:tc>
          <w:tcPr>
            <w:tcW w:w="483" w:type="pct"/>
            <w:noWrap/>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UG</w:t>
            </w:r>
            <w:r>
              <w:rPr>
                <w:rFonts w:ascii="Calibri" w:eastAsia="Times New Roman" w:hAnsi="Calibri" w:cs="Times New Roman"/>
                <w:color w:val="000000"/>
                <w:sz w:val="20"/>
                <w:szCs w:val="20"/>
                <w:lang w:val="nl-BE"/>
              </w:rPr>
              <w:t xml:space="preserve"> </w:t>
            </w:r>
          </w:p>
        </w:tc>
        <w:tc>
          <w:tcPr>
            <w:tcW w:w="1203"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 xml:space="preserve">In totaal 200 aandelen. Oprichters zijn (1) Dhr Nimmegeers Tony (2) Mevrouw Mettepenningen Cindy; (3) </w:t>
            </w:r>
            <w:r w:rsidR="0026187F" w:rsidRPr="003D1F01">
              <w:rPr>
                <w:rFonts w:ascii="Calibri" w:eastAsia="Times New Roman" w:hAnsi="Calibri" w:cs="Times New Roman"/>
                <w:color w:val="000000"/>
                <w:sz w:val="20"/>
                <w:szCs w:val="20"/>
                <w:lang w:val="nl-BE"/>
              </w:rPr>
              <w:t xml:space="preserve">mevrouw </w:t>
            </w:r>
            <w:r w:rsidRPr="003D1F01">
              <w:rPr>
                <w:rFonts w:ascii="Calibri" w:eastAsia="Times New Roman" w:hAnsi="Calibri" w:cs="Times New Roman"/>
                <w:color w:val="000000"/>
                <w:sz w:val="20"/>
                <w:szCs w:val="20"/>
                <w:lang w:val="nl-BE"/>
              </w:rPr>
              <w:t>Van Steen Kristel en (4) Dhr Fraeyman Norbert</w:t>
            </w:r>
          </w:p>
        </w:tc>
        <w:tc>
          <w:tcPr>
            <w:tcW w:w="1497"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De vennootschap heeft tot doel: Dienstverlening in het kader van het genetische onderzoek bij mens en dier. In het bijzonder bestaat deze activiteiten erin om de resultaten van experimenteel wetenschappelijk onderzoek van het menselijk en dierlijk genoom statistisch te verwerken, gebruik makend van moderne technologieën en software. Dit moet leiden tot een correcte interpretatie van de resultaten en de verhoogde zekerheid dat de ontwikkelingsfase van experimenteel onderzoek en de overgang van experimenteel laboratoriumwerk naar klinische toepassingen in de medische praktijk, op een veilige en verantwoord wetenschappelijke manier kan gebeuren.</w:t>
            </w:r>
          </w:p>
        </w:tc>
        <w:tc>
          <w:tcPr>
            <w:tcW w:w="968" w:type="pct"/>
            <w:hideMark/>
          </w:tcPr>
          <w:p w:rsidR="00857F70" w:rsidRPr="003D1F01" w:rsidRDefault="00857F70" w:rsidP="00C27E1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nl-BE"/>
              </w:rPr>
            </w:pPr>
            <w:r w:rsidRPr="003D1F01">
              <w:rPr>
                <w:rFonts w:ascii="Calibri" w:eastAsia="Times New Roman" w:hAnsi="Calibri" w:cs="Times New Roman"/>
                <w:color w:val="000000"/>
                <w:sz w:val="20"/>
                <w:szCs w:val="20"/>
                <w:lang w:val="nl-BE"/>
              </w:rPr>
              <w:t xml:space="preserve">Overeenkomst tussen Universiteit Gent en Stepgen (niet </w:t>
            </w:r>
            <w:r w:rsidR="0026187F" w:rsidRPr="003D1F01">
              <w:rPr>
                <w:rFonts w:ascii="Calibri" w:eastAsia="Times New Roman" w:hAnsi="Calibri" w:cs="Times New Roman"/>
                <w:color w:val="000000"/>
                <w:sz w:val="20"/>
                <w:szCs w:val="20"/>
                <w:lang w:val="nl-BE"/>
              </w:rPr>
              <w:t xml:space="preserve">exclusieve </w:t>
            </w:r>
            <w:r w:rsidRPr="003D1F01">
              <w:rPr>
                <w:rFonts w:ascii="Calibri" w:eastAsia="Times New Roman" w:hAnsi="Calibri" w:cs="Times New Roman"/>
                <w:color w:val="000000"/>
                <w:sz w:val="20"/>
                <w:szCs w:val="20"/>
                <w:lang w:val="nl-BE"/>
              </w:rPr>
              <w:t xml:space="preserve">licentie voor </w:t>
            </w:r>
            <w:r w:rsidR="0026187F" w:rsidRPr="003D1F01">
              <w:rPr>
                <w:rFonts w:ascii="Calibri" w:eastAsia="Times New Roman" w:hAnsi="Calibri" w:cs="Times New Roman"/>
                <w:color w:val="000000"/>
                <w:sz w:val="20"/>
                <w:szCs w:val="20"/>
                <w:lang w:val="nl-BE"/>
              </w:rPr>
              <w:t>knowhow</w:t>
            </w:r>
            <w:r w:rsidRPr="003D1F01">
              <w:rPr>
                <w:rFonts w:ascii="Calibri" w:eastAsia="Times New Roman" w:hAnsi="Calibri" w:cs="Times New Roman"/>
                <w:color w:val="000000"/>
                <w:sz w:val="20"/>
                <w:szCs w:val="20"/>
                <w:lang w:val="nl-BE"/>
              </w:rPr>
              <w:t xml:space="preserve"> ontwikkeld aan de Universiteit Gent en Universitair Ziekenhuis Gent). </w:t>
            </w:r>
            <w:r w:rsidRPr="003D1F01">
              <w:rPr>
                <w:rFonts w:ascii="Calibri" w:eastAsia="Times New Roman" w:hAnsi="Calibri" w:cs="Times New Roman"/>
                <w:color w:val="FF0000"/>
                <w:sz w:val="20"/>
                <w:szCs w:val="20"/>
                <w:lang w:val="nl-BE"/>
              </w:rPr>
              <w:t>Spin-off niet officieel opgenomen in IOF telling</w:t>
            </w:r>
          </w:p>
        </w:tc>
      </w:tr>
    </w:tbl>
    <w:p w:rsidR="00857F70" w:rsidRDefault="00857F70" w:rsidP="00C27E13">
      <w:pPr>
        <w:jc w:val="both"/>
      </w:pPr>
    </w:p>
    <w:p w:rsidR="00857F70" w:rsidRDefault="00857F70" w:rsidP="00C27E13">
      <w:pPr>
        <w:jc w:val="both"/>
        <w:rPr>
          <w:sz w:val="22"/>
          <w:szCs w:val="22"/>
        </w:rPr>
      </w:pPr>
    </w:p>
    <w:p w:rsidR="00C27E13" w:rsidRDefault="00C27E13">
      <w:pPr>
        <w:jc w:val="both"/>
        <w:rPr>
          <w:sz w:val="22"/>
          <w:szCs w:val="22"/>
        </w:rPr>
      </w:pPr>
    </w:p>
    <w:sectPr w:rsidR="00C27E13" w:rsidSect="00857F70">
      <w:pgSz w:w="16838" w:h="11906" w:orient="landscape"/>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12C1"/>
    <w:multiLevelType w:val="hybridMultilevel"/>
    <w:tmpl w:val="6BDC3120"/>
    <w:lvl w:ilvl="0" w:tplc="AE4C29E0">
      <w:start w:val="2"/>
      <w:numFmt w:val="decimal"/>
      <w:lvlText w:val="%1."/>
      <w:lvlJc w:val="left"/>
      <w:pPr>
        <w:tabs>
          <w:tab w:val="num" w:pos="720"/>
        </w:tabs>
        <w:ind w:left="720" w:hanging="360"/>
      </w:pPr>
      <w:rPr>
        <w:rFonts w:hint="default"/>
      </w:rPr>
    </w:lvl>
    <w:lvl w:ilvl="1" w:tplc="C7A477A0" w:tentative="1">
      <w:start w:val="1"/>
      <w:numFmt w:val="lowerLetter"/>
      <w:lvlText w:val="%2."/>
      <w:lvlJc w:val="left"/>
      <w:pPr>
        <w:tabs>
          <w:tab w:val="num" w:pos="1440"/>
        </w:tabs>
        <w:ind w:left="1440" w:hanging="360"/>
      </w:pPr>
    </w:lvl>
    <w:lvl w:ilvl="2" w:tplc="A2F07112" w:tentative="1">
      <w:start w:val="1"/>
      <w:numFmt w:val="lowerRoman"/>
      <w:lvlText w:val="%3."/>
      <w:lvlJc w:val="right"/>
      <w:pPr>
        <w:tabs>
          <w:tab w:val="num" w:pos="2160"/>
        </w:tabs>
        <w:ind w:left="2160" w:hanging="180"/>
      </w:pPr>
    </w:lvl>
    <w:lvl w:ilvl="3" w:tplc="1EBC58A6" w:tentative="1">
      <w:start w:val="1"/>
      <w:numFmt w:val="decimal"/>
      <w:lvlText w:val="%4."/>
      <w:lvlJc w:val="left"/>
      <w:pPr>
        <w:tabs>
          <w:tab w:val="num" w:pos="2880"/>
        </w:tabs>
        <w:ind w:left="2880" w:hanging="360"/>
      </w:pPr>
    </w:lvl>
    <w:lvl w:ilvl="4" w:tplc="3F447F00" w:tentative="1">
      <w:start w:val="1"/>
      <w:numFmt w:val="lowerLetter"/>
      <w:lvlText w:val="%5."/>
      <w:lvlJc w:val="left"/>
      <w:pPr>
        <w:tabs>
          <w:tab w:val="num" w:pos="3600"/>
        </w:tabs>
        <w:ind w:left="3600" w:hanging="360"/>
      </w:pPr>
    </w:lvl>
    <w:lvl w:ilvl="5" w:tplc="9F68C6D0" w:tentative="1">
      <w:start w:val="1"/>
      <w:numFmt w:val="lowerRoman"/>
      <w:lvlText w:val="%6."/>
      <w:lvlJc w:val="right"/>
      <w:pPr>
        <w:tabs>
          <w:tab w:val="num" w:pos="4320"/>
        </w:tabs>
        <w:ind w:left="4320" w:hanging="180"/>
      </w:pPr>
    </w:lvl>
    <w:lvl w:ilvl="6" w:tplc="D5BE58B6" w:tentative="1">
      <w:start w:val="1"/>
      <w:numFmt w:val="decimal"/>
      <w:lvlText w:val="%7."/>
      <w:lvlJc w:val="left"/>
      <w:pPr>
        <w:tabs>
          <w:tab w:val="num" w:pos="5040"/>
        </w:tabs>
        <w:ind w:left="5040" w:hanging="360"/>
      </w:pPr>
    </w:lvl>
    <w:lvl w:ilvl="7" w:tplc="B36010BE" w:tentative="1">
      <w:start w:val="1"/>
      <w:numFmt w:val="lowerLetter"/>
      <w:lvlText w:val="%8."/>
      <w:lvlJc w:val="left"/>
      <w:pPr>
        <w:tabs>
          <w:tab w:val="num" w:pos="5760"/>
        </w:tabs>
        <w:ind w:left="5760" w:hanging="360"/>
      </w:pPr>
    </w:lvl>
    <w:lvl w:ilvl="8" w:tplc="8918E050" w:tentative="1">
      <w:start w:val="1"/>
      <w:numFmt w:val="lowerRoman"/>
      <w:lvlText w:val="%9."/>
      <w:lvlJc w:val="right"/>
      <w:pPr>
        <w:tabs>
          <w:tab w:val="num" w:pos="6480"/>
        </w:tabs>
        <w:ind w:left="6480" w:hanging="180"/>
      </w:p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CB29EF"/>
    <w:multiLevelType w:val="hybridMultilevel"/>
    <w:tmpl w:val="D5221B70"/>
    <w:lvl w:ilvl="0" w:tplc="609814D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D1FDD"/>
    <w:rsid w:val="00103D45"/>
    <w:rsid w:val="001747B4"/>
    <w:rsid w:val="001F0937"/>
    <w:rsid w:val="0026187F"/>
    <w:rsid w:val="002D091A"/>
    <w:rsid w:val="00320E56"/>
    <w:rsid w:val="005431C7"/>
    <w:rsid w:val="006A324D"/>
    <w:rsid w:val="006F7264"/>
    <w:rsid w:val="007A666B"/>
    <w:rsid w:val="007B527F"/>
    <w:rsid w:val="00857F70"/>
    <w:rsid w:val="008F1C47"/>
    <w:rsid w:val="009976C1"/>
    <w:rsid w:val="009E2C40"/>
    <w:rsid w:val="00AB0AA4"/>
    <w:rsid w:val="00AF7AE7"/>
    <w:rsid w:val="00B448FA"/>
    <w:rsid w:val="00B50D72"/>
    <w:rsid w:val="00B60443"/>
    <w:rsid w:val="00C27E13"/>
    <w:rsid w:val="00CA30A2"/>
    <w:rsid w:val="00EE7EE4"/>
    <w:rsid w:val="00F075BF"/>
    <w:rsid w:val="00FD3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table" w:styleId="Lichtelijst-accent1">
    <w:name w:val="Light List Accent 1"/>
    <w:basedOn w:val="Standaardtabel"/>
    <w:uiPriority w:val="61"/>
    <w:rsid w:val="00857F70"/>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Standaard"/>
    <w:uiPriority w:val="34"/>
    <w:qFormat/>
    <w:rsid w:val="00857F70"/>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table" w:styleId="Lichtelijst-accent1">
    <w:name w:val="Light List Accent 1"/>
    <w:basedOn w:val="Standaardtabel"/>
    <w:uiPriority w:val="61"/>
    <w:rsid w:val="00857F70"/>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jstalinea">
    <w:name w:val="List Paragraph"/>
    <w:basedOn w:val="Standaard"/>
    <w:uiPriority w:val="34"/>
    <w:qFormat/>
    <w:rsid w:val="00857F70"/>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98515">
      <w:bodyDiv w:val="1"/>
      <w:marLeft w:val="0"/>
      <w:marRight w:val="0"/>
      <w:marTop w:val="0"/>
      <w:marBottom w:val="0"/>
      <w:divBdr>
        <w:top w:val="none" w:sz="0" w:space="0" w:color="auto"/>
        <w:left w:val="none" w:sz="0" w:space="0" w:color="auto"/>
        <w:bottom w:val="none" w:sz="0" w:space="0" w:color="auto"/>
        <w:right w:val="none" w:sz="0" w:space="0" w:color="auto"/>
      </w:divBdr>
    </w:div>
    <w:div w:id="2058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20EDW_PV\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3738-D06D-4179-AAEC-E85C324D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Schriftelijke vraag - antwoord - bijlage 3</Template>
  <TotalTime>0</TotalTime>
  <Pages>6</Pages>
  <Words>1281</Words>
  <Characters>8160</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Sandra Quaethoven</cp:lastModifiedBy>
  <cp:revision>2</cp:revision>
  <cp:lastPrinted>2007-12-14T07:15:00Z</cp:lastPrinted>
  <dcterms:created xsi:type="dcterms:W3CDTF">2013-05-31T09:16:00Z</dcterms:created>
  <dcterms:modified xsi:type="dcterms:W3CDTF">2013-05-31T09:16:00Z</dcterms:modified>
</cp:coreProperties>
</file>