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41372">
        <w:rPr>
          <w:b w:val="0"/>
        </w:rPr>
        <w:t>451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BB4AEC">
        <w:rPr>
          <w:b w:val="0"/>
        </w:rPr>
        <w:t>25</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EE4E83">
        <w:rPr>
          <w:b w:val="0"/>
        </w:rPr>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DA623C">
        <w:rPr>
          <w:rStyle w:val="AntwoordNaamMinisterChar"/>
        </w:rPr>
        <w:t>v</w:t>
      </w:r>
      <w:r w:rsidR="00BB4AEC">
        <w:rPr>
          <w:rStyle w:val="AntwoordNaamMinisterChar"/>
        </w:rPr>
        <w:t xml:space="preserve">era </w:t>
      </w:r>
      <w:r w:rsidR="00DA623C">
        <w:rPr>
          <w:rStyle w:val="AntwoordNaamMinisterChar"/>
        </w:rPr>
        <w:t>v</w:t>
      </w:r>
      <w:r w:rsidR="00BB4AEC">
        <w:rPr>
          <w:rStyle w:val="AntwoordNaamMinisterChar"/>
        </w:rPr>
        <w:t xml:space="preserve">an </w:t>
      </w:r>
      <w:r w:rsidR="00DA623C">
        <w:rPr>
          <w:rStyle w:val="AntwoordNaamMinisterChar"/>
        </w:rPr>
        <w:t>d</w:t>
      </w:r>
      <w:r w:rsidR="00BB4AEC">
        <w:rPr>
          <w:rStyle w:val="AntwoordNaamMinisterChar"/>
        </w:rPr>
        <w:t xml:space="preserve">er </w:t>
      </w:r>
      <w:r w:rsidR="00DA623C">
        <w:rPr>
          <w:rStyle w:val="AntwoordNaamMinisterChar"/>
        </w:rPr>
        <w:t>b</w:t>
      </w:r>
      <w:r w:rsidR="00BB4AEC">
        <w:rPr>
          <w:rStyle w:val="AntwoordNaamMinisterChar"/>
        </w:rPr>
        <w:t>orght</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BB4AEC" w:rsidRDefault="00BB4AEC" w:rsidP="00DA623C">
      <w:pPr>
        <w:pStyle w:val="Lijstalinea"/>
        <w:numPr>
          <w:ilvl w:val="0"/>
          <w:numId w:val="1"/>
        </w:numPr>
        <w:ind w:left="284" w:hanging="284"/>
        <w:jc w:val="both"/>
        <w:rPr>
          <w:szCs w:val="22"/>
        </w:rPr>
      </w:pPr>
      <w:r>
        <w:rPr>
          <w:szCs w:val="22"/>
        </w:rPr>
        <w:lastRenderedPageBreak/>
        <w:t>In het kader van de projecten woongarantie</w:t>
      </w:r>
      <w:r w:rsidR="00766FAD">
        <w:rPr>
          <w:szCs w:val="22"/>
        </w:rPr>
        <w:t>-</w:t>
      </w:r>
      <w:r>
        <w:rPr>
          <w:szCs w:val="22"/>
        </w:rPr>
        <w:t xml:space="preserve">ondersteuningsgarantie heeft de permanente cel zorgregie de adviezen van de regionale overlegnetwerken gehandicaptenzorg (ROG’s) overgenomen. Het VAPH heeft in zijn beslissingen dit advies integraal gevolgd. Dit betekent dat er in Vlaanderen zes projecten erkend worden. We geven hieronder per provincie een overzicht waarbij </w:t>
      </w:r>
      <w:r w:rsidR="00A3355B">
        <w:rPr>
          <w:szCs w:val="22"/>
        </w:rPr>
        <w:t xml:space="preserve">we </w:t>
      </w:r>
      <w:r>
        <w:rPr>
          <w:szCs w:val="22"/>
        </w:rPr>
        <w:t xml:space="preserve">telkens ingaan op de verschillende door u gestelde vragen. </w:t>
      </w:r>
    </w:p>
    <w:p w:rsidR="00766FAD" w:rsidRDefault="00766FAD" w:rsidP="00DA623C">
      <w:pPr>
        <w:pStyle w:val="Lijstalinea"/>
        <w:ind w:left="284" w:hanging="284"/>
        <w:jc w:val="both"/>
        <w:rPr>
          <w:szCs w:val="22"/>
        </w:rPr>
      </w:pPr>
    </w:p>
    <w:p w:rsidR="00BB4AEC" w:rsidRDefault="00BB4AEC" w:rsidP="00DA623C">
      <w:pPr>
        <w:pStyle w:val="Lijstalinea"/>
        <w:numPr>
          <w:ilvl w:val="0"/>
          <w:numId w:val="1"/>
        </w:numPr>
        <w:ind w:left="284" w:hanging="284"/>
        <w:jc w:val="both"/>
        <w:rPr>
          <w:szCs w:val="22"/>
        </w:rPr>
      </w:pPr>
      <w:r>
        <w:rPr>
          <w:szCs w:val="22"/>
        </w:rPr>
        <w:t xml:space="preserve">Antwerpen: in Antwerpen waren </w:t>
      </w:r>
      <w:r w:rsidR="00781170">
        <w:rPr>
          <w:szCs w:val="22"/>
        </w:rPr>
        <w:t xml:space="preserve">er </w:t>
      </w:r>
      <w:r>
        <w:rPr>
          <w:szCs w:val="22"/>
        </w:rPr>
        <w:t>4 kandidaat-projecten. De stuurgroep van het ROG schoof 2 kandid</w:t>
      </w:r>
      <w:r w:rsidR="00F55013">
        <w:rPr>
          <w:szCs w:val="22"/>
        </w:rPr>
        <w:t xml:space="preserve">aat-projecten naar voor. De stuurgroep </w:t>
      </w:r>
      <w:r w:rsidR="00766FAD">
        <w:rPr>
          <w:szCs w:val="22"/>
        </w:rPr>
        <w:t xml:space="preserve">oordeelde dat </w:t>
      </w:r>
      <w:r w:rsidR="00F55013">
        <w:rPr>
          <w:szCs w:val="22"/>
        </w:rPr>
        <w:t xml:space="preserve">alle </w:t>
      </w:r>
      <w:r w:rsidR="00766FAD">
        <w:rPr>
          <w:szCs w:val="22"/>
        </w:rPr>
        <w:t xml:space="preserve">ingediende </w:t>
      </w:r>
      <w:r w:rsidR="00F55013">
        <w:rPr>
          <w:szCs w:val="22"/>
        </w:rPr>
        <w:t xml:space="preserve">projecten </w:t>
      </w:r>
      <w:r w:rsidR="00766FAD">
        <w:rPr>
          <w:szCs w:val="22"/>
        </w:rPr>
        <w:t>voldeden aan de criteria in de omzendbrief en diende dus bijkomende beoordelingscriteria te hanteren</w:t>
      </w:r>
      <w:r w:rsidR="00F55013">
        <w:rPr>
          <w:szCs w:val="22"/>
        </w:rPr>
        <w:t xml:space="preserve">. Een project werd niet weerhouden omdat een VAPH-voorziening eigenaar van de infrastructuur was. </w:t>
      </w:r>
      <w:r w:rsidR="00766FAD">
        <w:rPr>
          <w:szCs w:val="22"/>
        </w:rPr>
        <w:t xml:space="preserve">Er </w:t>
      </w:r>
      <w:r w:rsidR="00F55013">
        <w:rPr>
          <w:szCs w:val="22"/>
        </w:rPr>
        <w:t xml:space="preserve">werd geopteerd voor 2 kandidaat-projecten die reeds kandidaat-cliënten met een status </w:t>
      </w:r>
      <w:r w:rsidR="007D6280">
        <w:rPr>
          <w:szCs w:val="22"/>
        </w:rPr>
        <w:t>prioritair te bemiddelen (</w:t>
      </w:r>
      <w:r w:rsidR="00F55013">
        <w:rPr>
          <w:szCs w:val="22"/>
        </w:rPr>
        <w:t>PTB</w:t>
      </w:r>
      <w:r w:rsidR="007D6280">
        <w:rPr>
          <w:szCs w:val="22"/>
        </w:rPr>
        <w:t>)</w:t>
      </w:r>
      <w:r w:rsidR="00F55013">
        <w:rPr>
          <w:szCs w:val="22"/>
        </w:rPr>
        <w:t xml:space="preserve"> hadden en die bereid waren in het project in te stappen. Uiteindelijk werd</w:t>
      </w:r>
      <w:r w:rsidR="00781170">
        <w:rPr>
          <w:szCs w:val="22"/>
        </w:rPr>
        <w:t>en</w:t>
      </w:r>
      <w:r w:rsidR="00F55013">
        <w:rPr>
          <w:szCs w:val="22"/>
        </w:rPr>
        <w:t xml:space="preserve"> de projecten: </w:t>
      </w:r>
      <w:r w:rsidR="00766FAD">
        <w:rPr>
          <w:szCs w:val="22"/>
        </w:rPr>
        <w:t>“</w:t>
      </w:r>
      <w:r w:rsidR="00F55013">
        <w:rPr>
          <w:szCs w:val="22"/>
        </w:rPr>
        <w:t>De As</w:t>
      </w:r>
      <w:r w:rsidR="00766FAD">
        <w:rPr>
          <w:szCs w:val="22"/>
        </w:rPr>
        <w:t xml:space="preserve"> Maarkdal”</w:t>
      </w:r>
      <w:r w:rsidR="00F55013">
        <w:rPr>
          <w:szCs w:val="22"/>
        </w:rPr>
        <w:t xml:space="preserve"> en </w:t>
      </w:r>
      <w:r w:rsidR="00766FAD">
        <w:rPr>
          <w:szCs w:val="22"/>
        </w:rPr>
        <w:t>“T</w:t>
      </w:r>
      <w:r w:rsidR="00F55013">
        <w:rPr>
          <w:szCs w:val="22"/>
        </w:rPr>
        <w:t>hink out of the box</w:t>
      </w:r>
      <w:r w:rsidR="00766FAD">
        <w:rPr>
          <w:szCs w:val="22"/>
        </w:rPr>
        <w:t>”</w:t>
      </w:r>
      <w:r w:rsidR="00F55013">
        <w:rPr>
          <w:szCs w:val="22"/>
        </w:rPr>
        <w:t xml:space="preserve"> geselecteerd. </w:t>
      </w:r>
    </w:p>
    <w:p w:rsidR="00766FAD" w:rsidRPr="00766FAD" w:rsidRDefault="00766FAD" w:rsidP="00DA623C">
      <w:pPr>
        <w:ind w:left="284" w:hanging="284"/>
        <w:jc w:val="both"/>
        <w:rPr>
          <w:szCs w:val="22"/>
        </w:rPr>
      </w:pPr>
    </w:p>
    <w:p w:rsidR="00F55013" w:rsidRDefault="00F55013" w:rsidP="00DA623C">
      <w:pPr>
        <w:pStyle w:val="Lijstalinea"/>
        <w:numPr>
          <w:ilvl w:val="0"/>
          <w:numId w:val="1"/>
        </w:numPr>
        <w:ind w:left="284" w:hanging="284"/>
        <w:jc w:val="both"/>
        <w:rPr>
          <w:szCs w:val="22"/>
        </w:rPr>
      </w:pPr>
      <w:r>
        <w:rPr>
          <w:szCs w:val="22"/>
        </w:rPr>
        <w:t xml:space="preserve">Limburg: In Limburg waren </w:t>
      </w:r>
      <w:r w:rsidR="00781170">
        <w:rPr>
          <w:szCs w:val="22"/>
        </w:rPr>
        <w:t xml:space="preserve">er </w:t>
      </w:r>
      <w:r>
        <w:rPr>
          <w:szCs w:val="22"/>
        </w:rPr>
        <w:t xml:space="preserve">2 kandidaatprojecten. Het ROG oordeelde op basis van de schriftelijke aanvragen en een mondelinge toelichting. Slechts één van de kandidaten werd weerhouden, m.n. het project ‘Bergstraat’ in Hasselt. In de overweging om zich te beperken tot één project speelde ook de keuze van het ROG mee om een zo groot mogelijk budget over te houden voor de toekenning van persoonsvolgende convenants door de regionale prioriteitencommissie. </w:t>
      </w:r>
    </w:p>
    <w:p w:rsidR="00766FAD" w:rsidRPr="00766FAD" w:rsidRDefault="00766FAD" w:rsidP="00DA623C">
      <w:pPr>
        <w:ind w:left="284" w:hanging="284"/>
        <w:jc w:val="both"/>
        <w:rPr>
          <w:szCs w:val="22"/>
        </w:rPr>
      </w:pPr>
    </w:p>
    <w:p w:rsidR="00175E20" w:rsidRDefault="00175E20" w:rsidP="00DA623C">
      <w:pPr>
        <w:pStyle w:val="Lijstalinea"/>
        <w:numPr>
          <w:ilvl w:val="0"/>
          <w:numId w:val="1"/>
        </w:numPr>
        <w:ind w:left="284" w:hanging="284"/>
        <w:jc w:val="both"/>
        <w:rPr>
          <w:szCs w:val="22"/>
        </w:rPr>
      </w:pPr>
      <w:r>
        <w:rPr>
          <w:szCs w:val="22"/>
        </w:rPr>
        <w:t>Oost-Vlaanderen: In Oost-Vlaanderen besliste de stuurgr</w:t>
      </w:r>
      <w:r w:rsidR="00C12089">
        <w:rPr>
          <w:szCs w:val="22"/>
        </w:rPr>
        <w:t>oep een bepaald budget van de middelen voor persoonsvolgende convenants te reserveren. Dit budget komt overeen met 10 plaatsen</w:t>
      </w:r>
      <w:r w:rsidR="007D6280">
        <w:rPr>
          <w:szCs w:val="22"/>
        </w:rPr>
        <w:t xml:space="preserve"> diensten voor inclusieve ondersteuning (</w:t>
      </w:r>
      <w:r w:rsidR="00C12089">
        <w:rPr>
          <w:szCs w:val="22"/>
        </w:rPr>
        <w:t>DIO</w:t>
      </w:r>
      <w:r w:rsidR="007D6280">
        <w:rPr>
          <w:szCs w:val="22"/>
        </w:rPr>
        <w:t>)</w:t>
      </w:r>
      <w:r w:rsidR="00C12089">
        <w:rPr>
          <w:szCs w:val="22"/>
        </w:rPr>
        <w:t xml:space="preserve"> aan 70 %. </w:t>
      </w:r>
      <w:r w:rsidR="00D8384A">
        <w:rPr>
          <w:szCs w:val="22"/>
        </w:rPr>
        <w:t xml:space="preserve">Ook van het budget voor </w:t>
      </w:r>
      <w:r w:rsidR="007D6280">
        <w:rPr>
          <w:szCs w:val="22"/>
        </w:rPr>
        <w:t>persoonlijke-assistentiebudget (</w:t>
      </w:r>
      <w:r w:rsidR="00D8384A">
        <w:rPr>
          <w:szCs w:val="22"/>
        </w:rPr>
        <w:t>PAB</w:t>
      </w:r>
      <w:r w:rsidR="007D6280">
        <w:rPr>
          <w:szCs w:val="22"/>
        </w:rPr>
        <w:t>)</w:t>
      </w:r>
      <w:r w:rsidR="00D8384A">
        <w:rPr>
          <w:szCs w:val="22"/>
        </w:rPr>
        <w:t xml:space="preserve"> werd een even groot aandeel gereserveerd. Er waren 7 kandidaat-projecten die konden opstarten in 2013. Het budget liet echter slechts de opstart van één project toe, m.n. “’Eikenhof”. Bij het rangschikken van de projecten werd rekening gehouden met volgende criteria</w:t>
      </w:r>
      <w:r w:rsidR="00766FAD">
        <w:rPr>
          <w:szCs w:val="22"/>
        </w:rPr>
        <w:t>: toegankelijkheid, betaalbaarheid, rechtszekerhe</w:t>
      </w:r>
      <w:r w:rsidR="00DA623C">
        <w:rPr>
          <w:szCs w:val="22"/>
        </w:rPr>
        <w:t>id, inclusie, kleinschaligheid.</w:t>
      </w:r>
    </w:p>
    <w:p w:rsidR="00766FAD" w:rsidRPr="00766FAD" w:rsidRDefault="00766FAD" w:rsidP="00DA623C">
      <w:pPr>
        <w:ind w:left="284" w:hanging="284"/>
        <w:jc w:val="both"/>
        <w:rPr>
          <w:szCs w:val="22"/>
        </w:rPr>
      </w:pPr>
    </w:p>
    <w:p w:rsidR="00687134" w:rsidRDefault="00687134" w:rsidP="00DA623C">
      <w:pPr>
        <w:pStyle w:val="Lijstalinea"/>
        <w:numPr>
          <w:ilvl w:val="0"/>
          <w:numId w:val="1"/>
        </w:numPr>
        <w:ind w:left="284" w:hanging="284"/>
        <w:jc w:val="both"/>
        <w:rPr>
          <w:szCs w:val="22"/>
        </w:rPr>
      </w:pPr>
      <w:r>
        <w:rPr>
          <w:szCs w:val="22"/>
        </w:rPr>
        <w:t xml:space="preserve">West-Vlaanderen: </w:t>
      </w:r>
      <w:r w:rsidR="00D8384A">
        <w:rPr>
          <w:szCs w:val="22"/>
        </w:rPr>
        <w:t xml:space="preserve">In West-Vlaanderen waren </w:t>
      </w:r>
      <w:r w:rsidR="00781170">
        <w:rPr>
          <w:szCs w:val="22"/>
        </w:rPr>
        <w:t xml:space="preserve">er </w:t>
      </w:r>
      <w:r w:rsidR="00D8384A">
        <w:rPr>
          <w:szCs w:val="22"/>
        </w:rPr>
        <w:t>8 kandidaat-projecten. Het ROG oordeelde dat 4 van deze projecten voldeden aan de doelstellingen van het project en schoof 2 van deze projecten naar voor m.n. “</w:t>
      </w:r>
      <w:r w:rsidR="00A3355B">
        <w:rPr>
          <w:szCs w:val="22"/>
        </w:rPr>
        <w:t>A</w:t>
      </w:r>
      <w:r w:rsidR="00D8384A">
        <w:rPr>
          <w:szCs w:val="22"/>
        </w:rPr>
        <w:t>utistem” en “</w:t>
      </w:r>
      <w:r w:rsidR="00A3355B">
        <w:rPr>
          <w:szCs w:val="22"/>
        </w:rPr>
        <w:t>D</w:t>
      </w:r>
      <w:r w:rsidR="00D8384A">
        <w:rPr>
          <w:szCs w:val="22"/>
        </w:rPr>
        <w:t xml:space="preserve">en </w:t>
      </w:r>
      <w:r w:rsidR="00A3355B">
        <w:rPr>
          <w:szCs w:val="22"/>
        </w:rPr>
        <w:t>O</w:t>
      </w:r>
      <w:r w:rsidR="00D8384A">
        <w:rPr>
          <w:szCs w:val="22"/>
        </w:rPr>
        <w:t>mmeloop”. De selectie werd gemaakt op basis volgende criteria</w:t>
      </w:r>
      <w:r w:rsidR="00766FAD">
        <w:rPr>
          <w:szCs w:val="22"/>
        </w:rPr>
        <w:t>: toegankelijkheid in de breedste betekenis van het woord, inclusie, duurzaamheid en rechtszekerheid, kwaliteit en transparantie</w:t>
      </w:r>
      <w:r w:rsidR="00D8384A">
        <w:rPr>
          <w:szCs w:val="22"/>
        </w:rPr>
        <w:t xml:space="preserve">. </w:t>
      </w:r>
    </w:p>
    <w:p w:rsidR="00766FAD" w:rsidRPr="00766FAD" w:rsidRDefault="00766FAD" w:rsidP="00DA623C">
      <w:pPr>
        <w:ind w:left="284" w:hanging="284"/>
        <w:jc w:val="both"/>
        <w:rPr>
          <w:szCs w:val="22"/>
        </w:rPr>
      </w:pPr>
    </w:p>
    <w:p w:rsidR="00687134" w:rsidRDefault="00687134" w:rsidP="00DA623C">
      <w:pPr>
        <w:pStyle w:val="Lijstalinea"/>
        <w:numPr>
          <w:ilvl w:val="0"/>
          <w:numId w:val="1"/>
        </w:numPr>
        <w:ind w:left="284" w:hanging="284"/>
        <w:jc w:val="both"/>
        <w:rPr>
          <w:szCs w:val="22"/>
        </w:rPr>
      </w:pPr>
      <w:r>
        <w:rPr>
          <w:szCs w:val="22"/>
        </w:rPr>
        <w:t>Vlaams Brabant en Brussel</w:t>
      </w:r>
      <w:r w:rsidR="00D8384A">
        <w:rPr>
          <w:szCs w:val="22"/>
        </w:rPr>
        <w:t xml:space="preserve">: er </w:t>
      </w:r>
      <w:r w:rsidR="00347F34">
        <w:rPr>
          <w:szCs w:val="22"/>
        </w:rPr>
        <w:t xml:space="preserve">waren geen kandidaat-projecten. </w:t>
      </w:r>
    </w:p>
    <w:p w:rsidR="00766FAD" w:rsidRPr="00766FAD" w:rsidRDefault="00766FAD" w:rsidP="00DA623C">
      <w:pPr>
        <w:ind w:left="284" w:hanging="284"/>
        <w:jc w:val="both"/>
        <w:rPr>
          <w:szCs w:val="22"/>
        </w:rPr>
      </w:pPr>
    </w:p>
    <w:p w:rsidR="007D6280" w:rsidRDefault="00D8384A" w:rsidP="00DA623C">
      <w:pPr>
        <w:pStyle w:val="Lijstalinea"/>
        <w:numPr>
          <w:ilvl w:val="0"/>
          <w:numId w:val="1"/>
        </w:numPr>
        <w:ind w:left="284" w:hanging="284"/>
        <w:jc w:val="both"/>
        <w:rPr>
          <w:szCs w:val="22"/>
        </w:rPr>
      </w:pPr>
      <w:r>
        <w:rPr>
          <w:szCs w:val="22"/>
        </w:rPr>
        <w:t>In bijlage</w:t>
      </w:r>
      <w:r w:rsidR="00766FAD">
        <w:rPr>
          <w:szCs w:val="22"/>
        </w:rPr>
        <w:t xml:space="preserve"> 1 </w:t>
      </w:r>
      <w:r>
        <w:rPr>
          <w:szCs w:val="22"/>
        </w:rPr>
        <w:t xml:space="preserve">vindt u een oplijsting van de geselecteerde projecten. </w:t>
      </w:r>
    </w:p>
    <w:p w:rsidR="007D6280" w:rsidRPr="007D6280" w:rsidRDefault="007D6280" w:rsidP="00DA623C">
      <w:pPr>
        <w:pStyle w:val="Lijstalinea"/>
        <w:ind w:left="284" w:hanging="284"/>
        <w:rPr>
          <w:szCs w:val="22"/>
        </w:rPr>
      </w:pPr>
    </w:p>
    <w:p w:rsidR="007D6280" w:rsidRDefault="00D8384A" w:rsidP="00DA623C">
      <w:pPr>
        <w:pStyle w:val="Lijstalinea"/>
        <w:ind w:left="284"/>
        <w:jc w:val="both"/>
        <w:rPr>
          <w:szCs w:val="22"/>
        </w:rPr>
      </w:pPr>
      <w:r>
        <w:rPr>
          <w:szCs w:val="22"/>
        </w:rPr>
        <w:t xml:space="preserve">Hieruit blijkt dat in 2 van de 6 projecten privé-personen de initiatiefnemer zijn, in een andere een oudergroep en in nog een andere een gebruikersvereniging. Voor de andere 2 projecten zijn de initiatiefnemers een VAPH-voorziening. </w:t>
      </w:r>
    </w:p>
    <w:p w:rsidR="00DA623C" w:rsidRDefault="00DA623C" w:rsidP="00DA623C">
      <w:pPr>
        <w:pStyle w:val="Lijstalinea"/>
        <w:ind w:left="284" w:hanging="284"/>
        <w:jc w:val="both"/>
        <w:rPr>
          <w:szCs w:val="22"/>
        </w:rPr>
      </w:pPr>
    </w:p>
    <w:p w:rsidR="007D6280" w:rsidRDefault="00347F34" w:rsidP="00DA623C">
      <w:pPr>
        <w:pStyle w:val="Lijstalinea"/>
        <w:ind w:left="284"/>
        <w:jc w:val="both"/>
        <w:rPr>
          <w:szCs w:val="22"/>
        </w:rPr>
      </w:pPr>
      <w:r>
        <w:rPr>
          <w:szCs w:val="22"/>
        </w:rPr>
        <w:t xml:space="preserve">De betrokken VAPH-voorzieningen bieden allen een breed gamma van ondersteuning aan (zowel ambulant, als dagbesteding en woonopvang). </w:t>
      </w:r>
    </w:p>
    <w:p w:rsidR="007D6280" w:rsidRDefault="007D6280" w:rsidP="00DA623C">
      <w:pPr>
        <w:pStyle w:val="Lijstalinea"/>
        <w:ind w:left="284" w:hanging="284"/>
        <w:jc w:val="both"/>
        <w:rPr>
          <w:szCs w:val="22"/>
        </w:rPr>
      </w:pPr>
    </w:p>
    <w:p w:rsidR="007D6280" w:rsidRDefault="00347F34" w:rsidP="00DA623C">
      <w:pPr>
        <w:pStyle w:val="Lijstalinea"/>
        <w:ind w:left="284"/>
        <w:jc w:val="both"/>
        <w:rPr>
          <w:szCs w:val="22"/>
        </w:rPr>
      </w:pPr>
      <w:r>
        <w:rPr>
          <w:szCs w:val="22"/>
        </w:rPr>
        <w:lastRenderedPageBreak/>
        <w:t xml:space="preserve">De partner die voor infrastructuur zorgt </w:t>
      </w:r>
      <w:r w:rsidR="00A3355B">
        <w:rPr>
          <w:szCs w:val="22"/>
        </w:rPr>
        <w:t xml:space="preserve">is </w:t>
      </w:r>
      <w:r>
        <w:rPr>
          <w:szCs w:val="22"/>
        </w:rPr>
        <w:t xml:space="preserve">in 2 gevallen </w:t>
      </w:r>
      <w:r w:rsidR="00A3355B">
        <w:rPr>
          <w:szCs w:val="22"/>
        </w:rPr>
        <w:t>“</w:t>
      </w:r>
      <w:r>
        <w:rPr>
          <w:szCs w:val="22"/>
        </w:rPr>
        <w:t>Inclusie Invest</w:t>
      </w:r>
      <w:r w:rsidR="00A3355B">
        <w:rPr>
          <w:szCs w:val="22"/>
        </w:rPr>
        <w:t>”</w:t>
      </w:r>
      <w:r>
        <w:rPr>
          <w:szCs w:val="22"/>
        </w:rPr>
        <w:t>, in 2 andere een sociale huisvestingsmaatschappij</w:t>
      </w:r>
      <w:r w:rsidR="00A3355B">
        <w:rPr>
          <w:szCs w:val="22"/>
        </w:rPr>
        <w:t>, eventueel in samenwerking met het OCMW</w:t>
      </w:r>
      <w:r>
        <w:rPr>
          <w:szCs w:val="22"/>
        </w:rPr>
        <w:t xml:space="preserve">. Daarnaast is er ook een samenwerkingsverband van VAPH-voorzieningen. In het laatste project wordt de woning voorzien door de privé-initiatiefnemers. </w:t>
      </w:r>
    </w:p>
    <w:p w:rsidR="007D6280" w:rsidRDefault="007D6280" w:rsidP="00DA623C">
      <w:pPr>
        <w:pStyle w:val="Lijstalinea"/>
        <w:ind w:left="284" w:hanging="284"/>
        <w:jc w:val="both"/>
        <w:rPr>
          <w:szCs w:val="22"/>
        </w:rPr>
      </w:pPr>
    </w:p>
    <w:p w:rsidR="007D6280" w:rsidRDefault="00347F34" w:rsidP="00DA623C">
      <w:pPr>
        <w:pStyle w:val="Lijstalinea"/>
        <w:ind w:left="284"/>
        <w:jc w:val="both"/>
        <w:rPr>
          <w:szCs w:val="22"/>
        </w:rPr>
      </w:pPr>
      <w:r>
        <w:rPr>
          <w:szCs w:val="22"/>
        </w:rPr>
        <w:t xml:space="preserve">De projecten richten zich vooral tot personen met een verstandelijke beperking, m.u.v. </w:t>
      </w:r>
      <w:r w:rsidR="00A3355B">
        <w:rPr>
          <w:szCs w:val="22"/>
        </w:rPr>
        <w:t>“</w:t>
      </w:r>
      <w:r>
        <w:rPr>
          <w:szCs w:val="22"/>
        </w:rPr>
        <w:t>Autistem</w:t>
      </w:r>
      <w:r w:rsidR="00A3355B">
        <w:rPr>
          <w:szCs w:val="22"/>
        </w:rPr>
        <w:t>”</w:t>
      </w:r>
      <w:r>
        <w:rPr>
          <w:szCs w:val="22"/>
        </w:rPr>
        <w:t xml:space="preserve"> dat zich richt tot personen met autisme. </w:t>
      </w:r>
    </w:p>
    <w:p w:rsidR="007D6280" w:rsidRDefault="007D6280" w:rsidP="00DA623C">
      <w:pPr>
        <w:pStyle w:val="Lijstalinea"/>
        <w:ind w:left="284" w:hanging="284"/>
        <w:jc w:val="both"/>
        <w:rPr>
          <w:szCs w:val="22"/>
        </w:rPr>
      </w:pPr>
    </w:p>
    <w:p w:rsidR="00347F34" w:rsidRPr="00687134" w:rsidRDefault="00347F34" w:rsidP="00DA623C">
      <w:pPr>
        <w:pStyle w:val="Lijstalinea"/>
        <w:ind w:left="284"/>
        <w:jc w:val="both"/>
        <w:rPr>
          <w:szCs w:val="22"/>
        </w:rPr>
      </w:pPr>
      <w:r>
        <w:rPr>
          <w:szCs w:val="22"/>
        </w:rPr>
        <w:t xml:space="preserve">In totaal zullen 30 personen ondersteund worden in deze projecten. De ondersteuning zal wellicht steeds gefinancierd worden door de toekenning van een persoonsvolgende convenant van onbepaalde duur aan 70 % van het maximum. Dit betekent dat voor deze projecten recurrente, maar persoonsvolgende financiering voorzien wordt. </w:t>
      </w:r>
    </w:p>
    <w:p w:rsidR="00781170" w:rsidRDefault="00781170" w:rsidP="00781170">
      <w:pPr>
        <w:rPr>
          <w:szCs w:val="22"/>
        </w:rPr>
      </w:pPr>
    </w:p>
    <w:p w:rsidR="00781170" w:rsidRDefault="00781170" w:rsidP="00781170">
      <w:pPr>
        <w:rPr>
          <w:szCs w:val="22"/>
        </w:rPr>
      </w:pPr>
    </w:p>
    <w:p w:rsidR="00C33DC6" w:rsidRDefault="00C33DC6" w:rsidP="00781170">
      <w:pPr>
        <w:rPr>
          <w:b/>
          <w:smallCaps/>
          <w:color w:val="FF0000"/>
          <w:szCs w:val="22"/>
          <w:u w:val="single"/>
        </w:rPr>
      </w:pPr>
      <w:r w:rsidRPr="00A222E2">
        <w:rPr>
          <w:b/>
          <w:smallCaps/>
          <w:color w:val="FF0000"/>
          <w:szCs w:val="22"/>
          <w:u w:val="single"/>
        </w:rPr>
        <w:t>bijlage</w:t>
      </w:r>
    </w:p>
    <w:p w:rsidR="00DA623C" w:rsidRPr="00781170" w:rsidRDefault="00DA623C" w:rsidP="00781170">
      <w:pPr>
        <w:rPr>
          <w:szCs w:val="22"/>
        </w:rPr>
      </w:pPr>
    </w:p>
    <w:p w:rsidR="003B3111" w:rsidRPr="00DA623C" w:rsidRDefault="00A33E57" w:rsidP="00DA623C">
      <w:pPr>
        <w:jc w:val="both"/>
        <w:rPr>
          <w:szCs w:val="22"/>
        </w:rPr>
      </w:pPr>
      <w:r>
        <w:rPr>
          <w:szCs w:val="22"/>
        </w:rPr>
        <w:t>T</w:t>
      </w:r>
      <w:r w:rsidR="00D8384A">
        <w:rPr>
          <w:szCs w:val="22"/>
        </w:rPr>
        <w:t>abel geselecteerde projecten woong</w:t>
      </w:r>
      <w:r>
        <w:rPr>
          <w:szCs w:val="22"/>
        </w:rPr>
        <w:t>arantie ondersteuningsgarantie</w:t>
      </w:r>
      <w:bookmarkStart w:id="6" w:name="_GoBack"/>
      <w:bookmarkEnd w:id="6"/>
    </w:p>
    <w:sectPr w:rsidR="003B3111" w:rsidRPr="00DA623C"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80" w:rsidRDefault="007D6280">
      <w:r>
        <w:separator/>
      </w:r>
    </w:p>
  </w:endnote>
  <w:endnote w:type="continuationSeparator" w:id="0">
    <w:p w:rsidR="007D6280" w:rsidRDefault="007D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80" w:rsidRDefault="007D6280">
      <w:r>
        <w:separator/>
      </w:r>
    </w:p>
  </w:footnote>
  <w:footnote w:type="continuationSeparator" w:id="0">
    <w:p w:rsidR="007D6280" w:rsidRDefault="007D6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91108"/>
    <w:multiLevelType w:val="hybridMultilevel"/>
    <w:tmpl w:val="CC94C7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1119C8"/>
    <w:rsid w:val="00175E20"/>
    <w:rsid w:val="00347F34"/>
    <w:rsid w:val="003B3111"/>
    <w:rsid w:val="003E56E5"/>
    <w:rsid w:val="004A51DF"/>
    <w:rsid w:val="00547F72"/>
    <w:rsid w:val="006359E3"/>
    <w:rsid w:val="00687134"/>
    <w:rsid w:val="006F4096"/>
    <w:rsid w:val="00766FAD"/>
    <w:rsid w:val="00781170"/>
    <w:rsid w:val="007D6280"/>
    <w:rsid w:val="00A3355B"/>
    <w:rsid w:val="00A33E57"/>
    <w:rsid w:val="00BB4AEC"/>
    <w:rsid w:val="00C12089"/>
    <w:rsid w:val="00C33DC6"/>
    <w:rsid w:val="00CF6F78"/>
    <w:rsid w:val="00D41372"/>
    <w:rsid w:val="00D8384A"/>
    <w:rsid w:val="00DA623C"/>
    <w:rsid w:val="00EE4E83"/>
    <w:rsid w:val="00F55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BB4AEC"/>
    <w:pPr>
      <w:ind w:left="720"/>
      <w:contextualSpacing/>
    </w:pPr>
  </w:style>
  <w:style w:type="table" w:styleId="Tabelraster">
    <w:name w:val="Table Grid"/>
    <w:basedOn w:val="Standaardtabel"/>
    <w:rsid w:val="00547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styleId="Lijstalinea">
    <w:name w:val="List Paragraph"/>
    <w:basedOn w:val="Standaard"/>
    <w:uiPriority w:val="34"/>
    <w:qFormat/>
    <w:rsid w:val="00BB4AEC"/>
    <w:pPr>
      <w:ind w:left="720"/>
      <w:contextualSpacing/>
    </w:pPr>
  </w:style>
  <w:style w:type="table" w:styleId="Tabelraster">
    <w:name w:val="Table Grid"/>
    <w:basedOn w:val="Standaardtabel"/>
    <w:rsid w:val="00547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1</TotalTime>
  <Pages>2</Pages>
  <Words>578</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3</cp:revision>
  <cp:lastPrinted>2013-05-17T08:23:00Z</cp:lastPrinted>
  <dcterms:created xsi:type="dcterms:W3CDTF">2013-05-17T13:26:00Z</dcterms:created>
  <dcterms:modified xsi:type="dcterms:W3CDTF">2013-05-29T09:28:00Z</dcterms:modified>
</cp:coreProperties>
</file>