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9146B"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C9146B"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C9146B"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9146B" w:rsidRPr="00326A58">
        <w:rPr>
          <w:b w:val="0"/>
        </w:rPr>
      </w:r>
      <w:r w:rsidR="00C9146B" w:rsidRPr="00326A58">
        <w:rPr>
          <w:b w:val="0"/>
        </w:rPr>
        <w:fldChar w:fldCharType="separate"/>
      </w:r>
      <w:r w:rsidR="00576B7F">
        <w:rPr>
          <w:b w:val="0"/>
        </w:rPr>
        <w:t>644</w:t>
      </w:r>
      <w:r w:rsidR="00C9146B"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9146B">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9146B">
        <w:rPr>
          <w:b w:val="0"/>
        </w:rPr>
      </w:r>
      <w:r w:rsidR="00C9146B">
        <w:rPr>
          <w:b w:val="0"/>
        </w:rPr>
        <w:fldChar w:fldCharType="separate"/>
      </w:r>
      <w:r w:rsidR="00576B7F">
        <w:rPr>
          <w:b w:val="0"/>
        </w:rPr>
        <w:t>11</w:t>
      </w:r>
      <w:r w:rsidR="00C9146B">
        <w:rPr>
          <w:b w:val="0"/>
        </w:rPr>
        <w:fldChar w:fldCharType="end"/>
      </w:r>
      <w:bookmarkEnd w:id="3"/>
      <w:r w:rsidRPr="00326A58">
        <w:rPr>
          <w:b w:val="0"/>
        </w:rPr>
        <w:t xml:space="preserve"> </w:t>
      </w:r>
      <w:bookmarkStart w:id="4" w:name="Dropdown2"/>
      <w:r w:rsidR="00C9146B">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9146B">
        <w:rPr>
          <w:b w:val="0"/>
        </w:rPr>
      </w:r>
      <w:r w:rsidR="00C9146B">
        <w:rPr>
          <w:b w:val="0"/>
        </w:rPr>
        <w:fldChar w:fldCharType="end"/>
      </w:r>
      <w:bookmarkEnd w:id="4"/>
      <w:r w:rsidRPr="00326A58">
        <w:rPr>
          <w:b w:val="0"/>
        </w:rPr>
        <w:t xml:space="preserve"> </w:t>
      </w:r>
      <w:bookmarkStart w:id="5" w:name="Dropdown3"/>
      <w:r w:rsidR="00C9146B">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9146B">
        <w:rPr>
          <w:b w:val="0"/>
        </w:rPr>
      </w:r>
      <w:r w:rsidR="00C9146B">
        <w:rPr>
          <w:b w:val="0"/>
        </w:rPr>
        <w:fldChar w:fldCharType="end"/>
      </w:r>
      <w:bookmarkEnd w:id="5"/>
    </w:p>
    <w:p w:rsidR="000976E9" w:rsidRDefault="000976E9" w:rsidP="000976E9">
      <w:pPr>
        <w:rPr>
          <w:szCs w:val="22"/>
        </w:rPr>
      </w:pPr>
      <w:r>
        <w:rPr>
          <w:szCs w:val="22"/>
        </w:rPr>
        <w:t xml:space="preserve">van </w:t>
      </w:r>
      <w:r w:rsidR="00C9146B"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9146B" w:rsidRPr="009D7043">
        <w:rPr>
          <w:rStyle w:val="AntwoordNaamMinisterChar"/>
        </w:rPr>
      </w:r>
      <w:r w:rsidR="00C9146B" w:rsidRPr="009D7043">
        <w:rPr>
          <w:rStyle w:val="AntwoordNaamMinisterChar"/>
        </w:rPr>
        <w:fldChar w:fldCharType="separate"/>
      </w:r>
      <w:r w:rsidR="00576B7F">
        <w:rPr>
          <w:rStyle w:val="AntwoordNaamMinisterChar"/>
        </w:rPr>
        <w:t>sas van rouveroij</w:t>
      </w:r>
      <w:r w:rsidR="00C9146B"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F6C17" w:rsidRPr="00E04D50" w:rsidRDefault="00DF6C17" w:rsidP="00E04D50">
      <w:pPr>
        <w:pStyle w:val="Lijstalinea"/>
        <w:numPr>
          <w:ilvl w:val="0"/>
          <w:numId w:val="9"/>
        </w:numPr>
        <w:jc w:val="both"/>
        <w:rPr>
          <w:szCs w:val="22"/>
        </w:rPr>
      </w:pPr>
      <w:r w:rsidRPr="00E04D50">
        <w:rPr>
          <w:szCs w:val="22"/>
        </w:rPr>
        <w:lastRenderedPageBreak/>
        <w:t xml:space="preserve">De volksvertegenwoordiger weet wellicht dat het Vlaamse Gewest bij het uitoefenen van zijn fiscale autonomie steevast botst op ingebrekestellingen vanwege de Europese Commissie. De eerste ingebrekestelling, met betrekking tot de </w:t>
      </w:r>
      <w:proofErr w:type="spellStart"/>
      <w:r w:rsidRPr="00E04D50">
        <w:rPr>
          <w:szCs w:val="22"/>
        </w:rPr>
        <w:t>jobkorting</w:t>
      </w:r>
      <w:proofErr w:type="spellEnd"/>
      <w:r w:rsidRPr="00E04D50">
        <w:rPr>
          <w:szCs w:val="22"/>
        </w:rPr>
        <w:t xml:space="preserve">, werd ontvangen op 6 mei 2008. Telkens is de Europese Commissie van mening dat de Vlaamse belastingverminderingen in de personenbelasting in strijd zijn met de vrijheid van werknemersverkeer en de vrijheid van vestiging (de artikelen 45 en 49 VWEU en de artikelen 28 en 31 van de EER-Overeenkomst), zolang geen gelijkaardig voordeel wordt toegekend aan de niet-inwoners die in Vlaanderen werkzaam zijn. </w:t>
      </w:r>
      <w:r w:rsidR="0000086C" w:rsidRPr="00E04D50">
        <w:rPr>
          <w:szCs w:val="22"/>
          <w:u w:val="single"/>
        </w:rPr>
        <w:t>Zolang de federale overheid</w:t>
      </w:r>
      <w:r w:rsidRPr="00E04D50">
        <w:rPr>
          <w:szCs w:val="22"/>
          <w:u w:val="single"/>
        </w:rPr>
        <w:t xml:space="preserve"> niet in een werkbare oplossing ter zake voorziet, blijft de regionale fiscale autonomie binnen het Europese Verdragsrechtelijke kader dus onwerkzaam</w:t>
      </w:r>
      <w:r w:rsidRPr="00E04D50">
        <w:rPr>
          <w:szCs w:val="22"/>
        </w:rPr>
        <w:t xml:space="preserve">. </w:t>
      </w:r>
    </w:p>
    <w:p w:rsidR="00DF6C17" w:rsidRDefault="00DF6C17" w:rsidP="00B1090C">
      <w:pPr>
        <w:rPr>
          <w:b/>
          <w:szCs w:val="22"/>
        </w:rPr>
      </w:pPr>
    </w:p>
    <w:p w:rsidR="00B1090C" w:rsidRPr="00416093" w:rsidRDefault="00B1090C" w:rsidP="00E04D50">
      <w:pPr>
        <w:ind w:left="360"/>
        <w:rPr>
          <w:b/>
          <w:szCs w:val="22"/>
        </w:rPr>
      </w:pPr>
      <w:r>
        <w:rPr>
          <w:b/>
          <w:szCs w:val="22"/>
        </w:rPr>
        <w:t>Voo</w:t>
      </w:r>
      <w:r w:rsidR="00F64498">
        <w:rPr>
          <w:b/>
          <w:szCs w:val="22"/>
        </w:rPr>
        <w:t>r de aanslagjaren 2009 tot heden</w:t>
      </w:r>
    </w:p>
    <w:p w:rsidR="00B1090C" w:rsidRPr="00416093" w:rsidRDefault="00B1090C" w:rsidP="00E04D50">
      <w:pPr>
        <w:ind w:left="360"/>
        <w:jc w:val="both"/>
        <w:rPr>
          <w:szCs w:val="22"/>
        </w:rPr>
      </w:pPr>
    </w:p>
    <w:p w:rsidR="00B1090C" w:rsidRPr="0031390E" w:rsidRDefault="00B1090C" w:rsidP="00E04D50">
      <w:pPr>
        <w:ind w:left="360"/>
        <w:jc w:val="both"/>
        <w:rPr>
          <w:szCs w:val="22"/>
        </w:rPr>
      </w:pPr>
      <w:r w:rsidRPr="0031390E">
        <w:rPr>
          <w:szCs w:val="22"/>
        </w:rPr>
        <w:t xml:space="preserve">Onderstaande tabel </w:t>
      </w:r>
      <w:r>
        <w:rPr>
          <w:szCs w:val="22"/>
        </w:rPr>
        <w:t xml:space="preserve">1 </w:t>
      </w:r>
      <w:r w:rsidRPr="0031390E">
        <w:rPr>
          <w:szCs w:val="22"/>
        </w:rPr>
        <w:t xml:space="preserve">geeft </w:t>
      </w:r>
      <w:r>
        <w:rPr>
          <w:szCs w:val="22"/>
        </w:rPr>
        <w:t>voor de aanslagjaren 2009 tot en met 201</w:t>
      </w:r>
      <w:r w:rsidR="00B46B8C">
        <w:rPr>
          <w:szCs w:val="22"/>
        </w:rPr>
        <w:t>3</w:t>
      </w:r>
      <w:r>
        <w:rPr>
          <w:szCs w:val="22"/>
        </w:rPr>
        <w:t xml:space="preserve"> </w:t>
      </w:r>
      <w:r w:rsidRPr="0031390E">
        <w:rPr>
          <w:szCs w:val="22"/>
        </w:rPr>
        <w:t xml:space="preserve">een overzicht van de belastingmaatregelen die jaarlijks getoetst worden aan de marge van 6,75% ten </w:t>
      </w:r>
      <w:proofErr w:type="spellStart"/>
      <w:r w:rsidRPr="0031390E">
        <w:rPr>
          <w:szCs w:val="22"/>
        </w:rPr>
        <w:t>belope</w:t>
      </w:r>
      <w:proofErr w:type="spellEnd"/>
      <w:r w:rsidRPr="0031390E">
        <w:rPr>
          <w:szCs w:val="22"/>
        </w:rPr>
        <w:t xml:space="preserve"> waarvan het Vlaamse Gewest op de door de fede</w:t>
      </w:r>
      <w:r>
        <w:rPr>
          <w:szCs w:val="22"/>
        </w:rPr>
        <w:t>rale overheid in het betrokken G</w:t>
      </w:r>
      <w:r w:rsidRPr="0031390E">
        <w:rPr>
          <w:szCs w:val="22"/>
        </w:rPr>
        <w:t xml:space="preserve">ewest geïnde personenbelasting algemene </w:t>
      </w:r>
      <w:bookmarkStart w:id="6" w:name="OLE_LINK1"/>
      <w:bookmarkStart w:id="7" w:name="OLE_LINK2"/>
      <w:r w:rsidRPr="0031390E">
        <w:rPr>
          <w:szCs w:val="22"/>
        </w:rPr>
        <w:t xml:space="preserve">belastingverminderingen of –vermeerderingen, opcentiemen of kortingen </w:t>
      </w:r>
      <w:bookmarkEnd w:id="6"/>
      <w:bookmarkEnd w:id="7"/>
      <w:r w:rsidRPr="0031390E">
        <w:rPr>
          <w:szCs w:val="22"/>
        </w:rPr>
        <w:t>kan invoeren.</w:t>
      </w:r>
    </w:p>
    <w:p w:rsidR="00B1090C" w:rsidRPr="0031390E" w:rsidRDefault="00B1090C" w:rsidP="00E04D50">
      <w:pPr>
        <w:ind w:left="360"/>
        <w:jc w:val="both"/>
        <w:rPr>
          <w:szCs w:val="22"/>
        </w:rPr>
      </w:pPr>
    </w:p>
    <w:p w:rsidR="00B1090C" w:rsidRDefault="00B1090C" w:rsidP="00E04D50">
      <w:pPr>
        <w:ind w:left="360"/>
        <w:jc w:val="both"/>
        <w:rPr>
          <w:szCs w:val="22"/>
        </w:rPr>
      </w:pPr>
      <w:r w:rsidRPr="0031390E">
        <w:rPr>
          <w:szCs w:val="22"/>
        </w:rPr>
        <w:t xml:space="preserve">De methodologie van toetsing die </w:t>
      </w:r>
      <w:r>
        <w:rPr>
          <w:szCs w:val="22"/>
        </w:rPr>
        <w:t xml:space="preserve">gehanteerd wordt, </w:t>
      </w:r>
      <w:r w:rsidRPr="0031390E">
        <w:rPr>
          <w:szCs w:val="22"/>
        </w:rPr>
        <w:t>bestaat erin om voor iedere belastingmaatregel per aanslagjaar het effect te becijferen. De som van de effecten wordt nadien – per aanslagjaar - getoetst aan de marge van 6,75%.</w:t>
      </w:r>
    </w:p>
    <w:p w:rsidR="00B1090C" w:rsidRDefault="00B1090C" w:rsidP="00E04D50">
      <w:pPr>
        <w:ind w:left="360"/>
        <w:jc w:val="both"/>
        <w:rPr>
          <w:szCs w:val="22"/>
        </w:rPr>
      </w:pPr>
    </w:p>
    <w:p w:rsidR="00B46B8C" w:rsidRDefault="00B1090C" w:rsidP="00E04D50">
      <w:pPr>
        <w:spacing w:after="120"/>
        <w:ind w:left="360"/>
        <w:rPr>
          <w:b/>
          <w:sz w:val="20"/>
          <w:szCs w:val="20"/>
        </w:rPr>
      </w:pPr>
      <w:r w:rsidRPr="00F1539A">
        <w:rPr>
          <w:b/>
          <w:sz w:val="20"/>
          <w:szCs w:val="20"/>
        </w:rPr>
        <w:t>Tabel 1 : Toetsing belastingmaatregelen aan 6,75% marge</w:t>
      </w:r>
    </w:p>
    <w:p w:rsidR="00B1090C" w:rsidRDefault="00B46B8C" w:rsidP="00B1090C">
      <w:pPr>
        <w:jc w:val="both"/>
        <w:rPr>
          <w:szCs w:val="22"/>
        </w:rPr>
      </w:pPr>
      <w:r w:rsidRPr="00B46B8C">
        <w:rPr>
          <w:noProof/>
          <w:lang w:val="nl-BE" w:eastAsia="nl-BE"/>
        </w:rPr>
        <w:drawing>
          <wp:inline distT="0" distB="0" distL="0" distR="0" wp14:anchorId="695382D6" wp14:editId="43CF45BA">
            <wp:extent cx="5760720" cy="30373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37316"/>
                    </a:xfrm>
                    <a:prstGeom prst="rect">
                      <a:avLst/>
                    </a:prstGeom>
                    <a:noFill/>
                    <a:ln>
                      <a:noFill/>
                    </a:ln>
                  </pic:spPr>
                </pic:pic>
              </a:graphicData>
            </a:graphic>
          </wp:inline>
        </w:drawing>
      </w:r>
    </w:p>
    <w:p w:rsidR="00B46B8C" w:rsidRDefault="00B46B8C" w:rsidP="00B1090C">
      <w:pPr>
        <w:jc w:val="both"/>
        <w:rPr>
          <w:szCs w:val="22"/>
        </w:rPr>
      </w:pPr>
    </w:p>
    <w:p w:rsidR="00786938" w:rsidRDefault="00B1090C" w:rsidP="00E04D50">
      <w:pPr>
        <w:ind w:left="426"/>
        <w:jc w:val="both"/>
        <w:rPr>
          <w:szCs w:val="22"/>
        </w:rPr>
      </w:pPr>
      <w:r w:rsidRPr="006F7999">
        <w:rPr>
          <w:szCs w:val="22"/>
        </w:rPr>
        <w:lastRenderedPageBreak/>
        <w:t>De cijfers voor de aanslagjaren 2009 en 201</w:t>
      </w:r>
      <w:r w:rsidR="00397AD0">
        <w:rPr>
          <w:szCs w:val="22"/>
        </w:rPr>
        <w:t>0</w:t>
      </w:r>
      <w:r w:rsidRPr="006F7999">
        <w:rPr>
          <w:szCs w:val="22"/>
        </w:rPr>
        <w:t xml:space="preserve">, </w:t>
      </w:r>
      <w:r w:rsidR="00397AD0">
        <w:rPr>
          <w:szCs w:val="22"/>
        </w:rPr>
        <w:t xml:space="preserve">en </w:t>
      </w:r>
      <w:r>
        <w:rPr>
          <w:szCs w:val="22"/>
        </w:rPr>
        <w:t xml:space="preserve">het cijfer voor de </w:t>
      </w:r>
      <w:r w:rsidR="00397AD0">
        <w:rPr>
          <w:szCs w:val="22"/>
        </w:rPr>
        <w:t xml:space="preserve">forfaitaire vermindering </w:t>
      </w:r>
      <w:r w:rsidRPr="006F7999">
        <w:rPr>
          <w:szCs w:val="22"/>
        </w:rPr>
        <w:t>met betrekking tot het aanslagjaar 2011</w:t>
      </w:r>
      <w:r w:rsidR="00397AD0">
        <w:rPr>
          <w:szCs w:val="22"/>
        </w:rPr>
        <w:t>,</w:t>
      </w:r>
      <w:r w:rsidR="00397AD0" w:rsidRPr="00397AD0">
        <w:rPr>
          <w:szCs w:val="22"/>
        </w:rPr>
        <w:t xml:space="preserve"> </w:t>
      </w:r>
      <w:r w:rsidR="00397AD0" w:rsidRPr="006F7999">
        <w:rPr>
          <w:szCs w:val="22"/>
        </w:rPr>
        <w:t>betreffen voorlopige realisatiecijfers</w:t>
      </w:r>
      <w:r w:rsidRPr="006F7999">
        <w:rPr>
          <w:szCs w:val="22"/>
        </w:rPr>
        <w:t xml:space="preserve">. </w:t>
      </w:r>
      <w:r w:rsidR="00397AD0">
        <w:rPr>
          <w:szCs w:val="22"/>
        </w:rPr>
        <w:t xml:space="preserve">De overige cijfers betreffen ramingen, hetzij van PMV voor de </w:t>
      </w:r>
      <w:proofErr w:type="spellStart"/>
      <w:r w:rsidR="00397AD0">
        <w:rPr>
          <w:szCs w:val="22"/>
        </w:rPr>
        <w:t>winwinleningen</w:t>
      </w:r>
      <w:proofErr w:type="spellEnd"/>
      <w:r w:rsidR="00397AD0">
        <w:rPr>
          <w:szCs w:val="22"/>
        </w:rPr>
        <w:t>, hetzij van de Vlaamse administratie voor de renovatie-ove</w:t>
      </w:r>
      <w:r w:rsidR="00786938">
        <w:rPr>
          <w:szCs w:val="22"/>
        </w:rPr>
        <w:t>reenkomsten.</w:t>
      </w:r>
    </w:p>
    <w:p w:rsidR="00786938" w:rsidRDefault="00786938" w:rsidP="00E04D50">
      <w:pPr>
        <w:ind w:left="426"/>
        <w:jc w:val="both"/>
        <w:rPr>
          <w:szCs w:val="22"/>
        </w:rPr>
      </w:pPr>
    </w:p>
    <w:p w:rsidR="00397AD0" w:rsidRDefault="00B1090C" w:rsidP="00E04D50">
      <w:pPr>
        <w:ind w:left="426"/>
        <w:jc w:val="both"/>
        <w:rPr>
          <w:szCs w:val="22"/>
        </w:rPr>
      </w:pPr>
      <w:r w:rsidRPr="006F7999">
        <w:rPr>
          <w:szCs w:val="22"/>
        </w:rPr>
        <w:t xml:space="preserve">De </w:t>
      </w:r>
      <w:r w:rsidR="00786938">
        <w:rPr>
          <w:szCs w:val="22"/>
        </w:rPr>
        <w:t xml:space="preserve">voorlopige </w:t>
      </w:r>
      <w:r w:rsidRPr="006F7999">
        <w:rPr>
          <w:szCs w:val="22"/>
        </w:rPr>
        <w:t xml:space="preserve">realisatiecijfers worden periodiek verstrekt door de FOD Financiën. </w:t>
      </w:r>
      <w:r w:rsidR="00397AD0">
        <w:rPr>
          <w:szCs w:val="22"/>
        </w:rPr>
        <w:t>De laatste afrekening van de FOD Financiën dateert van eind oktober 2011. Herhaaldelijk aandringen vanwege de Vlaamse administratie voor de resterende afrekeningen is tot heden zonder gevolg gebleven.</w:t>
      </w:r>
    </w:p>
    <w:p w:rsidR="00397AD0" w:rsidRDefault="00397AD0" w:rsidP="00E04D50">
      <w:pPr>
        <w:ind w:left="426"/>
        <w:jc w:val="both"/>
        <w:rPr>
          <w:szCs w:val="22"/>
        </w:rPr>
      </w:pPr>
    </w:p>
    <w:p w:rsidR="00B1090C" w:rsidRPr="006F7999" w:rsidRDefault="00B1090C" w:rsidP="00E04D50">
      <w:pPr>
        <w:ind w:left="426"/>
        <w:jc w:val="both"/>
        <w:rPr>
          <w:szCs w:val="22"/>
        </w:rPr>
      </w:pPr>
      <w:r w:rsidRPr="006F7999">
        <w:rPr>
          <w:szCs w:val="22"/>
        </w:rPr>
        <w:t>Tabel 2 toont een overzicht van de s</w:t>
      </w:r>
      <w:r>
        <w:rPr>
          <w:szCs w:val="22"/>
        </w:rPr>
        <w:t>tatus van de weerhouden cijfers (raming of voorlopig realisatiecijfer).</w:t>
      </w:r>
    </w:p>
    <w:p w:rsidR="00B1090C" w:rsidRDefault="00B1090C" w:rsidP="00E04D50">
      <w:pPr>
        <w:ind w:left="426"/>
        <w:rPr>
          <w:szCs w:val="22"/>
        </w:rPr>
      </w:pPr>
    </w:p>
    <w:p w:rsidR="00B1090C" w:rsidRDefault="00B1090C" w:rsidP="00E04D50">
      <w:pPr>
        <w:spacing w:after="120"/>
        <w:ind w:left="426"/>
        <w:rPr>
          <w:b/>
          <w:sz w:val="20"/>
          <w:szCs w:val="20"/>
        </w:rPr>
      </w:pPr>
      <w:r w:rsidRPr="008D77D3">
        <w:rPr>
          <w:b/>
          <w:sz w:val="20"/>
          <w:szCs w:val="20"/>
        </w:rPr>
        <w:t>Tabel 2 : Status cijfermateriaal</w:t>
      </w:r>
    </w:p>
    <w:p w:rsidR="005B6D83" w:rsidRDefault="005B6D83" w:rsidP="00B1090C">
      <w:pPr>
        <w:spacing w:after="120"/>
        <w:rPr>
          <w:b/>
          <w:sz w:val="20"/>
          <w:szCs w:val="20"/>
        </w:rPr>
      </w:pPr>
      <w:r w:rsidRPr="005B6D83">
        <w:rPr>
          <w:noProof/>
          <w:lang w:val="nl-BE" w:eastAsia="nl-BE"/>
        </w:rPr>
        <w:drawing>
          <wp:inline distT="0" distB="0" distL="0" distR="0">
            <wp:extent cx="5514975" cy="17907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790700"/>
                    </a:xfrm>
                    <a:prstGeom prst="rect">
                      <a:avLst/>
                    </a:prstGeom>
                    <a:noFill/>
                    <a:ln>
                      <a:noFill/>
                    </a:ln>
                  </pic:spPr>
                </pic:pic>
              </a:graphicData>
            </a:graphic>
          </wp:inline>
        </w:drawing>
      </w:r>
    </w:p>
    <w:p w:rsidR="00B1090C" w:rsidRPr="00C4596A" w:rsidRDefault="00B1090C" w:rsidP="00B1090C">
      <w:pPr>
        <w:jc w:val="both"/>
        <w:rPr>
          <w:szCs w:val="22"/>
        </w:rPr>
      </w:pPr>
    </w:p>
    <w:p w:rsidR="00B1090C" w:rsidRPr="00CB7CA1" w:rsidRDefault="00B1090C" w:rsidP="00E04D50">
      <w:pPr>
        <w:ind w:left="426"/>
        <w:jc w:val="both"/>
        <w:rPr>
          <w:szCs w:val="22"/>
        </w:rPr>
      </w:pPr>
      <w:r w:rsidRPr="00CB7CA1">
        <w:rPr>
          <w:szCs w:val="22"/>
        </w:rPr>
        <w:t>De door de federale overheid in Vlaanderen geïnde personenbelasting is in Tabel 1 weergegeven in rij (a). Het cijfer voor het aanslagjaar 201</w:t>
      </w:r>
      <w:r w:rsidR="009E729D">
        <w:rPr>
          <w:szCs w:val="22"/>
        </w:rPr>
        <w:t>1</w:t>
      </w:r>
      <w:r w:rsidRPr="00CB7CA1">
        <w:rPr>
          <w:szCs w:val="22"/>
        </w:rPr>
        <w:t xml:space="preserve"> is het meest recente definitieve realisatiecijfer. Het heeft betrekking op de aanslagtermijn die per 30 juni 201</w:t>
      </w:r>
      <w:r w:rsidR="009E729D">
        <w:rPr>
          <w:szCs w:val="22"/>
        </w:rPr>
        <w:t>2</w:t>
      </w:r>
      <w:r w:rsidRPr="00CB7CA1">
        <w:rPr>
          <w:szCs w:val="22"/>
        </w:rPr>
        <w:t xml:space="preserve"> afliep. De cijfers vanaf aanslagjaar 201</w:t>
      </w:r>
      <w:r w:rsidR="009E729D">
        <w:rPr>
          <w:szCs w:val="22"/>
        </w:rPr>
        <w:t>2</w:t>
      </w:r>
      <w:r w:rsidRPr="00CB7CA1">
        <w:rPr>
          <w:szCs w:val="22"/>
        </w:rPr>
        <w:t xml:space="preserve"> betreffen ramingen.</w:t>
      </w:r>
    </w:p>
    <w:p w:rsidR="00B1090C" w:rsidRPr="00CB7CA1" w:rsidRDefault="00B1090C" w:rsidP="00E04D50">
      <w:pPr>
        <w:ind w:left="426"/>
        <w:jc w:val="both"/>
        <w:rPr>
          <w:szCs w:val="22"/>
        </w:rPr>
      </w:pPr>
    </w:p>
    <w:p w:rsidR="00B1090C" w:rsidRPr="00FD72E6" w:rsidRDefault="00B1090C" w:rsidP="00E04D50">
      <w:pPr>
        <w:pStyle w:val="StandaardSV"/>
        <w:ind w:left="426"/>
        <w:rPr>
          <w:szCs w:val="22"/>
        </w:rPr>
      </w:pPr>
      <w:r w:rsidRPr="00FD72E6">
        <w:rPr>
          <w:szCs w:val="22"/>
          <w:lang w:eastAsia="nl-BE"/>
        </w:rPr>
        <w:t xml:space="preserve">Het totaalbedrag aan maatregelen waarvoor jaarlijks gebruik gemaakt werd van de mogelijkheid om op de door de federale overheid in het betrokken </w:t>
      </w:r>
      <w:r>
        <w:rPr>
          <w:szCs w:val="22"/>
          <w:lang w:eastAsia="nl-BE"/>
        </w:rPr>
        <w:t>G</w:t>
      </w:r>
      <w:r w:rsidRPr="00FD72E6">
        <w:rPr>
          <w:szCs w:val="22"/>
          <w:lang w:eastAsia="nl-BE"/>
        </w:rPr>
        <w:t>ewest geïnde personenbelasting b</w:t>
      </w:r>
      <w:r w:rsidRPr="00FD72E6">
        <w:rPr>
          <w:szCs w:val="22"/>
        </w:rPr>
        <w:t xml:space="preserve">elastingverminderingen of –vermeerderingen, opcentiemen of kortingen </w:t>
      </w:r>
      <w:r w:rsidRPr="00FD72E6">
        <w:rPr>
          <w:szCs w:val="22"/>
          <w:lang w:eastAsia="nl-BE"/>
        </w:rPr>
        <w:t>in te voeren, is weergegeven in rij (b</w:t>
      </w:r>
      <w:r w:rsidR="009E729D">
        <w:rPr>
          <w:szCs w:val="22"/>
          <w:lang w:eastAsia="nl-BE"/>
        </w:rPr>
        <w:t>)</w:t>
      </w:r>
      <w:r w:rsidRPr="00FD72E6">
        <w:rPr>
          <w:szCs w:val="22"/>
          <w:lang w:eastAsia="nl-BE"/>
        </w:rPr>
        <w:t>. Rij (</w:t>
      </w:r>
      <w:r w:rsidR="009E729D">
        <w:rPr>
          <w:szCs w:val="22"/>
          <w:lang w:eastAsia="nl-BE"/>
        </w:rPr>
        <w:t>c</w:t>
      </w:r>
      <w:r w:rsidRPr="00FD72E6">
        <w:rPr>
          <w:szCs w:val="22"/>
          <w:lang w:eastAsia="nl-BE"/>
        </w:rPr>
        <w:t>) geeft aan hoe groot het aandeel is van de bedoelde belastingmaatregelen in verhouding tot de door de federale overheid in het Vlaamse Gewest</w:t>
      </w:r>
      <w:r>
        <w:rPr>
          <w:szCs w:val="22"/>
          <w:lang w:eastAsia="nl-BE"/>
        </w:rPr>
        <w:t xml:space="preserve"> geïnde personenbelasting.</w:t>
      </w:r>
    </w:p>
    <w:p w:rsidR="00B1090C" w:rsidRPr="00CB7CA1" w:rsidRDefault="00B1090C" w:rsidP="00E04D50">
      <w:pPr>
        <w:ind w:left="426"/>
        <w:jc w:val="both"/>
        <w:rPr>
          <w:szCs w:val="22"/>
        </w:rPr>
      </w:pPr>
    </w:p>
    <w:p w:rsidR="00B1090C" w:rsidRPr="00FD72E6" w:rsidRDefault="00B1090C" w:rsidP="00E04D50">
      <w:pPr>
        <w:ind w:left="426"/>
        <w:jc w:val="both"/>
        <w:rPr>
          <w:szCs w:val="22"/>
        </w:rPr>
      </w:pPr>
      <w:r w:rsidRPr="00FD72E6">
        <w:rPr>
          <w:szCs w:val="22"/>
          <w:lang w:eastAsia="nl-BE"/>
        </w:rPr>
        <w:t xml:space="preserve">Het maximale bedrag aan maatregelen waarvoor het Vlaamse Gewest op de door de federale overheid in het Vlaamse Gewest geïnde personenbelasting </w:t>
      </w:r>
      <w:r w:rsidRPr="00FD72E6">
        <w:rPr>
          <w:szCs w:val="22"/>
        </w:rPr>
        <w:t xml:space="preserve">belastingverminderingen of –vermeerderingen, opcentiemen of kortingen </w:t>
      </w:r>
      <w:r w:rsidRPr="00FD72E6">
        <w:rPr>
          <w:szCs w:val="22"/>
          <w:lang w:eastAsia="nl-BE"/>
        </w:rPr>
        <w:t>kan invoeren, is weergegeven in rij (</w:t>
      </w:r>
      <w:r w:rsidR="009E729D">
        <w:rPr>
          <w:szCs w:val="22"/>
          <w:lang w:eastAsia="nl-BE"/>
        </w:rPr>
        <w:t>d</w:t>
      </w:r>
      <w:r w:rsidRPr="00FD72E6">
        <w:rPr>
          <w:szCs w:val="22"/>
          <w:lang w:eastAsia="nl-BE"/>
        </w:rPr>
        <w:t>). Het betreft telkens 6,75% van de in het Vlaamse Gewest geïnde personenbelasting.</w:t>
      </w:r>
    </w:p>
    <w:p w:rsidR="00B1090C" w:rsidRPr="00FD72E6" w:rsidRDefault="00B1090C" w:rsidP="00E04D50">
      <w:pPr>
        <w:ind w:left="426"/>
        <w:jc w:val="both"/>
        <w:rPr>
          <w:szCs w:val="22"/>
        </w:rPr>
      </w:pPr>
    </w:p>
    <w:p w:rsidR="00B1090C" w:rsidRPr="00CE0A9E" w:rsidRDefault="00B1090C" w:rsidP="00E04D50">
      <w:pPr>
        <w:ind w:left="426"/>
        <w:jc w:val="both"/>
        <w:rPr>
          <w:szCs w:val="22"/>
          <w:lang w:eastAsia="nl-BE"/>
        </w:rPr>
      </w:pPr>
      <w:r w:rsidRPr="00CE0A9E">
        <w:rPr>
          <w:szCs w:val="22"/>
        </w:rPr>
        <w:t>Tot slot toont rij (</w:t>
      </w:r>
      <w:r w:rsidR="009E729D">
        <w:rPr>
          <w:szCs w:val="22"/>
        </w:rPr>
        <w:t>e</w:t>
      </w:r>
      <w:r w:rsidRPr="00CE0A9E">
        <w:rPr>
          <w:szCs w:val="22"/>
        </w:rPr>
        <w:t xml:space="preserve">) </w:t>
      </w:r>
      <w:r w:rsidRPr="00CE0A9E">
        <w:rPr>
          <w:szCs w:val="22"/>
          <w:lang w:eastAsia="nl-BE"/>
        </w:rPr>
        <w:t>een overzicht van alle maatregelen die in het kader van de 6,75 %-marge inzake personenbelasting zijn genomen.</w:t>
      </w:r>
    </w:p>
    <w:p w:rsidR="00CA3C19" w:rsidRDefault="00CA3C19">
      <w:pPr>
        <w:rPr>
          <w:szCs w:val="22"/>
        </w:rPr>
      </w:pPr>
    </w:p>
    <w:p w:rsidR="00D45EE2" w:rsidRPr="00E04D50" w:rsidRDefault="007F4794" w:rsidP="00E04D50">
      <w:pPr>
        <w:pStyle w:val="Lijstalinea"/>
        <w:numPr>
          <w:ilvl w:val="0"/>
          <w:numId w:val="9"/>
        </w:numPr>
        <w:rPr>
          <w:b/>
          <w:szCs w:val="22"/>
        </w:rPr>
      </w:pPr>
      <w:r w:rsidRPr="00E04D50">
        <w:rPr>
          <w:b/>
          <w:szCs w:val="22"/>
        </w:rPr>
        <w:t xml:space="preserve">Met betrekking tot </w:t>
      </w:r>
      <w:r w:rsidR="00D45EE2" w:rsidRPr="00E04D50">
        <w:rPr>
          <w:b/>
          <w:szCs w:val="22"/>
        </w:rPr>
        <w:t>het begrotingsjaar 2013</w:t>
      </w:r>
    </w:p>
    <w:p w:rsidR="00D45EE2" w:rsidRPr="004738D6" w:rsidRDefault="00D45EE2" w:rsidP="00D45EE2">
      <w:pPr>
        <w:jc w:val="both"/>
        <w:rPr>
          <w:szCs w:val="22"/>
        </w:rPr>
      </w:pPr>
    </w:p>
    <w:p w:rsidR="00D45EE2" w:rsidRDefault="00D45EE2" w:rsidP="00E04D50">
      <w:pPr>
        <w:ind w:left="360"/>
        <w:jc w:val="both"/>
        <w:rPr>
          <w:szCs w:val="22"/>
        </w:rPr>
      </w:pPr>
      <w:r w:rsidRPr="004738D6">
        <w:rPr>
          <w:szCs w:val="22"/>
        </w:rPr>
        <w:t xml:space="preserve">Tabel </w:t>
      </w:r>
      <w:r w:rsidR="002C342C">
        <w:rPr>
          <w:szCs w:val="22"/>
        </w:rPr>
        <w:t>3</w:t>
      </w:r>
      <w:r w:rsidRPr="004738D6">
        <w:rPr>
          <w:szCs w:val="22"/>
        </w:rPr>
        <w:t xml:space="preserve"> toont een overzicht van de </w:t>
      </w:r>
      <w:r w:rsidR="007F4794">
        <w:rPr>
          <w:szCs w:val="22"/>
        </w:rPr>
        <w:t xml:space="preserve">bij de begrotingsopmaak 2013 </w:t>
      </w:r>
      <w:r w:rsidRPr="004738D6">
        <w:rPr>
          <w:szCs w:val="22"/>
        </w:rPr>
        <w:t>opgenomen kredieten</w:t>
      </w:r>
      <w:r>
        <w:rPr>
          <w:szCs w:val="22"/>
        </w:rPr>
        <w:t xml:space="preserve">. </w:t>
      </w:r>
      <w:r w:rsidRPr="004738D6">
        <w:rPr>
          <w:szCs w:val="22"/>
        </w:rPr>
        <w:t xml:space="preserve">De totale </w:t>
      </w:r>
      <w:r>
        <w:rPr>
          <w:szCs w:val="22"/>
        </w:rPr>
        <w:t xml:space="preserve">geraamde </w:t>
      </w:r>
      <w:r w:rsidRPr="004738D6">
        <w:rPr>
          <w:szCs w:val="22"/>
        </w:rPr>
        <w:t xml:space="preserve">budgettaire impact van de maatregelen bedraagt </w:t>
      </w:r>
      <w:r>
        <w:rPr>
          <w:szCs w:val="22"/>
        </w:rPr>
        <w:t>1.294.000,00</w:t>
      </w:r>
      <w:r w:rsidRPr="004738D6">
        <w:rPr>
          <w:szCs w:val="22"/>
        </w:rPr>
        <w:t xml:space="preserve"> euro. Dit bedrag vertegenwoordigt 0,</w:t>
      </w:r>
      <w:r>
        <w:rPr>
          <w:szCs w:val="22"/>
        </w:rPr>
        <w:t>01</w:t>
      </w:r>
      <w:r w:rsidRPr="004738D6">
        <w:rPr>
          <w:szCs w:val="22"/>
        </w:rPr>
        <w:t xml:space="preserve">% van de in het Vlaamse Gewest </w:t>
      </w:r>
      <w:r>
        <w:rPr>
          <w:szCs w:val="22"/>
        </w:rPr>
        <w:t xml:space="preserve">te innen </w:t>
      </w:r>
      <w:r w:rsidRPr="004738D6">
        <w:rPr>
          <w:szCs w:val="22"/>
        </w:rPr>
        <w:t>personenbelasting. 6,75% komt voor het begrotingsjaar 201</w:t>
      </w:r>
      <w:r>
        <w:rPr>
          <w:szCs w:val="22"/>
        </w:rPr>
        <w:t>3</w:t>
      </w:r>
      <w:r w:rsidRPr="004738D6">
        <w:rPr>
          <w:szCs w:val="22"/>
        </w:rPr>
        <w:t xml:space="preserve"> overeen met 1.</w:t>
      </w:r>
      <w:r>
        <w:rPr>
          <w:szCs w:val="22"/>
        </w:rPr>
        <w:t>537</w:t>
      </w:r>
      <w:r w:rsidRPr="004738D6">
        <w:rPr>
          <w:szCs w:val="22"/>
        </w:rPr>
        <w:t>.</w:t>
      </w:r>
      <w:r>
        <w:rPr>
          <w:szCs w:val="22"/>
        </w:rPr>
        <w:t>628</w:t>
      </w:r>
      <w:r w:rsidRPr="004738D6">
        <w:rPr>
          <w:szCs w:val="22"/>
        </w:rPr>
        <w:t>.</w:t>
      </w:r>
      <w:r>
        <w:rPr>
          <w:szCs w:val="22"/>
        </w:rPr>
        <w:t>330</w:t>
      </w:r>
      <w:r w:rsidRPr="004738D6">
        <w:rPr>
          <w:szCs w:val="22"/>
        </w:rPr>
        <w:t>,</w:t>
      </w:r>
      <w:r>
        <w:rPr>
          <w:szCs w:val="22"/>
        </w:rPr>
        <w:t>70</w:t>
      </w:r>
      <w:r w:rsidRPr="004738D6">
        <w:rPr>
          <w:szCs w:val="22"/>
        </w:rPr>
        <w:t xml:space="preserve"> euro aan belastingmaatregelen.</w:t>
      </w:r>
    </w:p>
    <w:p w:rsidR="007F4794" w:rsidRDefault="007F4794" w:rsidP="00D45EE2">
      <w:pPr>
        <w:jc w:val="both"/>
        <w:rPr>
          <w:szCs w:val="22"/>
        </w:rPr>
      </w:pPr>
    </w:p>
    <w:p w:rsidR="007F4794" w:rsidRPr="004738D6" w:rsidRDefault="007F4794" w:rsidP="00E04D50">
      <w:pPr>
        <w:ind w:left="360"/>
        <w:jc w:val="both"/>
        <w:rPr>
          <w:szCs w:val="22"/>
        </w:rPr>
      </w:pPr>
      <w:r w:rsidRPr="004738D6">
        <w:rPr>
          <w:szCs w:val="22"/>
        </w:rPr>
        <w:lastRenderedPageBreak/>
        <w:t xml:space="preserve">Het krediet voor de belastingmaatregel inzake de </w:t>
      </w:r>
      <w:proofErr w:type="spellStart"/>
      <w:r w:rsidRPr="004738D6">
        <w:rPr>
          <w:szCs w:val="22"/>
        </w:rPr>
        <w:t>winwinlening</w:t>
      </w:r>
      <w:proofErr w:type="spellEnd"/>
      <w:r w:rsidRPr="004738D6">
        <w:rPr>
          <w:szCs w:val="22"/>
        </w:rPr>
        <w:t xml:space="preserve"> </w:t>
      </w:r>
      <w:r>
        <w:rPr>
          <w:szCs w:val="22"/>
        </w:rPr>
        <w:t>is</w:t>
      </w:r>
      <w:r w:rsidRPr="004738D6">
        <w:rPr>
          <w:szCs w:val="22"/>
        </w:rPr>
        <w:t xml:space="preserve"> voorzien in de begroting van het Fonds voor Flankerend Economisch Beleid. </w:t>
      </w:r>
      <w:r w:rsidR="002F661B" w:rsidRPr="004738D6">
        <w:rPr>
          <w:szCs w:val="22"/>
        </w:rPr>
        <w:t xml:space="preserve">Voor de </w:t>
      </w:r>
      <w:r w:rsidR="002F661B">
        <w:rPr>
          <w:szCs w:val="22"/>
        </w:rPr>
        <w:t>renovatieovereenkomsten i</w:t>
      </w:r>
      <w:r w:rsidR="002F661B" w:rsidRPr="004738D6">
        <w:rPr>
          <w:szCs w:val="22"/>
        </w:rPr>
        <w:t>s het krediet in de algemene uitgavenbegroting voorzien</w:t>
      </w:r>
      <w:r w:rsidR="002F661B">
        <w:rPr>
          <w:szCs w:val="22"/>
        </w:rPr>
        <w:t>.</w:t>
      </w:r>
      <w:r w:rsidR="002F661B" w:rsidRPr="004738D6">
        <w:rPr>
          <w:szCs w:val="22"/>
        </w:rPr>
        <w:t xml:space="preserve"> </w:t>
      </w:r>
      <w:r w:rsidRPr="004738D6">
        <w:rPr>
          <w:szCs w:val="22"/>
        </w:rPr>
        <w:t xml:space="preserve">Voor </w:t>
      </w:r>
      <w:proofErr w:type="spellStart"/>
      <w:r w:rsidR="002F661B">
        <w:rPr>
          <w:szCs w:val="22"/>
        </w:rPr>
        <w:t>ARKimedes</w:t>
      </w:r>
      <w:proofErr w:type="spellEnd"/>
      <w:r w:rsidR="002F661B">
        <w:rPr>
          <w:szCs w:val="22"/>
        </w:rPr>
        <w:t xml:space="preserve"> wordt er vanaf aanslagjaar 2010 geen fiscaal voordeel meer toegekend. Voor de afwikkeling van de</w:t>
      </w:r>
      <w:r w:rsidR="00BF2079">
        <w:rPr>
          <w:szCs w:val="22"/>
        </w:rPr>
        <w:t>ze</w:t>
      </w:r>
      <w:r w:rsidR="002F661B">
        <w:rPr>
          <w:szCs w:val="22"/>
        </w:rPr>
        <w:t xml:space="preserve"> maatregel wordt er </w:t>
      </w:r>
      <w:r w:rsidRPr="004738D6">
        <w:rPr>
          <w:szCs w:val="22"/>
        </w:rPr>
        <w:t xml:space="preserve">in de algemene uitgavenbegroting </w:t>
      </w:r>
      <w:r w:rsidR="002F661B">
        <w:rPr>
          <w:szCs w:val="22"/>
        </w:rPr>
        <w:t xml:space="preserve">geen nieuw krediet meer </w:t>
      </w:r>
      <w:r w:rsidRPr="004738D6">
        <w:rPr>
          <w:szCs w:val="22"/>
        </w:rPr>
        <w:t>voorzien.</w:t>
      </w:r>
      <w:r w:rsidRPr="003A6D72">
        <w:rPr>
          <w:szCs w:val="22"/>
        </w:rPr>
        <w:t xml:space="preserve"> </w:t>
      </w:r>
      <w:r>
        <w:rPr>
          <w:szCs w:val="22"/>
        </w:rPr>
        <w:t>D</w:t>
      </w:r>
      <w:r w:rsidRPr="004738D6">
        <w:rPr>
          <w:szCs w:val="22"/>
        </w:rPr>
        <w:t xml:space="preserve">e belastingmaatregel inzake de </w:t>
      </w:r>
      <w:r>
        <w:rPr>
          <w:szCs w:val="22"/>
        </w:rPr>
        <w:t>forfaitaire vermindering personenbelasting eindigde met ingang van het aanslagjaar 2012.</w:t>
      </w:r>
      <w:r w:rsidR="002F661B">
        <w:rPr>
          <w:szCs w:val="22"/>
        </w:rPr>
        <w:t xml:space="preserve"> Ook voor deze maatregel wordt er </w:t>
      </w:r>
      <w:r w:rsidR="002F661B" w:rsidRPr="004738D6">
        <w:rPr>
          <w:szCs w:val="22"/>
        </w:rPr>
        <w:t xml:space="preserve">in de algemene uitgavenbegroting </w:t>
      </w:r>
      <w:r w:rsidR="002F661B">
        <w:rPr>
          <w:szCs w:val="22"/>
        </w:rPr>
        <w:t xml:space="preserve">geen nieuw krediet meer </w:t>
      </w:r>
      <w:r w:rsidR="002F661B" w:rsidRPr="004738D6">
        <w:rPr>
          <w:szCs w:val="22"/>
        </w:rPr>
        <w:t>voorzien.</w:t>
      </w:r>
    </w:p>
    <w:p w:rsidR="002C342C" w:rsidRDefault="002C342C">
      <w:pPr>
        <w:rPr>
          <w:szCs w:val="22"/>
        </w:rPr>
      </w:pPr>
    </w:p>
    <w:p w:rsidR="00D45EE2" w:rsidRPr="004738D6" w:rsidRDefault="00D45EE2" w:rsidP="00E04D50">
      <w:pPr>
        <w:spacing w:after="120"/>
        <w:ind w:left="360"/>
        <w:rPr>
          <w:b/>
          <w:sz w:val="20"/>
          <w:szCs w:val="20"/>
        </w:rPr>
      </w:pPr>
      <w:r w:rsidRPr="004738D6">
        <w:rPr>
          <w:b/>
          <w:sz w:val="20"/>
          <w:szCs w:val="20"/>
        </w:rPr>
        <w:t xml:space="preserve">Tabel </w:t>
      </w:r>
      <w:r w:rsidR="002C342C">
        <w:rPr>
          <w:b/>
          <w:sz w:val="20"/>
          <w:szCs w:val="20"/>
        </w:rPr>
        <w:t>3</w:t>
      </w:r>
      <w:r w:rsidRPr="004738D6">
        <w:rPr>
          <w:b/>
          <w:sz w:val="20"/>
          <w:szCs w:val="20"/>
        </w:rPr>
        <w:t xml:space="preserve"> : Begrotingskredieten 201</w:t>
      </w:r>
      <w:r>
        <w:rPr>
          <w:b/>
          <w:sz w:val="20"/>
          <w:szCs w:val="20"/>
        </w:rPr>
        <w:t>3</w:t>
      </w:r>
      <w:r w:rsidRPr="004738D6">
        <w:rPr>
          <w:b/>
          <w:sz w:val="20"/>
          <w:szCs w:val="20"/>
        </w:rPr>
        <w:t xml:space="preserve"> per belastingmaatregel</w:t>
      </w:r>
    </w:p>
    <w:p w:rsidR="00D45EE2" w:rsidRDefault="00D45EE2" w:rsidP="00E13387">
      <w:pPr>
        <w:jc w:val="both"/>
        <w:rPr>
          <w:szCs w:val="22"/>
        </w:rPr>
      </w:pPr>
      <w:r w:rsidRPr="00D45EE2">
        <w:rPr>
          <w:noProof/>
          <w:lang w:val="nl-BE" w:eastAsia="nl-BE"/>
        </w:rPr>
        <w:drawing>
          <wp:inline distT="0" distB="0" distL="0" distR="0">
            <wp:extent cx="2703195" cy="3411220"/>
            <wp:effectExtent l="0" t="0" r="190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195" cy="3411220"/>
                    </a:xfrm>
                    <a:prstGeom prst="rect">
                      <a:avLst/>
                    </a:prstGeom>
                    <a:noFill/>
                    <a:ln>
                      <a:noFill/>
                    </a:ln>
                  </pic:spPr>
                </pic:pic>
              </a:graphicData>
            </a:graphic>
          </wp:inline>
        </w:drawing>
      </w:r>
    </w:p>
    <w:p w:rsidR="00D45EE2" w:rsidRDefault="00D45EE2" w:rsidP="00E13387">
      <w:pPr>
        <w:jc w:val="both"/>
        <w:rPr>
          <w:szCs w:val="22"/>
        </w:rPr>
      </w:pPr>
      <w:bookmarkStart w:id="8" w:name="_GoBack"/>
      <w:bookmarkEnd w:id="8"/>
    </w:p>
    <w:sectPr w:rsidR="00D45EE2"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17" w:rsidRDefault="00DF6C17">
      <w:r>
        <w:separator/>
      </w:r>
    </w:p>
  </w:endnote>
  <w:endnote w:type="continuationSeparator" w:id="0">
    <w:p w:rsidR="00DF6C17" w:rsidRDefault="00DF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17" w:rsidRDefault="00DF6C17">
      <w:r>
        <w:separator/>
      </w:r>
    </w:p>
  </w:footnote>
  <w:footnote w:type="continuationSeparator" w:id="0">
    <w:p w:rsidR="00DF6C17" w:rsidRDefault="00DF6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E6B"/>
    <w:multiLevelType w:val="hybridMultilevel"/>
    <w:tmpl w:val="37F8A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EF96242"/>
    <w:multiLevelType w:val="hybridMultilevel"/>
    <w:tmpl w:val="600889C2"/>
    <w:lvl w:ilvl="0" w:tplc="4DE47FAA">
      <w:start w:val="1"/>
      <w:numFmt w:val="decimal"/>
      <w:lvlText w:val="%1."/>
      <w:lvlJc w:val="left"/>
      <w:pPr>
        <w:ind w:left="360" w:hanging="360"/>
      </w:pPr>
      <w:rPr>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C085919"/>
    <w:multiLevelType w:val="hybridMultilevel"/>
    <w:tmpl w:val="D4A44E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701940CF"/>
    <w:multiLevelType w:val="hybridMultilevel"/>
    <w:tmpl w:val="B3F661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6BB2B7F"/>
    <w:multiLevelType w:val="hybridMultilevel"/>
    <w:tmpl w:val="1C30AEA4"/>
    <w:lvl w:ilvl="0" w:tplc="DA487AB6">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3"/>
  </w:num>
  <w:num w:numId="5">
    <w:abstractNumId w:val="0"/>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086C"/>
    <w:rsid w:val="00004AD4"/>
    <w:rsid w:val="00011AA3"/>
    <w:rsid w:val="00014048"/>
    <w:rsid w:val="00021EEA"/>
    <w:rsid w:val="00032676"/>
    <w:rsid w:val="00042574"/>
    <w:rsid w:val="00053212"/>
    <w:rsid w:val="00060CAF"/>
    <w:rsid w:val="00075C09"/>
    <w:rsid w:val="00077CB6"/>
    <w:rsid w:val="00092E90"/>
    <w:rsid w:val="000976E9"/>
    <w:rsid w:val="000B52C0"/>
    <w:rsid w:val="000C2BF2"/>
    <w:rsid w:val="000C4E8C"/>
    <w:rsid w:val="000C6AC4"/>
    <w:rsid w:val="000F3532"/>
    <w:rsid w:val="000F5E2F"/>
    <w:rsid w:val="000F770B"/>
    <w:rsid w:val="00107795"/>
    <w:rsid w:val="00113D30"/>
    <w:rsid w:val="001155A0"/>
    <w:rsid w:val="00115A86"/>
    <w:rsid w:val="00117812"/>
    <w:rsid w:val="00131E6B"/>
    <w:rsid w:val="001330FD"/>
    <w:rsid w:val="00143142"/>
    <w:rsid w:val="00162ED2"/>
    <w:rsid w:val="00175898"/>
    <w:rsid w:val="0018194B"/>
    <w:rsid w:val="0018437F"/>
    <w:rsid w:val="001C35F4"/>
    <w:rsid w:val="001C385B"/>
    <w:rsid w:val="001C6D2A"/>
    <w:rsid w:val="001C767D"/>
    <w:rsid w:val="00210C07"/>
    <w:rsid w:val="002200AB"/>
    <w:rsid w:val="00256EF6"/>
    <w:rsid w:val="00261F71"/>
    <w:rsid w:val="00276CB9"/>
    <w:rsid w:val="0029398C"/>
    <w:rsid w:val="002A71C2"/>
    <w:rsid w:val="002A7BA2"/>
    <w:rsid w:val="002B5D7E"/>
    <w:rsid w:val="002C342C"/>
    <w:rsid w:val="002F661B"/>
    <w:rsid w:val="0031095D"/>
    <w:rsid w:val="0031399E"/>
    <w:rsid w:val="00326A58"/>
    <w:rsid w:val="003329E8"/>
    <w:rsid w:val="003568BA"/>
    <w:rsid w:val="00357979"/>
    <w:rsid w:val="00365143"/>
    <w:rsid w:val="003750AC"/>
    <w:rsid w:val="003917F8"/>
    <w:rsid w:val="00397AD0"/>
    <w:rsid w:val="003A6D72"/>
    <w:rsid w:val="003B2089"/>
    <w:rsid w:val="003C33C2"/>
    <w:rsid w:val="003E54EA"/>
    <w:rsid w:val="0043146D"/>
    <w:rsid w:val="00432AB7"/>
    <w:rsid w:val="00436455"/>
    <w:rsid w:val="0046163C"/>
    <w:rsid w:val="004616FD"/>
    <w:rsid w:val="00462A1F"/>
    <w:rsid w:val="004809DA"/>
    <w:rsid w:val="004B09E8"/>
    <w:rsid w:val="004B2A99"/>
    <w:rsid w:val="004C133F"/>
    <w:rsid w:val="004C1A8D"/>
    <w:rsid w:val="004E548B"/>
    <w:rsid w:val="00533092"/>
    <w:rsid w:val="00542EC1"/>
    <w:rsid w:val="00576B7F"/>
    <w:rsid w:val="00576E83"/>
    <w:rsid w:val="00586236"/>
    <w:rsid w:val="005A049B"/>
    <w:rsid w:val="005A1502"/>
    <w:rsid w:val="005B50D5"/>
    <w:rsid w:val="005B6D83"/>
    <w:rsid w:val="005B757C"/>
    <w:rsid w:val="005D0823"/>
    <w:rsid w:val="005D17E7"/>
    <w:rsid w:val="005E38CA"/>
    <w:rsid w:val="005F3B71"/>
    <w:rsid w:val="00601D11"/>
    <w:rsid w:val="006114D8"/>
    <w:rsid w:val="00613AA2"/>
    <w:rsid w:val="006229AE"/>
    <w:rsid w:val="006260E2"/>
    <w:rsid w:val="006458A8"/>
    <w:rsid w:val="00652920"/>
    <w:rsid w:val="006A3837"/>
    <w:rsid w:val="006B7E6F"/>
    <w:rsid w:val="006C5EEB"/>
    <w:rsid w:val="006E2F76"/>
    <w:rsid w:val="006E3A68"/>
    <w:rsid w:val="007103D2"/>
    <w:rsid w:val="0071248C"/>
    <w:rsid w:val="007252C7"/>
    <w:rsid w:val="00747203"/>
    <w:rsid w:val="0077074F"/>
    <w:rsid w:val="00771A6F"/>
    <w:rsid w:val="0078256A"/>
    <w:rsid w:val="00786938"/>
    <w:rsid w:val="007B21BB"/>
    <w:rsid w:val="007B3B3D"/>
    <w:rsid w:val="007C7B7A"/>
    <w:rsid w:val="007D0E2A"/>
    <w:rsid w:val="007D2CE5"/>
    <w:rsid w:val="007D3128"/>
    <w:rsid w:val="007F4794"/>
    <w:rsid w:val="008112DC"/>
    <w:rsid w:val="008241FD"/>
    <w:rsid w:val="00826146"/>
    <w:rsid w:val="00851FDB"/>
    <w:rsid w:val="00854D89"/>
    <w:rsid w:val="00873C65"/>
    <w:rsid w:val="00893610"/>
    <w:rsid w:val="008970B7"/>
    <w:rsid w:val="008B70E8"/>
    <w:rsid w:val="008D5DB4"/>
    <w:rsid w:val="009058B7"/>
    <w:rsid w:val="00924130"/>
    <w:rsid w:val="009300D6"/>
    <w:rsid w:val="00940861"/>
    <w:rsid w:val="00941C06"/>
    <w:rsid w:val="00944B1F"/>
    <w:rsid w:val="00947E8A"/>
    <w:rsid w:val="00953DDC"/>
    <w:rsid w:val="00954DC8"/>
    <w:rsid w:val="00957C5B"/>
    <w:rsid w:val="009663B8"/>
    <w:rsid w:val="00990DDA"/>
    <w:rsid w:val="0099419F"/>
    <w:rsid w:val="00995BF9"/>
    <w:rsid w:val="009C2AA0"/>
    <w:rsid w:val="009D6AD7"/>
    <w:rsid w:val="009D7043"/>
    <w:rsid w:val="009D763F"/>
    <w:rsid w:val="009E729D"/>
    <w:rsid w:val="009F5B1B"/>
    <w:rsid w:val="009F70E6"/>
    <w:rsid w:val="009F7125"/>
    <w:rsid w:val="00A06690"/>
    <w:rsid w:val="00A075B3"/>
    <w:rsid w:val="00A10835"/>
    <w:rsid w:val="00A21360"/>
    <w:rsid w:val="00A32CAA"/>
    <w:rsid w:val="00A737E8"/>
    <w:rsid w:val="00A81356"/>
    <w:rsid w:val="00A9424B"/>
    <w:rsid w:val="00A947B3"/>
    <w:rsid w:val="00AC2749"/>
    <w:rsid w:val="00AC572C"/>
    <w:rsid w:val="00AD6E12"/>
    <w:rsid w:val="00AE58C0"/>
    <w:rsid w:val="00AE75BA"/>
    <w:rsid w:val="00AF1FF0"/>
    <w:rsid w:val="00B05DD7"/>
    <w:rsid w:val="00B1090C"/>
    <w:rsid w:val="00B233AB"/>
    <w:rsid w:val="00B31BD2"/>
    <w:rsid w:val="00B45EB2"/>
    <w:rsid w:val="00B46B8C"/>
    <w:rsid w:val="00B51A62"/>
    <w:rsid w:val="00B523F1"/>
    <w:rsid w:val="00B65213"/>
    <w:rsid w:val="00B65D8D"/>
    <w:rsid w:val="00B91194"/>
    <w:rsid w:val="00BA19B4"/>
    <w:rsid w:val="00BC1DB7"/>
    <w:rsid w:val="00BC4515"/>
    <w:rsid w:val="00BE425A"/>
    <w:rsid w:val="00BE47CC"/>
    <w:rsid w:val="00BE5061"/>
    <w:rsid w:val="00BF2079"/>
    <w:rsid w:val="00C12557"/>
    <w:rsid w:val="00C16D61"/>
    <w:rsid w:val="00C23819"/>
    <w:rsid w:val="00C51D62"/>
    <w:rsid w:val="00C72A18"/>
    <w:rsid w:val="00C9146B"/>
    <w:rsid w:val="00C94C4A"/>
    <w:rsid w:val="00CA3C19"/>
    <w:rsid w:val="00CA45DB"/>
    <w:rsid w:val="00CD6EFD"/>
    <w:rsid w:val="00CE1D4A"/>
    <w:rsid w:val="00CE6203"/>
    <w:rsid w:val="00CF525E"/>
    <w:rsid w:val="00CF6877"/>
    <w:rsid w:val="00D00C63"/>
    <w:rsid w:val="00D03C03"/>
    <w:rsid w:val="00D06C22"/>
    <w:rsid w:val="00D13702"/>
    <w:rsid w:val="00D20DEB"/>
    <w:rsid w:val="00D30EAF"/>
    <w:rsid w:val="00D41ABB"/>
    <w:rsid w:val="00D45EE2"/>
    <w:rsid w:val="00D55B53"/>
    <w:rsid w:val="00D64160"/>
    <w:rsid w:val="00D65ABD"/>
    <w:rsid w:val="00D71D99"/>
    <w:rsid w:val="00D754F2"/>
    <w:rsid w:val="00D76B03"/>
    <w:rsid w:val="00D84C17"/>
    <w:rsid w:val="00D861C5"/>
    <w:rsid w:val="00DB41C0"/>
    <w:rsid w:val="00DC32B0"/>
    <w:rsid w:val="00DC4DB6"/>
    <w:rsid w:val="00DF25FE"/>
    <w:rsid w:val="00DF6C17"/>
    <w:rsid w:val="00E04D50"/>
    <w:rsid w:val="00E13387"/>
    <w:rsid w:val="00E13862"/>
    <w:rsid w:val="00E3639A"/>
    <w:rsid w:val="00E55200"/>
    <w:rsid w:val="00E62E37"/>
    <w:rsid w:val="00E663EC"/>
    <w:rsid w:val="00EA0884"/>
    <w:rsid w:val="00EB1AA4"/>
    <w:rsid w:val="00EC6B11"/>
    <w:rsid w:val="00EE566C"/>
    <w:rsid w:val="00F37CFC"/>
    <w:rsid w:val="00F41B70"/>
    <w:rsid w:val="00F50C62"/>
    <w:rsid w:val="00F64498"/>
    <w:rsid w:val="00F7383B"/>
    <w:rsid w:val="00F77692"/>
    <w:rsid w:val="00F93E23"/>
    <w:rsid w:val="00FA29D6"/>
    <w:rsid w:val="00FD5BF4"/>
    <w:rsid w:val="00FE0132"/>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533092"/>
    <w:pPr>
      <w:ind w:left="720"/>
      <w:contextualSpacing/>
    </w:pPr>
  </w:style>
  <w:style w:type="paragraph" w:customStyle="1" w:styleId="StandaardSV">
    <w:name w:val="Standaard SV"/>
    <w:basedOn w:val="Standaard"/>
    <w:rsid w:val="00B1090C"/>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533092"/>
    <w:pPr>
      <w:ind w:left="720"/>
      <w:contextualSpacing/>
    </w:pPr>
  </w:style>
  <w:style w:type="paragraph" w:customStyle="1" w:styleId="StandaardSV">
    <w:name w:val="Standaard SV"/>
    <w:basedOn w:val="Standaard"/>
    <w:rsid w:val="00B1090C"/>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534">
      <w:bodyDiv w:val="1"/>
      <w:marLeft w:val="0"/>
      <w:marRight w:val="0"/>
      <w:marTop w:val="0"/>
      <w:marBottom w:val="0"/>
      <w:divBdr>
        <w:top w:val="none" w:sz="0" w:space="0" w:color="auto"/>
        <w:left w:val="none" w:sz="0" w:space="0" w:color="auto"/>
        <w:bottom w:val="none" w:sz="0" w:space="0" w:color="auto"/>
        <w:right w:val="none" w:sz="0" w:space="0" w:color="auto"/>
      </w:divBdr>
    </w:div>
    <w:div w:id="120728914">
      <w:bodyDiv w:val="1"/>
      <w:marLeft w:val="0"/>
      <w:marRight w:val="0"/>
      <w:marTop w:val="0"/>
      <w:marBottom w:val="0"/>
      <w:divBdr>
        <w:top w:val="none" w:sz="0" w:space="0" w:color="auto"/>
        <w:left w:val="none" w:sz="0" w:space="0" w:color="auto"/>
        <w:bottom w:val="none" w:sz="0" w:space="0" w:color="auto"/>
        <w:right w:val="none" w:sz="0" w:space="0" w:color="auto"/>
      </w:divBdr>
    </w:div>
    <w:div w:id="247616461">
      <w:bodyDiv w:val="1"/>
      <w:marLeft w:val="0"/>
      <w:marRight w:val="0"/>
      <w:marTop w:val="0"/>
      <w:marBottom w:val="0"/>
      <w:divBdr>
        <w:top w:val="none" w:sz="0" w:space="0" w:color="auto"/>
        <w:left w:val="none" w:sz="0" w:space="0" w:color="auto"/>
        <w:bottom w:val="none" w:sz="0" w:space="0" w:color="auto"/>
        <w:right w:val="none" w:sz="0" w:space="0" w:color="auto"/>
      </w:divBdr>
    </w:div>
    <w:div w:id="314455214">
      <w:bodyDiv w:val="1"/>
      <w:marLeft w:val="0"/>
      <w:marRight w:val="0"/>
      <w:marTop w:val="0"/>
      <w:marBottom w:val="0"/>
      <w:divBdr>
        <w:top w:val="none" w:sz="0" w:space="0" w:color="auto"/>
        <w:left w:val="none" w:sz="0" w:space="0" w:color="auto"/>
        <w:bottom w:val="none" w:sz="0" w:space="0" w:color="auto"/>
        <w:right w:val="none" w:sz="0" w:space="0" w:color="auto"/>
      </w:divBdr>
    </w:div>
    <w:div w:id="456681579">
      <w:bodyDiv w:val="1"/>
      <w:marLeft w:val="0"/>
      <w:marRight w:val="0"/>
      <w:marTop w:val="0"/>
      <w:marBottom w:val="0"/>
      <w:divBdr>
        <w:top w:val="none" w:sz="0" w:space="0" w:color="auto"/>
        <w:left w:val="none" w:sz="0" w:space="0" w:color="auto"/>
        <w:bottom w:val="none" w:sz="0" w:space="0" w:color="auto"/>
        <w:right w:val="none" w:sz="0" w:space="0" w:color="auto"/>
      </w:divBdr>
    </w:div>
    <w:div w:id="903031818">
      <w:bodyDiv w:val="1"/>
      <w:marLeft w:val="0"/>
      <w:marRight w:val="0"/>
      <w:marTop w:val="0"/>
      <w:marBottom w:val="0"/>
      <w:divBdr>
        <w:top w:val="none" w:sz="0" w:space="0" w:color="auto"/>
        <w:left w:val="none" w:sz="0" w:space="0" w:color="auto"/>
        <w:bottom w:val="none" w:sz="0" w:space="0" w:color="auto"/>
        <w:right w:val="none" w:sz="0" w:space="0" w:color="auto"/>
      </w:divBdr>
    </w:div>
    <w:div w:id="958534672">
      <w:bodyDiv w:val="1"/>
      <w:marLeft w:val="0"/>
      <w:marRight w:val="0"/>
      <w:marTop w:val="0"/>
      <w:marBottom w:val="0"/>
      <w:divBdr>
        <w:top w:val="none" w:sz="0" w:space="0" w:color="auto"/>
        <w:left w:val="none" w:sz="0" w:space="0" w:color="auto"/>
        <w:bottom w:val="none" w:sz="0" w:space="0" w:color="auto"/>
        <w:right w:val="none" w:sz="0" w:space="0" w:color="auto"/>
      </w:divBdr>
    </w:div>
    <w:div w:id="1116023835">
      <w:bodyDiv w:val="1"/>
      <w:marLeft w:val="0"/>
      <w:marRight w:val="0"/>
      <w:marTop w:val="0"/>
      <w:marBottom w:val="0"/>
      <w:divBdr>
        <w:top w:val="none" w:sz="0" w:space="0" w:color="auto"/>
        <w:left w:val="none" w:sz="0" w:space="0" w:color="auto"/>
        <w:bottom w:val="none" w:sz="0" w:space="0" w:color="auto"/>
        <w:right w:val="none" w:sz="0" w:space="0" w:color="auto"/>
      </w:divBdr>
    </w:div>
    <w:div w:id="1362247320">
      <w:bodyDiv w:val="1"/>
      <w:marLeft w:val="0"/>
      <w:marRight w:val="0"/>
      <w:marTop w:val="0"/>
      <w:marBottom w:val="0"/>
      <w:divBdr>
        <w:top w:val="none" w:sz="0" w:space="0" w:color="auto"/>
        <w:left w:val="none" w:sz="0" w:space="0" w:color="auto"/>
        <w:bottom w:val="none" w:sz="0" w:space="0" w:color="auto"/>
        <w:right w:val="none" w:sz="0" w:space="0" w:color="auto"/>
      </w:divBdr>
    </w:div>
    <w:div w:id="1580284503">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673678567">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9676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5468-F9C2-470C-AF47-DC190465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13</TotalTime>
  <Pages>3</Pages>
  <Words>681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2013-03-05T09:45:00Z</cp:lastPrinted>
  <dcterms:created xsi:type="dcterms:W3CDTF">2013-05-13T14:15:00Z</dcterms:created>
  <dcterms:modified xsi:type="dcterms:W3CDTF">2013-05-16T11:48:00Z</dcterms:modified>
</cp:coreProperties>
</file>