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4E9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B4E9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bookmarkStart w:id="2" w:name="_GoBack"/>
      <w:bookmarkEnd w:id="2"/>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7B4E9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4E98" w:rsidRPr="00326A58">
        <w:rPr>
          <w:b w:val="0"/>
        </w:rPr>
      </w:r>
      <w:r w:rsidR="007B4E98" w:rsidRPr="00326A58">
        <w:rPr>
          <w:b w:val="0"/>
        </w:rPr>
        <w:fldChar w:fldCharType="separate"/>
      </w:r>
      <w:r w:rsidR="00CF2BE6">
        <w:rPr>
          <w:b w:val="0"/>
          <w:noProof/>
        </w:rPr>
        <w:t>404</w:t>
      </w:r>
      <w:r w:rsidR="007B4E98"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7B4E9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4E98">
        <w:rPr>
          <w:b w:val="0"/>
        </w:rPr>
      </w:r>
      <w:r w:rsidR="007B4E98">
        <w:rPr>
          <w:b w:val="0"/>
        </w:rPr>
        <w:fldChar w:fldCharType="separate"/>
      </w:r>
      <w:r w:rsidR="00CF2BE6">
        <w:rPr>
          <w:b w:val="0"/>
          <w:noProof/>
        </w:rPr>
        <w:t>16</w:t>
      </w:r>
      <w:r w:rsidR="007B4E98">
        <w:rPr>
          <w:b w:val="0"/>
        </w:rPr>
        <w:fldChar w:fldCharType="end"/>
      </w:r>
      <w:bookmarkEnd w:id="4"/>
      <w:r w:rsidRPr="00326A58">
        <w:rPr>
          <w:b w:val="0"/>
        </w:rPr>
        <w:t xml:space="preserve"> </w:t>
      </w:r>
      <w:bookmarkStart w:id="5" w:name="Dropdown2"/>
      <w:r w:rsidR="007B4E98">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4E98">
        <w:rPr>
          <w:b w:val="0"/>
        </w:rPr>
      </w:r>
      <w:r w:rsidR="007B4E98">
        <w:rPr>
          <w:b w:val="0"/>
        </w:rPr>
        <w:fldChar w:fldCharType="end"/>
      </w:r>
      <w:bookmarkEnd w:id="5"/>
      <w:r w:rsidRPr="00326A58">
        <w:rPr>
          <w:b w:val="0"/>
        </w:rPr>
        <w:t xml:space="preserve"> </w:t>
      </w:r>
      <w:bookmarkStart w:id="6" w:name="Dropdown3"/>
      <w:r w:rsidR="007B4E9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4E98">
        <w:rPr>
          <w:b w:val="0"/>
        </w:rPr>
      </w:r>
      <w:r w:rsidR="007B4E98">
        <w:rPr>
          <w:b w:val="0"/>
        </w:rPr>
        <w:fldChar w:fldCharType="end"/>
      </w:r>
      <w:bookmarkEnd w:id="6"/>
    </w:p>
    <w:p w:rsidR="000976E9" w:rsidRDefault="000976E9" w:rsidP="000976E9">
      <w:pPr>
        <w:rPr>
          <w:szCs w:val="22"/>
        </w:rPr>
      </w:pPr>
      <w:r>
        <w:rPr>
          <w:szCs w:val="22"/>
        </w:rPr>
        <w:t xml:space="preserve">van </w:t>
      </w:r>
      <w:r w:rsidR="007B4E9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4E98" w:rsidRPr="009D7043">
        <w:rPr>
          <w:rStyle w:val="AntwoordNaamMinisterChar"/>
        </w:rPr>
      </w:r>
      <w:r w:rsidR="007B4E98" w:rsidRPr="009D7043">
        <w:rPr>
          <w:rStyle w:val="AntwoordNaamMinisterChar"/>
        </w:rPr>
        <w:fldChar w:fldCharType="separate"/>
      </w:r>
      <w:r w:rsidR="00CF2BE6">
        <w:rPr>
          <w:rStyle w:val="AntwoordNaamMinisterChar"/>
        </w:rPr>
        <w:t>robrecht bothuyne</w:t>
      </w:r>
      <w:r w:rsidR="007B4E9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F2BE6" w:rsidRDefault="00CF2BE6" w:rsidP="00CF2BE6">
      <w:pPr>
        <w:numPr>
          <w:ilvl w:val="0"/>
          <w:numId w:val="3"/>
        </w:numPr>
        <w:jc w:val="both"/>
        <w:rPr>
          <w:szCs w:val="22"/>
        </w:rPr>
      </w:pPr>
      <w:r>
        <w:rPr>
          <w:szCs w:val="22"/>
        </w:rPr>
        <w:lastRenderedPageBreak/>
        <w:t>Als bijlage gaan twee tabellen (een voor de premies aan de  niet-huishoudelijke doelgroep in 2011 en een voor 2010) met daarin telkens per actie en per netbeheerder het aantal en het bedrag aan  uitbetaalde premies. De cijfers voor 2012 worden, zoals de vraagsteller zelf aangeeft, pas tegen 1 mei aangeleverd door de netbeheerders en kunnen dan ook op dit ogenblik nog niet gegeven worden. Een verdere opsplitsing inzake de premies voor niet-huishoudens wordt door het Vlaams Energieagentschap niet gemaakt.</w:t>
      </w:r>
    </w:p>
    <w:p w:rsidR="00C932E4" w:rsidRDefault="00C932E4" w:rsidP="00C932E4">
      <w:pPr>
        <w:jc w:val="both"/>
        <w:rPr>
          <w:szCs w:val="22"/>
        </w:rPr>
      </w:pPr>
    </w:p>
    <w:p w:rsidR="00CF2BE6" w:rsidRDefault="00CF2BE6" w:rsidP="00CF2BE6">
      <w:pPr>
        <w:numPr>
          <w:ilvl w:val="0"/>
          <w:numId w:val="3"/>
        </w:numPr>
        <w:jc w:val="both"/>
        <w:rPr>
          <w:szCs w:val="22"/>
        </w:rPr>
      </w:pPr>
      <w:r>
        <w:rPr>
          <w:szCs w:val="22"/>
        </w:rPr>
        <w:t>De netbeheerders rapporteren enkel over goedgekeurde premies en niet over de aangevraagde premies. Er werd dan ook geen analyse uitgevoerd op de aangevraagde premies voor steun na audit.</w:t>
      </w:r>
    </w:p>
    <w:p w:rsidR="00C932E4" w:rsidRDefault="00C932E4" w:rsidP="00C932E4">
      <w:pPr>
        <w:ind w:left="360"/>
        <w:jc w:val="both"/>
        <w:rPr>
          <w:szCs w:val="22"/>
        </w:rPr>
      </w:pPr>
    </w:p>
    <w:p w:rsidR="00CF2BE6" w:rsidRDefault="00CF2BE6" w:rsidP="00CF2BE6">
      <w:pPr>
        <w:numPr>
          <w:ilvl w:val="0"/>
          <w:numId w:val="3"/>
        </w:numPr>
        <w:jc w:val="both"/>
        <w:rPr>
          <w:szCs w:val="22"/>
        </w:rPr>
      </w:pPr>
      <w:r>
        <w:rPr>
          <w:szCs w:val="22"/>
        </w:rPr>
        <w:t xml:space="preserve">In de aangeleverde tabellen voor het antwoord op vraag 1, is </w:t>
      </w:r>
      <w:proofErr w:type="spellStart"/>
      <w:r>
        <w:rPr>
          <w:szCs w:val="22"/>
        </w:rPr>
        <w:t>ondermeer</w:t>
      </w:r>
      <w:proofErr w:type="spellEnd"/>
      <w:r>
        <w:rPr>
          <w:szCs w:val="22"/>
        </w:rPr>
        <w:t xml:space="preserve"> de actie ‘REG-steun na audit’ opgenomen.</w:t>
      </w:r>
    </w:p>
    <w:p w:rsidR="00C932E4" w:rsidRDefault="00C932E4" w:rsidP="00C932E4">
      <w:pPr>
        <w:ind w:left="360"/>
        <w:jc w:val="both"/>
        <w:rPr>
          <w:szCs w:val="22"/>
        </w:rPr>
      </w:pPr>
    </w:p>
    <w:p w:rsidR="00CF2BE6" w:rsidRDefault="00CF2BE6" w:rsidP="00CF2BE6">
      <w:pPr>
        <w:numPr>
          <w:ilvl w:val="0"/>
          <w:numId w:val="3"/>
        </w:numPr>
        <w:jc w:val="both"/>
        <w:rPr>
          <w:szCs w:val="22"/>
        </w:rPr>
      </w:pPr>
      <w:r>
        <w:rPr>
          <w:szCs w:val="22"/>
        </w:rPr>
        <w:t>Er gelden geen budgetbeperkingen voor REG-premies. Het algemene principe is immers dat de kosten voor REG-premies integraal worden doorgerekend in de elektriciteitstarieven. Als uitzondering op deze algemene regel komt de Vlaamse Regering vanaf 2012 tot op bepaalde hoogte tussen voor alle door de netbeheerders gemaakte premiekosten voor residentiële gebouwen, zodat enkel een overschrijding van dit voorziene bedrag moet worden doorgerekend in de tarieven en de tarieven minstens gedeeltelijk kunnen worden ontlast. De concrete budgetten vanuit de Vlaamse begroting worden jaarlijks bepaald.</w:t>
      </w:r>
    </w:p>
    <w:p w:rsidR="00C932E4" w:rsidRDefault="00C932E4" w:rsidP="00C932E4">
      <w:pPr>
        <w:ind w:left="360"/>
        <w:jc w:val="both"/>
        <w:rPr>
          <w:szCs w:val="22"/>
        </w:rPr>
      </w:pPr>
    </w:p>
    <w:p w:rsidR="00CF2BE6" w:rsidRDefault="00CF2BE6" w:rsidP="00CF2BE6">
      <w:pPr>
        <w:numPr>
          <w:ilvl w:val="0"/>
          <w:numId w:val="3"/>
        </w:numPr>
        <w:jc w:val="both"/>
        <w:rPr>
          <w:szCs w:val="22"/>
        </w:rPr>
      </w:pPr>
      <w:r>
        <w:rPr>
          <w:szCs w:val="22"/>
        </w:rPr>
        <w:t>De voorbije jaren bleef het aantal uitgekeerde premies voor de niet-huishoudelijke doelgroep min of meer stabiel. Voor een concrete evaluatie van het nieuwe premiesysteem van kracht sinds 2012 is het vooralsnog te vroeg.</w:t>
      </w:r>
    </w:p>
    <w:p w:rsidR="00C932E4" w:rsidRDefault="00C932E4" w:rsidP="00C932E4">
      <w:pPr>
        <w:jc w:val="both"/>
        <w:rPr>
          <w:szCs w:val="22"/>
        </w:rPr>
      </w:pPr>
    </w:p>
    <w:p w:rsidR="00C932E4" w:rsidRDefault="00C932E4" w:rsidP="00C932E4">
      <w:pPr>
        <w:jc w:val="both"/>
        <w:rPr>
          <w:szCs w:val="22"/>
        </w:rPr>
      </w:pPr>
    </w:p>
    <w:p w:rsidR="00C932E4" w:rsidRDefault="00C932E4" w:rsidP="00C932E4">
      <w:pPr>
        <w:jc w:val="both"/>
        <w:rPr>
          <w:rFonts w:ascii="Times New Roman Vet" w:hAnsi="Times New Roman Vet"/>
          <w:b/>
          <w:smallCaps/>
          <w:color w:val="FF0000"/>
          <w:szCs w:val="22"/>
          <w:u w:val="single"/>
        </w:rPr>
      </w:pPr>
      <w:r>
        <w:rPr>
          <w:rFonts w:ascii="Times New Roman Vet" w:hAnsi="Times New Roman Vet"/>
          <w:b/>
          <w:smallCaps/>
          <w:color w:val="FF0000"/>
          <w:szCs w:val="22"/>
          <w:u w:val="single"/>
        </w:rPr>
        <w:t>bijlagen</w:t>
      </w:r>
    </w:p>
    <w:p w:rsidR="00C932E4" w:rsidRDefault="00C932E4" w:rsidP="00C932E4">
      <w:pPr>
        <w:jc w:val="both"/>
        <w:rPr>
          <w:rFonts w:ascii="Times New Roman Vet" w:hAnsi="Times New Roman Vet"/>
          <w:b/>
          <w:smallCaps/>
          <w:color w:val="FF0000"/>
          <w:szCs w:val="22"/>
          <w:u w:val="single"/>
        </w:rPr>
      </w:pPr>
    </w:p>
    <w:p w:rsidR="00C932E4" w:rsidRPr="00C932E4" w:rsidRDefault="00C932E4" w:rsidP="00C932E4">
      <w:pPr>
        <w:jc w:val="both"/>
        <w:rPr>
          <w:szCs w:val="22"/>
        </w:rPr>
      </w:pPr>
      <w:r>
        <w:rPr>
          <w:szCs w:val="22"/>
        </w:rPr>
        <w:t>Premies aan de niet-huishoudelijke doelgroep in 2011 en 2010</w:t>
      </w:r>
    </w:p>
    <w:p w:rsidR="00C932E4" w:rsidRDefault="00C932E4" w:rsidP="00C932E4">
      <w:pPr>
        <w:jc w:val="both"/>
        <w:rPr>
          <w:rFonts w:ascii="Times New Roman Vet" w:hAnsi="Times New Roman Vet"/>
          <w:b/>
          <w:smallCaps/>
          <w:color w:val="FF0000"/>
          <w:szCs w:val="22"/>
          <w:u w:val="single"/>
        </w:rPr>
      </w:pPr>
    </w:p>
    <w:p w:rsidR="00C932E4" w:rsidRPr="00C932E4" w:rsidRDefault="00C932E4" w:rsidP="00C932E4">
      <w:pPr>
        <w:jc w:val="both"/>
        <w:rPr>
          <w:szCs w:val="22"/>
          <w:u w:val="single"/>
        </w:rPr>
      </w:pPr>
    </w:p>
    <w:p w:rsidR="00FD5BF4" w:rsidRPr="00CF2BE6" w:rsidRDefault="00FD5BF4" w:rsidP="00FD5BF4">
      <w:pPr>
        <w:rPr>
          <w:b/>
        </w:rPr>
      </w:pPr>
    </w:p>
    <w:p w:rsidR="00917B6B" w:rsidRDefault="00917B6B" w:rsidP="00FD5BF4"/>
    <w:sectPr w:rsidR="00917B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B1C3C"/>
    <w:rsid w:val="00210C07"/>
    <w:rsid w:val="00326A58"/>
    <w:rsid w:val="003A470F"/>
    <w:rsid w:val="005E38CA"/>
    <w:rsid w:val="006563FB"/>
    <w:rsid w:val="0071248C"/>
    <w:rsid w:val="007252C7"/>
    <w:rsid w:val="007B4E98"/>
    <w:rsid w:val="008D1BFB"/>
    <w:rsid w:val="008D5DB4"/>
    <w:rsid w:val="00917B6B"/>
    <w:rsid w:val="009347E0"/>
    <w:rsid w:val="009D7043"/>
    <w:rsid w:val="00B45EB2"/>
    <w:rsid w:val="00BE425A"/>
    <w:rsid w:val="00C91441"/>
    <w:rsid w:val="00C932E4"/>
    <w:rsid w:val="00CF2BE6"/>
    <w:rsid w:val="00D154BB"/>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C932E4"/>
    <w:rPr>
      <w:rFonts w:ascii="Tahoma" w:hAnsi="Tahoma" w:cs="Tahoma"/>
      <w:sz w:val="16"/>
      <w:szCs w:val="16"/>
    </w:rPr>
  </w:style>
  <w:style w:type="character" w:customStyle="1" w:styleId="BallontekstChar">
    <w:name w:val="Ballontekst Char"/>
    <w:basedOn w:val="Standaardalinea-lettertype"/>
    <w:link w:val="Ballontekst"/>
    <w:rsid w:val="00C932E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C932E4"/>
    <w:rPr>
      <w:rFonts w:ascii="Tahoma" w:hAnsi="Tahoma" w:cs="Tahoma"/>
      <w:sz w:val="16"/>
      <w:szCs w:val="16"/>
    </w:rPr>
  </w:style>
  <w:style w:type="character" w:customStyle="1" w:styleId="BallontekstChar">
    <w:name w:val="Ballontekst Char"/>
    <w:basedOn w:val="Standaardalinea-lettertype"/>
    <w:link w:val="Ballontekst"/>
    <w:rsid w:val="00C932E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2013-05-02T10:23:00Z</cp:lastPrinted>
  <dcterms:created xsi:type="dcterms:W3CDTF">2013-05-16T08:48:00Z</dcterms:created>
  <dcterms:modified xsi:type="dcterms:W3CDTF">2013-05-16T08:48:00Z</dcterms:modified>
</cp:coreProperties>
</file>