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r w:rsidR="00521CDC">
        <w:rPr>
          <w:b w:val="0"/>
        </w:rPr>
        <w:t>433</w:t>
      </w:r>
      <w:r w:rsidRPr="00326A58">
        <w:rPr>
          <w:b w:val="0"/>
        </w:rPr>
        <w:t xml:space="preserve"> </w:t>
      </w:r>
      <w:r w:rsidRPr="00326A58">
        <w:rPr>
          <w:b w:val="0"/>
          <w:smallCaps w:val="0"/>
        </w:rPr>
        <w:t>van</w:t>
      </w:r>
      <w:r w:rsidRPr="00326A58">
        <w:rPr>
          <w:b w:val="0"/>
        </w:rPr>
        <w:t xml:space="preserve"> </w:t>
      </w:r>
      <w:bookmarkStart w:id="2" w:name="Dropdown2"/>
      <w:r w:rsidR="00521CDC">
        <w:rPr>
          <w:b w:val="0"/>
        </w:rPr>
        <w:t>19</w:t>
      </w:r>
      <w:r>
        <w:rPr>
          <w:b w:val="0"/>
        </w:rPr>
        <w:t xml:space="preserve"> </w:t>
      </w:r>
      <w:bookmarkEnd w:id="2"/>
      <w:r w:rsidR="00521CDC" w:rsidRPr="00521CDC">
        <w:rPr>
          <w:b w:val="0"/>
          <w:smallCaps w:val="0"/>
        </w:rPr>
        <w:t>april</w:t>
      </w:r>
      <w:r w:rsidRPr="00326A58">
        <w:rPr>
          <w:b w:val="0"/>
        </w:rPr>
        <w:t xml:space="preserve"> </w:t>
      </w:r>
      <w:r w:rsidR="00521CDC">
        <w:rPr>
          <w:b w:val="0"/>
        </w:rPr>
        <w:t>2013</w:t>
      </w:r>
    </w:p>
    <w:p w:rsidR="00C33DC6" w:rsidRDefault="00C33DC6" w:rsidP="00C33DC6">
      <w:pPr>
        <w:rPr>
          <w:szCs w:val="22"/>
        </w:rPr>
      </w:pPr>
      <w:r>
        <w:rPr>
          <w:szCs w:val="22"/>
        </w:rPr>
        <w:t xml:space="preserve">van </w:t>
      </w:r>
      <w:proofErr w:type="spellStart"/>
      <w:r w:rsidR="00521CDC">
        <w:rPr>
          <w:rStyle w:val="AntwoordNaamMinisterChar"/>
        </w:rPr>
        <w:t>veli</w:t>
      </w:r>
      <w:proofErr w:type="spellEnd"/>
      <w:r w:rsidR="00521CDC">
        <w:rPr>
          <w:rStyle w:val="AntwoordNaamMinisterChar"/>
        </w:rPr>
        <w:t xml:space="preserve"> </w:t>
      </w:r>
      <w:proofErr w:type="spellStart"/>
      <w:r w:rsidR="00521CDC">
        <w:rPr>
          <w:rStyle w:val="AntwoordNaamMinisterChar"/>
        </w:rPr>
        <w:t>yüksel</w:t>
      </w:r>
      <w:proofErr w:type="spellEnd"/>
    </w:p>
    <w:p w:rsidR="00C33DC6" w:rsidRPr="00015BF7" w:rsidRDefault="00C33DC6" w:rsidP="00C33DC6">
      <w:pPr>
        <w:rPr>
          <w:szCs w:val="22"/>
        </w:rPr>
      </w:pPr>
    </w:p>
    <w:p w:rsidR="00C33DC6" w:rsidRPr="00521CDC" w:rsidRDefault="00C33DC6" w:rsidP="00C33DC6">
      <w:pPr>
        <w:pStyle w:val="A-Lijn"/>
      </w:pPr>
    </w:p>
    <w:p w:rsidR="00C33DC6" w:rsidRPr="00521CDC" w:rsidRDefault="00C33DC6" w:rsidP="00C33DC6">
      <w:pPr>
        <w:pStyle w:val="A-Lijn"/>
      </w:pPr>
    </w:p>
    <w:p w:rsidR="00C33DC6" w:rsidRPr="00521CDC" w:rsidRDefault="00C33DC6" w:rsidP="00C33DC6">
      <w:pPr>
        <w:rPr>
          <w:szCs w:val="22"/>
        </w:rPr>
        <w:sectPr w:rsidR="00C33DC6" w:rsidRPr="00521CDC" w:rsidSect="003B3111">
          <w:type w:val="continuous"/>
          <w:pgSz w:w="11906" w:h="16838"/>
          <w:pgMar w:top="1417" w:right="1417" w:bottom="1417" w:left="1417" w:header="708" w:footer="708" w:gutter="0"/>
          <w:cols w:space="708"/>
          <w:docGrid w:linePitch="360"/>
        </w:sectPr>
      </w:pPr>
    </w:p>
    <w:p w:rsidR="00364D73" w:rsidRPr="00521CDC" w:rsidRDefault="00364D73" w:rsidP="00364D73">
      <w:pPr>
        <w:pStyle w:val="Lijstalinea"/>
        <w:numPr>
          <w:ilvl w:val="0"/>
          <w:numId w:val="1"/>
        </w:numPr>
        <w:ind w:left="284" w:hanging="284"/>
        <w:jc w:val="both"/>
        <w:rPr>
          <w:sz w:val="22"/>
          <w:szCs w:val="22"/>
        </w:rPr>
      </w:pPr>
      <w:r w:rsidRPr="00521CDC">
        <w:rPr>
          <w:sz w:val="22"/>
          <w:szCs w:val="22"/>
        </w:rPr>
        <w:lastRenderedPageBreak/>
        <w:t>Zie bijlage PV 433_BIJLAGE_1.docx (alternatieve procedure) en bijlage PV 433_BIJLAGE_2.docx (klassieke procedure).</w:t>
      </w:r>
    </w:p>
    <w:p w:rsidR="00364D73" w:rsidRPr="00521CDC" w:rsidRDefault="00364D73" w:rsidP="00364D73">
      <w:pPr>
        <w:pStyle w:val="Lijstalinea"/>
        <w:ind w:left="284" w:hanging="284"/>
        <w:jc w:val="both"/>
        <w:rPr>
          <w:sz w:val="22"/>
          <w:szCs w:val="22"/>
        </w:rPr>
      </w:pPr>
    </w:p>
    <w:p w:rsidR="00364D73" w:rsidRPr="00521CDC" w:rsidRDefault="00364D73" w:rsidP="00364D73">
      <w:pPr>
        <w:pStyle w:val="Lijstalinea"/>
        <w:numPr>
          <w:ilvl w:val="0"/>
          <w:numId w:val="1"/>
        </w:numPr>
        <w:ind w:left="284" w:hanging="284"/>
        <w:jc w:val="both"/>
        <w:rPr>
          <w:sz w:val="22"/>
          <w:szCs w:val="22"/>
        </w:rPr>
      </w:pPr>
      <w:r w:rsidRPr="00521CDC">
        <w:rPr>
          <w:sz w:val="22"/>
          <w:szCs w:val="22"/>
        </w:rPr>
        <w:t>Zie bijlage PV 433_BIJLAGE_1.docx (alternatieve procedure) en bijlage PV 433_BIJLAGE_2.docx (klassieke procedure).</w:t>
      </w:r>
    </w:p>
    <w:p w:rsidR="00364D73" w:rsidRPr="00521CDC" w:rsidRDefault="00364D73" w:rsidP="00364D73">
      <w:pPr>
        <w:pStyle w:val="StandaardSV"/>
        <w:ind w:left="284" w:hanging="284"/>
        <w:rPr>
          <w:szCs w:val="22"/>
        </w:rPr>
      </w:pPr>
    </w:p>
    <w:p w:rsidR="00364D73" w:rsidRPr="00521CDC" w:rsidRDefault="00364D73" w:rsidP="00364D73">
      <w:pPr>
        <w:pStyle w:val="Lijstalinea"/>
        <w:numPr>
          <w:ilvl w:val="0"/>
          <w:numId w:val="1"/>
        </w:numPr>
        <w:ind w:left="284" w:hanging="284"/>
        <w:jc w:val="both"/>
        <w:rPr>
          <w:sz w:val="22"/>
          <w:szCs w:val="22"/>
        </w:rPr>
      </w:pPr>
      <w:r w:rsidRPr="00521CDC">
        <w:rPr>
          <w:sz w:val="22"/>
          <w:szCs w:val="22"/>
        </w:rPr>
        <w:t>Zie bijlage PV 433_BIJLAGE_1.docx (alternatieve procedure) en bijlage PV 433_BIJLAGE_2.docx (klassieke procedure).</w:t>
      </w:r>
    </w:p>
    <w:p w:rsidR="00364D73" w:rsidRPr="00521CDC" w:rsidRDefault="00364D73" w:rsidP="00364D73">
      <w:pPr>
        <w:pStyle w:val="Lijstalinea"/>
        <w:ind w:left="284" w:hanging="284"/>
        <w:jc w:val="both"/>
        <w:rPr>
          <w:sz w:val="22"/>
          <w:szCs w:val="22"/>
        </w:rPr>
      </w:pPr>
    </w:p>
    <w:p w:rsidR="00364D73" w:rsidRPr="00521CDC" w:rsidRDefault="00364D73" w:rsidP="00364D73">
      <w:pPr>
        <w:pStyle w:val="StandaardSV"/>
        <w:numPr>
          <w:ilvl w:val="0"/>
          <w:numId w:val="1"/>
        </w:numPr>
        <w:ind w:left="284" w:hanging="284"/>
        <w:rPr>
          <w:szCs w:val="22"/>
        </w:rPr>
      </w:pPr>
      <w:r w:rsidRPr="00521CDC">
        <w:rPr>
          <w:szCs w:val="22"/>
        </w:rPr>
        <w:t>Alternatieve projecten: zie bijlage PV 433_BIJLAGE_1.docx.</w:t>
      </w:r>
    </w:p>
    <w:p w:rsidR="00364D73" w:rsidRPr="00521CDC" w:rsidRDefault="00364D73" w:rsidP="00364D73">
      <w:pPr>
        <w:pStyle w:val="StandaardSV"/>
        <w:ind w:left="284"/>
        <w:rPr>
          <w:szCs w:val="22"/>
        </w:rPr>
      </w:pPr>
      <w:r w:rsidRPr="00521CDC">
        <w:rPr>
          <w:szCs w:val="22"/>
        </w:rPr>
        <w:t>De timing van de afwerking van de dossiers alternatieve procedure is in principe ongeveer 21 jaar na de datum van het aanvangsbevel, daar de gebruikstoelagen in principe over een periode van 20 jaar uitbetaald worden .</w:t>
      </w:r>
    </w:p>
    <w:p w:rsidR="00364D73" w:rsidRPr="00521CDC" w:rsidRDefault="00364D73" w:rsidP="00364D73">
      <w:pPr>
        <w:pStyle w:val="StandaardSV"/>
        <w:ind w:left="284" w:hanging="284"/>
        <w:rPr>
          <w:szCs w:val="22"/>
        </w:rPr>
      </w:pPr>
    </w:p>
    <w:p w:rsidR="00364D73" w:rsidRPr="00521CDC" w:rsidRDefault="00364D73" w:rsidP="00364D73">
      <w:pPr>
        <w:pStyle w:val="StandaardSV"/>
        <w:ind w:left="284"/>
        <w:rPr>
          <w:szCs w:val="22"/>
        </w:rPr>
      </w:pPr>
      <w:r w:rsidRPr="00521CDC">
        <w:rPr>
          <w:szCs w:val="22"/>
        </w:rPr>
        <w:t xml:space="preserve">Klassieke projecten: zie  bijlage PV 433_BIJLAGE_2.docx. </w:t>
      </w:r>
    </w:p>
    <w:p w:rsidR="00364D73" w:rsidRPr="00521CDC" w:rsidRDefault="00364D73" w:rsidP="00364D73">
      <w:pPr>
        <w:pStyle w:val="StandaardSV"/>
        <w:ind w:left="284"/>
        <w:rPr>
          <w:szCs w:val="22"/>
        </w:rPr>
      </w:pPr>
      <w:r w:rsidRPr="00521CDC">
        <w:rPr>
          <w:szCs w:val="22"/>
        </w:rPr>
        <w:t>De timing van de afwerking van de klassieke dossiers is ongeveer hetzelfde jaar van de voorlopige oplevering van het project, meestal binnen de 2 maanden na de oplevering.</w:t>
      </w:r>
    </w:p>
    <w:p w:rsidR="00364D73" w:rsidRPr="00521CDC" w:rsidRDefault="00364D73" w:rsidP="00364D73">
      <w:pPr>
        <w:pStyle w:val="StandaardSV"/>
        <w:rPr>
          <w:szCs w:val="22"/>
        </w:rPr>
      </w:pPr>
    </w:p>
    <w:p w:rsidR="00364D73" w:rsidRPr="00521CDC" w:rsidRDefault="00364D73" w:rsidP="00364D73">
      <w:pPr>
        <w:jc w:val="both"/>
        <w:rPr>
          <w:szCs w:val="22"/>
        </w:rPr>
      </w:pPr>
      <w:r w:rsidRPr="00521CDC">
        <w:rPr>
          <w:szCs w:val="22"/>
        </w:rPr>
        <w:t>(°)</w:t>
      </w:r>
    </w:p>
    <w:p w:rsidR="00364D73" w:rsidRPr="00521CDC" w:rsidRDefault="00364D73" w:rsidP="00364D73">
      <w:pPr>
        <w:jc w:val="both"/>
        <w:rPr>
          <w:szCs w:val="22"/>
        </w:rPr>
      </w:pPr>
      <w:r w:rsidRPr="00521CDC">
        <w:rPr>
          <w:szCs w:val="22"/>
          <w:u w:val="single"/>
        </w:rPr>
        <w:t xml:space="preserve">Alternatieve procedure/projecten </w:t>
      </w:r>
      <w:r w:rsidRPr="00521CDC">
        <w:rPr>
          <w:szCs w:val="22"/>
        </w:rPr>
        <w:t xml:space="preserve">: dossiers/projecten  in toepassing van het Besluit van 1 september 2006 en van het Besluit van 18 maart 2011 van de Vlaamse Regering tot regeling van de alternatieve investeringssubsidies, verstrekt door het Vlaams Infrastructuurfonds voor Persoonsgebonden Aangelegenheden </w:t>
      </w:r>
    </w:p>
    <w:p w:rsidR="00364D73" w:rsidRPr="00521CDC" w:rsidRDefault="00364D73" w:rsidP="00364D73">
      <w:pPr>
        <w:jc w:val="both"/>
        <w:rPr>
          <w:szCs w:val="22"/>
        </w:rPr>
      </w:pPr>
    </w:p>
    <w:p w:rsidR="00C33DC6" w:rsidRPr="00521CDC" w:rsidRDefault="00364D73" w:rsidP="00364D73">
      <w:pPr>
        <w:jc w:val="both"/>
        <w:rPr>
          <w:szCs w:val="22"/>
        </w:rPr>
      </w:pPr>
      <w:r w:rsidRPr="00521CDC">
        <w:rPr>
          <w:szCs w:val="22"/>
          <w:u w:val="single"/>
        </w:rPr>
        <w:t>Klassieke procedure/projecten</w:t>
      </w:r>
      <w:r w:rsidRPr="00521CDC">
        <w:rPr>
          <w:szCs w:val="22"/>
        </w:rPr>
        <w:t>: dossiers/projecten in toepassing van het Besluit van de Vlaamse Regering van 08/06/1999 houdende de procedureregels inzake de infrastructuur voor persoonsgebonden aangelegenheden.</w:t>
      </w:r>
    </w:p>
    <w:p w:rsidR="00C33DC6" w:rsidRPr="00521CDC" w:rsidRDefault="00C33DC6" w:rsidP="00C33DC6">
      <w:pPr>
        <w:jc w:val="both"/>
        <w:rPr>
          <w:szCs w:val="22"/>
        </w:rPr>
      </w:pPr>
    </w:p>
    <w:p w:rsidR="00C33DC6" w:rsidRPr="00521CDC" w:rsidRDefault="00C33DC6" w:rsidP="00C33DC6">
      <w:pPr>
        <w:jc w:val="both"/>
        <w:rPr>
          <w:szCs w:val="22"/>
        </w:rPr>
      </w:pPr>
    </w:p>
    <w:p w:rsidR="00C33DC6" w:rsidRPr="00521CDC" w:rsidRDefault="00C33DC6" w:rsidP="00C33DC6">
      <w:pPr>
        <w:jc w:val="both"/>
        <w:rPr>
          <w:b/>
          <w:smallCaps/>
          <w:color w:val="FF0000"/>
          <w:szCs w:val="22"/>
          <w:u w:val="single"/>
        </w:rPr>
      </w:pPr>
      <w:r w:rsidRPr="00521CDC">
        <w:rPr>
          <w:b/>
          <w:smallCaps/>
          <w:color w:val="FF0000"/>
          <w:szCs w:val="22"/>
          <w:u w:val="single"/>
        </w:rPr>
        <w:t>bijlagen</w:t>
      </w:r>
    </w:p>
    <w:p w:rsidR="00C33DC6" w:rsidRPr="00521CDC" w:rsidRDefault="00C33DC6" w:rsidP="00C33DC6">
      <w:pPr>
        <w:jc w:val="both"/>
        <w:rPr>
          <w:szCs w:val="22"/>
        </w:rPr>
      </w:pPr>
    </w:p>
    <w:p w:rsidR="00364D73" w:rsidRPr="00521CDC" w:rsidRDefault="00521CDC" w:rsidP="00364D73">
      <w:pPr>
        <w:numPr>
          <w:ilvl w:val="0"/>
          <w:numId w:val="2"/>
        </w:numPr>
        <w:ind w:left="284" w:hanging="284"/>
        <w:jc w:val="both"/>
        <w:rPr>
          <w:szCs w:val="22"/>
        </w:rPr>
      </w:pPr>
      <w:r>
        <w:rPr>
          <w:szCs w:val="22"/>
        </w:rPr>
        <w:t>Overzicht lopende dossiers alternatieve procedure</w:t>
      </w:r>
    </w:p>
    <w:p w:rsidR="00364D73" w:rsidRPr="00521CDC" w:rsidRDefault="00521CDC" w:rsidP="00364D73">
      <w:pPr>
        <w:numPr>
          <w:ilvl w:val="0"/>
          <w:numId w:val="2"/>
        </w:numPr>
        <w:ind w:left="284" w:hanging="284"/>
        <w:jc w:val="both"/>
        <w:rPr>
          <w:szCs w:val="22"/>
        </w:rPr>
      </w:pPr>
      <w:r>
        <w:rPr>
          <w:szCs w:val="22"/>
        </w:rPr>
        <w:t>Overzicht lopende dossiers klassieke procedure</w:t>
      </w:r>
      <w:bookmarkStart w:id="3" w:name="_GoBack"/>
      <w:bookmarkEnd w:id="3"/>
    </w:p>
    <w:sectPr w:rsidR="00364D73" w:rsidRPr="00521CDC"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73" w:rsidRDefault="00364D73">
      <w:r>
        <w:separator/>
      </w:r>
    </w:p>
  </w:endnote>
  <w:endnote w:type="continuationSeparator" w:id="0">
    <w:p w:rsidR="00364D73" w:rsidRDefault="0036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73" w:rsidRDefault="00364D73">
      <w:r>
        <w:separator/>
      </w:r>
    </w:p>
  </w:footnote>
  <w:footnote w:type="continuationSeparator" w:id="0">
    <w:p w:rsidR="00364D73" w:rsidRDefault="00364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360"/>
    <w:multiLevelType w:val="hybridMultilevel"/>
    <w:tmpl w:val="9A8EC0B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D545FDA"/>
    <w:multiLevelType w:val="hybridMultilevel"/>
    <w:tmpl w:val="07441A2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73"/>
    <w:rsid w:val="00031E9C"/>
    <w:rsid w:val="00364D73"/>
    <w:rsid w:val="003B3111"/>
    <w:rsid w:val="003E56E5"/>
    <w:rsid w:val="00521CDC"/>
    <w:rsid w:val="006359E3"/>
    <w:rsid w:val="006F4096"/>
    <w:rsid w:val="00C33DC6"/>
    <w:rsid w:val="00CF6F78"/>
    <w:rsid w:val="00EE4E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364D73"/>
    <w:pPr>
      <w:ind w:left="720"/>
      <w:contextualSpacing/>
    </w:pPr>
    <w:rPr>
      <w:sz w:val="24"/>
    </w:rPr>
  </w:style>
  <w:style w:type="paragraph" w:customStyle="1" w:styleId="StandaardSV">
    <w:name w:val="Standaard SV"/>
    <w:basedOn w:val="Standaard"/>
    <w:rsid w:val="00364D73"/>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364D73"/>
    <w:pPr>
      <w:ind w:left="720"/>
      <w:contextualSpacing/>
    </w:pPr>
    <w:rPr>
      <w:sz w:val="24"/>
    </w:rPr>
  </w:style>
  <w:style w:type="paragraph" w:customStyle="1" w:styleId="StandaardSV">
    <w:name w:val="Standaard SV"/>
    <w:basedOn w:val="Standaard"/>
    <w:rsid w:val="00364D73"/>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Goossemc\Desktop\sjablonen\Sjablonen%20Parl%20vragen\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6</TotalTime>
  <Pages>1</Pages>
  <Words>213</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Goossens, Martine</dc:creator>
  <cp:lastModifiedBy>Nathalie De Keyzer</cp:lastModifiedBy>
  <cp:revision>2</cp:revision>
  <dcterms:created xsi:type="dcterms:W3CDTF">2013-05-14T12:20:00Z</dcterms:created>
  <dcterms:modified xsi:type="dcterms:W3CDTF">2013-05-14T12:33:00Z</dcterms:modified>
</cp:coreProperties>
</file>